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81" w:rsidRPr="00B858F9" w:rsidRDefault="006F2781" w:rsidP="006F2781">
      <w:pPr>
        <w:jc w:val="center"/>
        <w:rPr>
          <w:rFonts w:ascii="Times New Roman" w:hAnsi="Times New Roman" w:cs="Times New Roman"/>
          <w:b/>
          <w:sz w:val="28"/>
        </w:rPr>
      </w:pPr>
      <w:r w:rsidRPr="00B858F9">
        <w:rPr>
          <w:rFonts w:ascii="Times New Roman" w:hAnsi="Times New Roman" w:cs="Times New Roman"/>
          <w:b/>
          <w:sz w:val="28"/>
        </w:rPr>
        <w:t>Univerzita Palackého v Olomouci</w:t>
      </w:r>
    </w:p>
    <w:p w:rsidR="006F2781" w:rsidRPr="00B858F9" w:rsidRDefault="006F2781" w:rsidP="006F2781">
      <w:pPr>
        <w:jc w:val="center"/>
        <w:rPr>
          <w:rFonts w:ascii="Times New Roman" w:hAnsi="Times New Roman" w:cs="Times New Roman"/>
          <w:b/>
          <w:sz w:val="28"/>
        </w:rPr>
      </w:pPr>
      <w:r w:rsidRPr="00B858F9">
        <w:rPr>
          <w:rFonts w:ascii="Times New Roman" w:hAnsi="Times New Roman" w:cs="Times New Roman"/>
          <w:b/>
          <w:sz w:val="28"/>
        </w:rPr>
        <w:t>Právnická fakulta</w:t>
      </w:r>
    </w:p>
    <w:p w:rsidR="006F2781" w:rsidRPr="00B6519B" w:rsidRDefault="006F2781" w:rsidP="006F2781">
      <w:pPr>
        <w:jc w:val="center"/>
        <w:rPr>
          <w:rFonts w:ascii="Times New Roman" w:hAnsi="Times New Roman" w:cs="Times New Roman"/>
        </w:rPr>
      </w:pPr>
    </w:p>
    <w:p w:rsidR="006F2781" w:rsidRPr="00B6519B" w:rsidRDefault="006F2781" w:rsidP="006F2781">
      <w:pPr>
        <w:jc w:val="center"/>
        <w:rPr>
          <w:rFonts w:ascii="Times New Roman" w:hAnsi="Times New Roman" w:cs="Times New Roman"/>
        </w:rPr>
      </w:pPr>
    </w:p>
    <w:p w:rsidR="006F2781" w:rsidRPr="00B6519B" w:rsidRDefault="006F2781" w:rsidP="006F2781">
      <w:pPr>
        <w:jc w:val="center"/>
        <w:rPr>
          <w:rFonts w:ascii="Times New Roman" w:hAnsi="Times New Roman" w:cs="Times New Roman"/>
        </w:rPr>
      </w:pPr>
    </w:p>
    <w:p w:rsidR="006F2781" w:rsidRPr="00B6519B" w:rsidRDefault="006F2781" w:rsidP="006F2781">
      <w:pPr>
        <w:jc w:val="center"/>
        <w:rPr>
          <w:rFonts w:ascii="Times New Roman" w:hAnsi="Times New Roman" w:cs="Times New Roman"/>
        </w:rPr>
      </w:pPr>
    </w:p>
    <w:p w:rsidR="006F2781" w:rsidRPr="00723575" w:rsidRDefault="006F2781" w:rsidP="006F2781">
      <w:pPr>
        <w:jc w:val="center"/>
        <w:rPr>
          <w:rFonts w:ascii="Times New Roman" w:hAnsi="Times New Roman" w:cs="Times New Roman"/>
          <w:b/>
          <w:sz w:val="32"/>
        </w:rPr>
      </w:pPr>
      <w:r w:rsidRPr="00723575">
        <w:rPr>
          <w:rFonts w:ascii="Times New Roman" w:hAnsi="Times New Roman" w:cs="Times New Roman"/>
          <w:b/>
          <w:sz w:val="32"/>
        </w:rPr>
        <w:t>Jan Svoboda</w:t>
      </w:r>
    </w:p>
    <w:p w:rsidR="006F2781" w:rsidRPr="00B6519B" w:rsidRDefault="006F2781" w:rsidP="006F2781">
      <w:pPr>
        <w:jc w:val="center"/>
        <w:rPr>
          <w:rFonts w:ascii="Times New Roman" w:hAnsi="Times New Roman" w:cs="Times New Roman"/>
        </w:rPr>
      </w:pPr>
    </w:p>
    <w:p w:rsidR="006F2781" w:rsidRDefault="006F2781" w:rsidP="006F2781">
      <w:pPr>
        <w:jc w:val="center"/>
        <w:rPr>
          <w:rFonts w:ascii="Times New Roman" w:hAnsi="Times New Roman" w:cs="Times New Roman"/>
          <w:bCs/>
        </w:rPr>
      </w:pPr>
    </w:p>
    <w:p w:rsidR="006F2781" w:rsidRPr="0088762F" w:rsidRDefault="006F2781" w:rsidP="006F2781">
      <w:pPr>
        <w:jc w:val="center"/>
        <w:rPr>
          <w:rFonts w:ascii="Times New Roman" w:hAnsi="Times New Roman" w:cs="Times New Roman"/>
          <w:b/>
          <w:bCs/>
          <w:sz w:val="32"/>
        </w:rPr>
      </w:pPr>
      <w:r w:rsidRPr="0088762F">
        <w:rPr>
          <w:rFonts w:ascii="Times New Roman" w:hAnsi="Times New Roman" w:cs="Times New Roman"/>
          <w:b/>
          <w:bCs/>
          <w:sz w:val="32"/>
        </w:rPr>
        <w:t xml:space="preserve">Národní parlamenty jako strážci principu subsidiarity </w:t>
      </w:r>
      <w:r w:rsidR="008439E8">
        <w:rPr>
          <w:rFonts w:ascii="Times New Roman" w:hAnsi="Times New Roman" w:cs="Times New Roman"/>
          <w:b/>
          <w:bCs/>
          <w:sz w:val="32"/>
        </w:rPr>
        <w:t xml:space="preserve">v intencích Lisabonské smlouvy </w:t>
      </w:r>
      <w:r w:rsidR="008439E8" w:rsidRPr="008439E8">
        <w:rPr>
          <w:rFonts w:ascii="Times New Roman" w:hAnsi="Times New Roman" w:cs="Times New Roman"/>
          <w:b/>
          <w:bCs/>
          <w:sz w:val="32"/>
        </w:rPr>
        <w:t>–</w:t>
      </w:r>
      <w:r>
        <w:rPr>
          <w:rFonts w:ascii="Times New Roman" w:hAnsi="Times New Roman" w:cs="Times New Roman"/>
          <w:b/>
          <w:bCs/>
          <w:sz w:val="32"/>
        </w:rPr>
        <w:t xml:space="preserve"> </w:t>
      </w:r>
      <w:r w:rsidRPr="0088762F">
        <w:rPr>
          <w:rFonts w:ascii="Times New Roman" w:hAnsi="Times New Roman" w:cs="Times New Roman"/>
          <w:b/>
          <w:bCs/>
          <w:sz w:val="32"/>
        </w:rPr>
        <w:t>právní aspekty</w:t>
      </w:r>
    </w:p>
    <w:p w:rsidR="006F2781" w:rsidRPr="00723575" w:rsidRDefault="006F2781" w:rsidP="006F2781">
      <w:pPr>
        <w:jc w:val="center"/>
        <w:rPr>
          <w:rFonts w:ascii="Times New Roman" w:hAnsi="Times New Roman" w:cs="Times New Roman"/>
          <w:b/>
          <w:bCs/>
          <w:sz w:val="24"/>
        </w:rPr>
      </w:pPr>
    </w:p>
    <w:p w:rsidR="006F2781" w:rsidRDefault="006F2781" w:rsidP="006F2781">
      <w:pPr>
        <w:jc w:val="center"/>
        <w:rPr>
          <w:rFonts w:ascii="Times New Roman" w:hAnsi="Times New Roman" w:cs="Times New Roman"/>
          <w:b/>
          <w:bCs/>
          <w:sz w:val="24"/>
        </w:rPr>
      </w:pPr>
    </w:p>
    <w:p w:rsidR="006F2781" w:rsidRPr="00345C7F" w:rsidRDefault="006F2781" w:rsidP="006F2781">
      <w:pPr>
        <w:jc w:val="center"/>
        <w:rPr>
          <w:rFonts w:ascii="Times New Roman" w:hAnsi="Times New Roman" w:cs="Times New Roman"/>
          <w:b/>
          <w:bCs/>
          <w:sz w:val="28"/>
        </w:rPr>
      </w:pPr>
      <w:r w:rsidRPr="00345C7F">
        <w:rPr>
          <w:rFonts w:ascii="Times New Roman" w:hAnsi="Times New Roman" w:cs="Times New Roman"/>
          <w:b/>
          <w:bCs/>
          <w:sz w:val="28"/>
        </w:rPr>
        <w:t>Diplomová práce</w:t>
      </w:r>
    </w:p>
    <w:p w:rsidR="006F2781" w:rsidRPr="00723575" w:rsidRDefault="006F2781" w:rsidP="006F2781">
      <w:pPr>
        <w:jc w:val="center"/>
        <w:rPr>
          <w:rFonts w:ascii="Times New Roman" w:hAnsi="Times New Roman" w:cs="Times New Roman"/>
          <w:b/>
          <w:bCs/>
          <w:sz w:val="24"/>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Pr="00B6519B" w:rsidRDefault="006F2781" w:rsidP="006F2781">
      <w:pPr>
        <w:jc w:val="center"/>
        <w:rPr>
          <w:rFonts w:ascii="Times New Roman" w:hAnsi="Times New Roman" w:cs="Times New Roman"/>
          <w:bCs/>
        </w:rPr>
      </w:pPr>
    </w:p>
    <w:p w:rsidR="006F2781" w:rsidRDefault="006F2781" w:rsidP="006F2781">
      <w:pPr>
        <w:jc w:val="center"/>
        <w:rPr>
          <w:rFonts w:ascii="Times New Roman" w:hAnsi="Times New Roman" w:cs="Times New Roman"/>
          <w:b/>
          <w:bCs/>
          <w:sz w:val="24"/>
        </w:rPr>
      </w:pPr>
    </w:p>
    <w:p w:rsidR="006F2781" w:rsidRDefault="006F2781" w:rsidP="006F2781">
      <w:pPr>
        <w:jc w:val="center"/>
        <w:rPr>
          <w:rFonts w:ascii="Times New Roman" w:hAnsi="Times New Roman" w:cs="Times New Roman"/>
          <w:b/>
          <w:bCs/>
          <w:sz w:val="24"/>
        </w:rPr>
      </w:pPr>
    </w:p>
    <w:p w:rsidR="006F2781" w:rsidRPr="00345C7F" w:rsidRDefault="007D2BC7" w:rsidP="006F2781">
      <w:pPr>
        <w:jc w:val="center"/>
        <w:rPr>
          <w:rFonts w:ascii="Times New Roman" w:hAnsi="Times New Roman" w:cs="Times New Roman"/>
          <w:b/>
          <w:bCs/>
          <w:sz w:val="28"/>
        </w:rPr>
      </w:pPr>
      <w:r>
        <w:rPr>
          <w:rFonts w:ascii="Times New Roman" w:hAnsi="Times New Roman" w:cs="Times New Roman"/>
          <w:b/>
          <w:bCs/>
          <w:sz w:val="28"/>
        </w:rPr>
        <w:t>Olomouc 2017</w:t>
      </w:r>
    </w:p>
    <w:p w:rsidR="00D04CC8" w:rsidRDefault="00D04CC8" w:rsidP="00D04CC8"/>
    <w:p w:rsidR="00D04CC8" w:rsidRDefault="00D04CC8" w:rsidP="00D04CC8"/>
    <w:p w:rsidR="00D04CC8" w:rsidRDefault="00D04CC8" w:rsidP="00D04CC8"/>
    <w:p w:rsidR="00D04CC8" w:rsidRDefault="00D04CC8" w:rsidP="00D04CC8"/>
    <w:p w:rsidR="00D04CC8" w:rsidRDefault="00D04CC8" w:rsidP="00D04CC8"/>
    <w:p w:rsidR="00F038E1" w:rsidRDefault="00F038E1" w:rsidP="00D04CC8"/>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451A03" w:rsidRDefault="00451A03" w:rsidP="009E0793">
      <w:pPr>
        <w:spacing w:line="360" w:lineRule="auto"/>
        <w:jc w:val="both"/>
        <w:rPr>
          <w:rFonts w:ascii="Times New Roman" w:hAnsi="Times New Roman" w:cs="Times New Roman"/>
          <w:color w:val="000000"/>
          <w:sz w:val="24"/>
          <w:szCs w:val="24"/>
        </w:rPr>
      </w:pPr>
    </w:p>
    <w:p w:rsidR="009E0793" w:rsidRPr="009E0793" w:rsidRDefault="00F038E1" w:rsidP="009E0793">
      <w:pPr>
        <w:spacing w:line="360" w:lineRule="auto"/>
        <w:jc w:val="both"/>
        <w:rPr>
          <w:rFonts w:ascii="Times New Roman" w:hAnsi="Times New Roman" w:cs="Times New Roman"/>
          <w:color w:val="000000"/>
          <w:sz w:val="24"/>
          <w:szCs w:val="24"/>
        </w:rPr>
      </w:pPr>
      <w:r w:rsidRPr="009E0793">
        <w:rPr>
          <w:rFonts w:ascii="Times New Roman" w:hAnsi="Times New Roman" w:cs="Times New Roman"/>
          <w:color w:val="000000"/>
          <w:sz w:val="24"/>
          <w:szCs w:val="24"/>
        </w:rPr>
        <w:t>P</w:t>
      </w:r>
      <w:r w:rsidR="009E0793" w:rsidRPr="009E0793">
        <w:rPr>
          <w:rFonts w:ascii="Times New Roman" w:hAnsi="Times New Roman" w:cs="Times New Roman"/>
          <w:color w:val="000000"/>
          <w:sz w:val="24"/>
          <w:szCs w:val="24"/>
        </w:rPr>
        <w:t>rohlašuji, že jsem diplomovou</w:t>
      </w:r>
      <w:r w:rsidRPr="009E0793">
        <w:rPr>
          <w:rFonts w:ascii="Times New Roman" w:hAnsi="Times New Roman" w:cs="Times New Roman"/>
          <w:color w:val="000000"/>
          <w:sz w:val="24"/>
          <w:szCs w:val="24"/>
        </w:rPr>
        <w:t xml:space="preserve"> </w:t>
      </w:r>
      <w:r w:rsidR="009E0793">
        <w:rPr>
          <w:rFonts w:ascii="Times New Roman" w:hAnsi="Times New Roman" w:cs="Times New Roman"/>
          <w:color w:val="000000"/>
          <w:sz w:val="24"/>
          <w:szCs w:val="24"/>
        </w:rPr>
        <w:t xml:space="preserve">práci na téma </w:t>
      </w:r>
      <w:r w:rsidR="009E0793" w:rsidRPr="009E0793">
        <w:rPr>
          <w:rFonts w:ascii="Times New Roman" w:hAnsi="Times New Roman" w:cs="Times New Roman"/>
          <w:color w:val="000000"/>
          <w:sz w:val="24"/>
          <w:szCs w:val="24"/>
        </w:rPr>
        <w:t>Národní parlamenty jako strážci principu subsidiarity v int</w:t>
      </w:r>
      <w:r w:rsidR="00CA3580">
        <w:rPr>
          <w:rFonts w:ascii="Times New Roman" w:hAnsi="Times New Roman" w:cs="Times New Roman"/>
          <w:color w:val="000000"/>
          <w:sz w:val="24"/>
          <w:szCs w:val="24"/>
        </w:rPr>
        <w:t xml:space="preserve">encích Lisabonské smlouvy </w:t>
      </w:r>
      <w:r w:rsidR="00B75EE1" w:rsidRPr="00A35EC1">
        <w:rPr>
          <w:rFonts w:ascii="Times New Roman" w:hAnsi="Times New Roman" w:cs="Times New Roman"/>
          <w:sz w:val="24"/>
        </w:rPr>
        <w:t xml:space="preserve">– </w:t>
      </w:r>
      <w:r w:rsidR="00CA3580">
        <w:rPr>
          <w:rFonts w:ascii="Times New Roman" w:hAnsi="Times New Roman" w:cs="Times New Roman"/>
          <w:color w:val="000000"/>
          <w:sz w:val="24"/>
          <w:szCs w:val="24"/>
        </w:rPr>
        <w:t xml:space="preserve"> </w:t>
      </w:r>
      <w:r w:rsidR="009E0793" w:rsidRPr="009E0793">
        <w:rPr>
          <w:rFonts w:ascii="Times New Roman" w:hAnsi="Times New Roman" w:cs="Times New Roman"/>
          <w:color w:val="000000"/>
          <w:sz w:val="24"/>
          <w:szCs w:val="24"/>
        </w:rPr>
        <w:t>právní aspekty vypracoval samostatně a citoval</w:t>
      </w:r>
      <w:r w:rsidRPr="009E0793">
        <w:rPr>
          <w:rFonts w:ascii="Times New Roman" w:hAnsi="Times New Roman" w:cs="Times New Roman"/>
          <w:color w:val="000000"/>
          <w:sz w:val="24"/>
          <w:szCs w:val="24"/>
        </w:rPr>
        <w:t xml:space="preserve"> jsem všechny použité zdroje. </w:t>
      </w:r>
    </w:p>
    <w:p w:rsidR="00F038E1" w:rsidRDefault="000D380F" w:rsidP="00D04CC8">
      <w:pPr>
        <w:rPr>
          <w:rFonts w:ascii="Times New Roman" w:hAnsi="Times New Roman" w:cs="Times New Roman"/>
          <w:color w:val="000000"/>
          <w:sz w:val="24"/>
          <w:szCs w:val="24"/>
        </w:rPr>
      </w:pPr>
      <w:r>
        <w:rPr>
          <w:rFonts w:ascii="Times New Roman" w:hAnsi="Times New Roman" w:cs="Times New Roman"/>
          <w:color w:val="000000"/>
          <w:sz w:val="24"/>
          <w:szCs w:val="24"/>
        </w:rPr>
        <w:t>V Olomouci dne 10. dubna 2017</w:t>
      </w:r>
      <w:r w:rsidR="00F038E1" w:rsidRPr="009E07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Jan Svoboda</w:t>
      </w: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Default="0080105D" w:rsidP="00D04CC8">
      <w:pPr>
        <w:rPr>
          <w:rFonts w:ascii="Times New Roman" w:hAnsi="Times New Roman" w:cs="Times New Roman"/>
          <w:color w:val="000000"/>
          <w:sz w:val="24"/>
          <w:szCs w:val="24"/>
        </w:rPr>
      </w:pPr>
    </w:p>
    <w:p w:rsidR="0080105D" w:rsidRPr="009E0793" w:rsidRDefault="0080105D" w:rsidP="00D04CC8">
      <w:pPr>
        <w:rPr>
          <w:rFonts w:ascii="Times New Roman" w:hAnsi="Times New Roman" w:cs="Times New Roman"/>
          <w:sz w:val="24"/>
          <w:szCs w:val="24"/>
        </w:rPr>
      </w:pPr>
      <w:r>
        <w:rPr>
          <w:rFonts w:ascii="Times New Roman" w:hAnsi="Times New Roman" w:cs="Times New Roman"/>
          <w:color w:val="000000"/>
          <w:sz w:val="24"/>
          <w:szCs w:val="24"/>
        </w:rPr>
        <w:t>Na tomto místě bych rád poděkoval doc. et doc. JUDr. Naděždě Šiškové</w:t>
      </w:r>
      <w:r w:rsidRPr="0080105D">
        <w:rPr>
          <w:rFonts w:ascii="Times New Roman" w:hAnsi="Times New Roman" w:cs="Times New Roman"/>
          <w:color w:val="000000"/>
          <w:sz w:val="24"/>
          <w:szCs w:val="24"/>
        </w:rPr>
        <w:t>, Ph.D.</w:t>
      </w:r>
      <w:r>
        <w:rPr>
          <w:rFonts w:ascii="Times New Roman" w:hAnsi="Times New Roman" w:cs="Times New Roman"/>
          <w:color w:val="000000"/>
          <w:sz w:val="24"/>
          <w:szCs w:val="24"/>
        </w:rPr>
        <w:t xml:space="preserve"> za pomoc a cenné rady při zpracování diplomové práce.</w:t>
      </w:r>
    </w:p>
    <w:sdt>
      <w:sdtPr>
        <w:rPr>
          <w:rFonts w:asciiTheme="minorHAnsi" w:eastAsiaTheme="minorHAnsi" w:hAnsiTheme="minorHAnsi" w:cstheme="minorBidi"/>
          <w:color w:val="auto"/>
          <w:sz w:val="22"/>
          <w:szCs w:val="22"/>
          <w:lang w:eastAsia="en-US"/>
        </w:rPr>
        <w:id w:val="-321576395"/>
        <w:docPartObj>
          <w:docPartGallery w:val="Table of Contents"/>
          <w:docPartUnique/>
        </w:docPartObj>
      </w:sdtPr>
      <w:sdtEndPr>
        <w:rPr>
          <w:b/>
          <w:bCs/>
        </w:rPr>
      </w:sdtEndPr>
      <w:sdtContent>
        <w:p w:rsidR="0084351D" w:rsidRPr="00164BCF" w:rsidRDefault="0084351D" w:rsidP="008B60F2">
          <w:pPr>
            <w:pStyle w:val="Nadpisobsahu"/>
            <w:rPr>
              <w:rFonts w:ascii="Times New Roman" w:hAnsi="Times New Roman" w:cs="Times New Roman"/>
              <w:b/>
              <w:color w:val="auto"/>
              <w:szCs w:val="32"/>
            </w:rPr>
          </w:pPr>
          <w:r w:rsidRPr="00164BCF">
            <w:rPr>
              <w:rFonts w:ascii="Times New Roman" w:hAnsi="Times New Roman" w:cs="Times New Roman"/>
              <w:b/>
              <w:color w:val="auto"/>
              <w:szCs w:val="32"/>
            </w:rPr>
            <w:t>Obsah</w:t>
          </w:r>
        </w:p>
        <w:p w:rsidR="0084351D" w:rsidRPr="005608E0" w:rsidRDefault="0084351D" w:rsidP="0084351D">
          <w:pPr>
            <w:rPr>
              <w:rFonts w:ascii="Times New Roman" w:hAnsi="Times New Roman" w:cs="Times New Roman"/>
              <w:lang w:eastAsia="cs-CZ"/>
            </w:rPr>
          </w:pPr>
        </w:p>
        <w:p w:rsidR="0078063F" w:rsidRPr="0078063F" w:rsidRDefault="0084351D">
          <w:pPr>
            <w:pStyle w:val="Obsah1"/>
            <w:tabs>
              <w:tab w:val="right" w:leader="dot" w:pos="9061"/>
            </w:tabs>
            <w:rPr>
              <w:rFonts w:ascii="Times New Roman" w:eastAsiaTheme="minorEastAsia" w:hAnsi="Times New Roman" w:cs="Times New Roman"/>
              <w:noProof/>
              <w:sz w:val="24"/>
              <w:szCs w:val="24"/>
              <w:lang w:eastAsia="cs-CZ"/>
            </w:rPr>
          </w:pPr>
          <w:r w:rsidRPr="00D40EE9">
            <w:rPr>
              <w:rFonts w:ascii="Times New Roman" w:hAnsi="Times New Roman" w:cs="Times New Roman"/>
              <w:sz w:val="24"/>
              <w:szCs w:val="24"/>
            </w:rPr>
            <w:fldChar w:fldCharType="begin"/>
          </w:r>
          <w:r w:rsidRPr="00D40EE9">
            <w:rPr>
              <w:rFonts w:ascii="Times New Roman" w:hAnsi="Times New Roman" w:cs="Times New Roman"/>
              <w:sz w:val="24"/>
              <w:szCs w:val="24"/>
            </w:rPr>
            <w:instrText xml:space="preserve"> TOC \o "1-3" \h \z \u </w:instrText>
          </w:r>
          <w:r w:rsidRPr="00D40EE9">
            <w:rPr>
              <w:rFonts w:ascii="Times New Roman" w:hAnsi="Times New Roman" w:cs="Times New Roman"/>
              <w:sz w:val="24"/>
              <w:szCs w:val="24"/>
            </w:rPr>
            <w:fldChar w:fldCharType="separate"/>
          </w:r>
          <w:hyperlink w:anchor="_Toc478235147" w:history="1">
            <w:r w:rsidR="0078063F" w:rsidRPr="0078063F">
              <w:rPr>
                <w:rStyle w:val="Hypertextovodkaz"/>
                <w:rFonts w:ascii="Times New Roman" w:hAnsi="Times New Roman" w:cs="Times New Roman"/>
                <w:noProof/>
                <w:sz w:val="24"/>
                <w:szCs w:val="24"/>
              </w:rPr>
              <w:t>Seznam použitých zkratek</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_Toc478235147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6</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48" w:history="1">
            <w:r w:rsidR="0078063F" w:rsidRPr="0078063F">
              <w:rPr>
                <w:rStyle w:val="Hypertextovodkaz"/>
                <w:rFonts w:ascii="Times New Roman" w:hAnsi="Times New Roman" w:cs="Times New Roman"/>
                <w:noProof/>
                <w:sz w:val="24"/>
                <w:szCs w:val="24"/>
              </w:rPr>
              <w:t>Úvod</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_Toc478235148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7</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49" w:history="1">
            <w:r w:rsidR="0078063F" w:rsidRPr="0078063F">
              <w:rPr>
                <w:rStyle w:val="Hypertextovodkaz"/>
                <w:rFonts w:ascii="Times New Roman" w:hAnsi="Times New Roman" w:cs="Times New Roman"/>
                <w:noProof/>
                <w:sz w:val="24"/>
                <w:szCs w:val="24"/>
              </w:rPr>
              <w:t>1 Parlament a role parlamentů v EU</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_Toc478235149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10</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50" w:history="1">
            <w:r w:rsidR="0078063F" w:rsidRPr="0078063F">
              <w:rPr>
                <w:rStyle w:val="Hypertextovodkaz"/>
                <w:rFonts w:ascii="Times New Roman" w:hAnsi="Times New Roman" w:cs="Times New Roman"/>
                <w:noProof/>
                <w:sz w:val="24"/>
                <w:szCs w:val="24"/>
              </w:rPr>
              <w:t>1.1</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Parlament</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_Toc478235150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10</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51" w:history="1">
            <w:r w:rsidR="0078063F" w:rsidRPr="0078063F">
              <w:rPr>
                <w:rStyle w:val="Hypertextovodkaz"/>
                <w:rFonts w:ascii="Times New Roman" w:hAnsi="Times New Roman" w:cs="Times New Roman"/>
                <w:noProof/>
                <w:sz w:val="24"/>
                <w:szCs w:val="24"/>
              </w:rPr>
              <w:t>1.2</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Oběti evropské integrace?</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_Toc478235151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11</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52" w:history="1">
            <w:r w:rsidR="0078063F" w:rsidRPr="0078063F">
              <w:rPr>
                <w:rStyle w:val="Hypertextovodkaz"/>
                <w:rFonts w:ascii="Times New Roman" w:hAnsi="Times New Roman" w:cs="Times New Roman"/>
                <w:noProof/>
                <w:sz w:val="24"/>
                <w:szCs w:val="24"/>
              </w:rPr>
              <w:t>1.3 Parlamenty jako příjemci informací</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_Toc478235152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13</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53" w:history="1">
            <w:r w:rsidR="0078063F" w:rsidRPr="0078063F">
              <w:rPr>
                <w:rStyle w:val="Hypertextovodkaz"/>
                <w:rFonts w:ascii="Times New Roman" w:hAnsi="Times New Roman" w:cs="Times New Roman"/>
                <w:noProof/>
                <w:sz w:val="24"/>
                <w:szCs w:val="24"/>
              </w:rPr>
              <w:t>1.4 Parlamenty a prostor svobody, bezpečnosti a práva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_Toc478235153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14</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54" w:history="1">
            <w:r w:rsidR="0078063F" w:rsidRPr="0078063F">
              <w:rPr>
                <w:rStyle w:val="Hypertextovodkaz"/>
                <w:rFonts w:ascii="Times New Roman" w:hAnsi="Times New Roman" w:cs="Times New Roman"/>
                <w:noProof/>
                <w:sz w:val="24"/>
                <w:szCs w:val="24"/>
              </w:rPr>
              <w:t>1.5 Parlamenty a změny primárního práva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_Toc478235154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3"/>
            <w:tabs>
              <w:tab w:val="right" w:leader="dot" w:pos="9061"/>
            </w:tabs>
            <w:rPr>
              <w:rFonts w:ascii="Times New Roman" w:eastAsiaTheme="minorEastAsia" w:hAnsi="Times New Roman" w:cs="Times New Roman"/>
              <w:noProof/>
              <w:sz w:val="24"/>
              <w:szCs w:val="24"/>
              <w:lang w:eastAsia="cs-CZ"/>
            </w:rPr>
          </w:pPr>
          <w:hyperlink w:anchor="_Toc478235155" w:history="1">
            <w:r w:rsidR="0078063F" w:rsidRPr="0078063F">
              <w:rPr>
                <w:rStyle w:val="Hypertextovodkaz"/>
                <w:rFonts w:ascii="Times New Roman" w:hAnsi="Times New Roman" w:cs="Times New Roman"/>
                <w:noProof/>
                <w:sz w:val="24"/>
                <w:szCs w:val="24"/>
              </w:rPr>
              <w:t>1.5.1 Smlouvy o přistoupení</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_Toc478235155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3"/>
            <w:tabs>
              <w:tab w:val="right" w:leader="dot" w:pos="9061"/>
            </w:tabs>
            <w:rPr>
              <w:rFonts w:ascii="Times New Roman" w:eastAsiaTheme="minorEastAsia" w:hAnsi="Times New Roman" w:cs="Times New Roman"/>
              <w:noProof/>
              <w:sz w:val="24"/>
              <w:szCs w:val="24"/>
              <w:lang w:eastAsia="cs-CZ"/>
            </w:rPr>
          </w:pPr>
          <w:hyperlink w:anchor="_Toc478235156" w:history="1">
            <w:r w:rsidR="0078063F" w:rsidRPr="0078063F">
              <w:rPr>
                <w:rStyle w:val="Hypertextovodkaz"/>
                <w:rFonts w:ascii="Times New Roman" w:hAnsi="Times New Roman" w:cs="Times New Roman"/>
                <w:noProof/>
                <w:sz w:val="24"/>
                <w:szCs w:val="24"/>
              </w:rPr>
              <w:t>1.5.2 Změny smluv – řádný postup</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_Toc478235156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3"/>
            <w:tabs>
              <w:tab w:val="right" w:leader="dot" w:pos="9061"/>
            </w:tabs>
            <w:rPr>
              <w:rFonts w:ascii="Times New Roman" w:eastAsiaTheme="minorEastAsia" w:hAnsi="Times New Roman" w:cs="Times New Roman"/>
              <w:noProof/>
              <w:sz w:val="24"/>
              <w:szCs w:val="24"/>
              <w:lang w:eastAsia="cs-CZ"/>
            </w:rPr>
          </w:pPr>
          <w:hyperlink w:anchor="_Toc478235157" w:history="1">
            <w:r w:rsidR="0078063F" w:rsidRPr="0078063F">
              <w:rPr>
                <w:rStyle w:val="Hypertextovodkaz"/>
                <w:rFonts w:ascii="Times New Roman" w:hAnsi="Times New Roman" w:cs="Times New Roman"/>
                <w:noProof/>
                <w:sz w:val="24"/>
                <w:szCs w:val="24"/>
              </w:rPr>
              <w:t>1.5.3 Změny smluv – zjednodušený postup</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_Toc478235157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16</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58" w:history="1">
            <w:r w:rsidR="0078063F" w:rsidRPr="0078063F">
              <w:rPr>
                <w:rStyle w:val="Hypertextovodkaz"/>
                <w:rFonts w:ascii="Times New Roman" w:hAnsi="Times New Roman" w:cs="Times New Roman"/>
                <w:noProof/>
                <w:sz w:val="24"/>
                <w:szCs w:val="24"/>
              </w:rPr>
              <w:t>1.6 Meziparlamentní spolupráce</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_Toc478235158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17</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59" w:history="1">
            <w:r w:rsidR="0078063F" w:rsidRPr="0078063F">
              <w:rPr>
                <w:rStyle w:val="Hypertextovodkaz"/>
                <w:rFonts w:ascii="Times New Roman" w:hAnsi="Times New Roman" w:cs="Times New Roman"/>
                <w:noProof/>
                <w:sz w:val="24"/>
                <w:szCs w:val="24"/>
              </w:rPr>
              <w:t>1.7 Parlamenty a transpozice směrnic</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_Toc478235159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18</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60" w:history="1">
            <w:r w:rsidR="0078063F" w:rsidRPr="0078063F">
              <w:rPr>
                <w:rStyle w:val="Hypertextovodkaz"/>
                <w:rFonts w:ascii="Times New Roman" w:hAnsi="Times New Roman" w:cs="Times New Roman"/>
                <w:noProof/>
                <w:sz w:val="24"/>
                <w:szCs w:val="24"/>
              </w:rPr>
              <w:t>1.8 Parlamenty a kontrola vlád a jejich členů</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_Toc478235160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19</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61" w:history="1">
            <w:r w:rsidR="0078063F" w:rsidRPr="0078063F">
              <w:rPr>
                <w:rStyle w:val="Hypertextovodkaz"/>
                <w:rFonts w:ascii="Times New Roman" w:hAnsi="Times New Roman" w:cs="Times New Roman"/>
                <w:noProof/>
                <w:sz w:val="24"/>
                <w:szCs w:val="24"/>
              </w:rPr>
              <w:t>2 Zásada subsidiarity v EU</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_Toc478235161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21</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62" w:history="1">
            <w:r w:rsidR="0078063F" w:rsidRPr="0078063F">
              <w:rPr>
                <w:rStyle w:val="Hypertextovodkaz"/>
                <w:rFonts w:ascii="Times New Roman" w:hAnsi="Times New Roman" w:cs="Times New Roman"/>
                <w:noProof/>
                <w:sz w:val="24"/>
                <w:szCs w:val="24"/>
              </w:rPr>
              <w:t>2.1 Zásada subsidiarity obecně</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_Toc478235162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21</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63" w:history="1">
            <w:r w:rsidR="0078063F" w:rsidRPr="0078063F">
              <w:rPr>
                <w:rStyle w:val="Hypertextovodkaz"/>
                <w:rFonts w:ascii="Times New Roman" w:hAnsi="Times New Roman" w:cs="Times New Roman"/>
                <w:noProof/>
                <w:sz w:val="24"/>
                <w:szCs w:val="24"/>
              </w:rPr>
              <w:t>2.2 Test subsidiarity</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_Toc478235163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22</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64" w:history="1">
            <w:r w:rsidR="0078063F" w:rsidRPr="0078063F">
              <w:rPr>
                <w:rStyle w:val="Hypertextovodkaz"/>
                <w:rFonts w:ascii="Times New Roman" w:hAnsi="Times New Roman" w:cs="Times New Roman"/>
                <w:noProof/>
                <w:sz w:val="24"/>
                <w:szCs w:val="24"/>
              </w:rPr>
              <w:t>2.3 Politicko-právní rozměr a jiné aspekty</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_Toc478235164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24</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65" w:history="1">
            <w:r w:rsidR="0078063F" w:rsidRPr="0078063F">
              <w:rPr>
                <w:rStyle w:val="Hypertextovodkaz"/>
                <w:rFonts w:ascii="Times New Roman" w:hAnsi="Times New Roman" w:cs="Times New Roman"/>
                <w:noProof/>
                <w:sz w:val="24"/>
                <w:szCs w:val="24"/>
              </w:rPr>
              <w:t>2.4 Soudní kontrola zásady subsidiarity</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_Toc478235165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78235166" w:history="1">
            <w:r w:rsidR="0078063F" w:rsidRPr="0078063F">
              <w:rPr>
                <w:rStyle w:val="Hypertextovodkaz"/>
                <w:rFonts w:ascii="Times New Roman" w:hAnsi="Times New Roman" w:cs="Times New Roman"/>
                <w:noProof/>
                <w:sz w:val="24"/>
                <w:szCs w:val="24"/>
              </w:rPr>
              <w:t>3</w:t>
            </w:r>
            <w:r w:rsidR="002B3DFD">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Právní úprava systému včasného varování</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_Toc478235166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28</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67" w:history="1">
            <w:r w:rsidR="0078063F" w:rsidRPr="0078063F">
              <w:rPr>
                <w:rStyle w:val="Hypertextovodkaz"/>
                <w:rFonts w:ascii="Times New Roman" w:hAnsi="Times New Roman" w:cs="Times New Roman"/>
                <w:noProof/>
                <w:sz w:val="24"/>
                <w:szCs w:val="24"/>
              </w:rPr>
              <w:t>3.1</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Systém včasného varování</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_Toc478235167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28</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68" w:history="1">
            <w:r w:rsidR="0078063F" w:rsidRPr="0078063F">
              <w:rPr>
                <w:rStyle w:val="Hypertextovodkaz"/>
                <w:rFonts w:ascii="Times New Roman" w:hAnsi="Times New Roman" w:cs="Times New Roman"/>
                <w:noProof/>
                <w:sz w:val="24"/>
                <w:szCs w:val="24"/>
              </w:rPr>
              <w:t>3.2</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Žlutá karta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_Toc478235168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30</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69" w:history="1">
            <w:r w:rsidR="0078063F" w:rsidRPr="0078063F">
              <w:rPr>
                <w:rStyle w:val="Hypertextovodkaz"/>
                <w:rFonts w:ascii="Times New Roman" w:hAnsi="Times New Roman" w:cs="Times New Roman"/>
                <w:noProof/>
                <w:sz w:val="24"/>
                <w:szCs w:val="24"/>
              </w:rPr>
              <w:t>3.3</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Oranžová karta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_Toc478235169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31</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78235170" w:history="1">
            <w:r w:rsidR="0078063F" w:rsidRPr="0078063F">
              <w:rPr>
                <w:rStyle w:val="Hypertextovodkaz"/>
                <w:rFonts w:ascii="Times New Roman" w:hAnsi="Times New Roman" w:cs="Times New Roman"/>
                <w:noProof/>
                <w:sz w:val="24"/>
                <w:szCs w:val="24"/>
              </w:rPr>
              <w:t>4</w:t>
            </w:r>
            <w:r w:rsidR="002B3DFD">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Systém včasného varování v praxi</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_Toc478235170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33</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71" w:history="1">
            <w:r w:rsidR="0078063F" w:rsidRPr="0078063F">
              <w:rPr>
                <w:rStyle w:val="Hypertextovodkaz"/>
                <w:rFonts w:ascii="Times New Roman" w:hAnsi="Times New Roman" w:cs="Times New Roman"/>
                <w:noProof/>
                <w:sz w:val="24"/>
                <w:szCs w:val="24"/>
              </w:rPr>
              <w:t>4.1</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Komise a odůvodňování návrhů z hlediska zásady subsidiarity</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_Toc478235171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33</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72" w:history="1">
            <w:r w:rsidR="0078063F" w:rsidRPr="0078063F">
              <w:rPr>
                <w:rStyle w:val="Hypertextovodkaz"/>
                <w:rFonts w:ascii="Times New Roman" w:hAnsi="Times New Roman" w:cs="Times New Roman"/>
                <w:noProof/>
                <w:sz w:val="24"/>
                <w:szCs w:val="24"/>
              </w:rPr>
              <w:t>4.2</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Rozdílný přístup Komise a parlamentů k odůvodněným stanoviskům</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_Toc478235172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73" w:history="1">
            <w:r w:rsidR="0078063F" w:rsidRPr="0078063F">
              <w:rPr>
                <w:rStyle w:val="Hypertextovodkaz"/>
                <w:rFonts w:ascii="Times New Roman" w:hAnsi="Times New Roman" w:cs="Times New Roman"/>
                <w:noProof/>
                <w:sz w:val="24"/>
                <w:szCs w:val="24"/>
              </w:rPr>
              <w:t>4.3</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Počty odůvodněných stanovisek</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_Toc478235173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36</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74" w:history="1">
            <w:r w:rsidR="0078063F" w:rsidRPr="0078063F">
              <w:rPr>
                <w:rStyle w:val="Hypertextovodkaz"/>
                <w:rFonts w:ascii="Times New Roman" w:hAnsi="Times New Roman" w:cs="Times New Roman"/>
                <w:noProof/>
                <w:sz w:val="24"/>
                <w:szCs w:val="24"/>
              </w:rPr>
              <w:t>4.4</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Reakce Komise na odůvodněná stanoviska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_Toc478235174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37</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78235175" w:history="1">
            <w:r w:rsidR="0078063F" w:rsidRPr="0078063F">
              <w:rPr>
                <w:rStyle w:val="Hypertextovodkaz"/>
                <w:rFonts w:ascii="Times New Roman" w:hAnsi="Times New Roman" w:cs="Times New Roman"/>
                <w:noProof/>
                <w:sz w:val="24"/>
                <w:szCs w:val="24"/>
              </w:rPr>
              <w:t>4.5</w:t>
            </w:r>
            <w:r w:rsidR="0078063F">
              <w:rPr>
                <w:rFonts w:ascii="Times New Roman" w:eastAsiaTheme="minorEastAsia" w:hAnsi="Times New Roman" w:cs="Times New Roman"/>
                <w:noProof/>
                <w:sz w:val="24"/>
                <w:szCs w:val="24"/>
                <w:lang w:eastAsia="cs-CZ"/>
              </w:rPr>
              <w:t xml:space="preserve"> </w:t>
            </w:r>
            <w:r w:rsidR="0078063F" w:rsidRPr="0078063F">
              <w:rPr>
                <w:rStyle w:val="Hypertextovodkaz"/>
                <w:rFonts w:ascii="Times New Roman" w:hAnsi="Times New Roman" w:cs="Times New Roman"/>
                <w:noProof/>
                <w:sz w:val="24"/>
                <w:szCs w:val="24"/>
              </w:rPr>
              <w:t>Procesní mechanismy v rámci parlamentů</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_Toc478235175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38</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76" w:history="1">
            <w:r w:rsidR="0078063F" w:rsidRPr="0078063F">
              <w:rPr>
                <w:rStyle w:val="Hypertextovodkaz"/>
                <w:rFonts w:ascii="Times New Roman" w:hAnsi="Times New Roman" w:cs="Times New Roman"/>
                <w:noProof/>
                <w:sz w:val="24"/>
                <w:szCs w:val="24"/>
              </w:rPr>
              <w:t>5 Žluté karty jako vybrané případy použití systému včasného varování v praxi</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_Toc478235176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39</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77" w:history="1">
            <w:r w:rsidR="0078063F" w:rsidRPr="0078063F">
              <w:rPr>
                <w:rStyle w:val="Hypertextovodkaz"/>
                <w:rFonts w:ascii="Times New Roman" w:hAnsi="Times New Roman" w:cs="Times New Roman"/>
                <w:noProof/>
                <w:sz w:val="24"/>
                <w:szCs w:val="24"/>
              </w:rPr>
              <w:t>5.1 Návrh nařízení Rady o výkonu práva na kolektivní akci v rámci svobody usazování a volného pohybu služeb</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_Toc478235177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39</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78" w:history="1">
            <w:r w:rsidR="0078063F" w:rsidRPr="0078063F">
              <w:rPr>
                <w:rStyle w:val="Hypertextovodkaz"/>
                <w:rFonts w:ascii="Times New Roman" w:eastAsia="Times New Roman" w:hAnsi="Times New Roman" w:cs="Times New Roman"/>
                <w:noProof/>
                <w:sz w:val="24"/>
                <w:szCs w:val="24"/>
              </w:rPr>
              <w:t>5.2 Návrh nařízení Rady o zřízení Úřadu evropského veřejného žalobce</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_Toc478235178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42</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79" w:history="1">
            <w:r w:rsidR="0078063F" w:rsidRPr="0078063F">
              <w:rPr>
                <w:rStyle w:val="Hypertextovodkaz"/>
                <w:rFonts w:ascii="Times New Roman" w:hAnsi="Times New Roman" w:cs="Times New Roman"/>
                <w:noProof/>
                <w:sz w:val="24"/>
                <w:szCs w:val="24"/>
              </w:rPr>
              <w:t>5.3 Návrh směrnice Evropského parlamentu a Rady, kterou se mění směrnice Evropského parlamentu a Rady 96/71/ES ze dne 16. prosince 1996 o vysílání pracovníků v rámci poskytování služeb</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_Toc478235179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43</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80" w:history="1">
            <w:r w:rsidR="0078063F" w:rsidRPr="0078063F">
              <w:rPr>
                <w:rStyle w:val="Hypertextovodkaz"/>
                <w:rFonts w:ascii="Times New Roman" w:hAnsi="Times New Roman" w:cs="Times New Roman"/>
                <w:noProof/>
                <w:sz w:val="24"/>
                <w:szCs w:val="24"/>
              </w:rPr>
              <w:t>Závěr</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_Toc478235180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46</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81" w:history="1">
            <w:r w:rsidR="0078063F" w:rsidRPr="0078063F">
              <w:rPr>
                <w:rStyle w:val="Hypertextovodkaz"/>
                <w:rFonts w:ascii="Times New Roman" w:hAnsi="Times New Roman" w:cs="Times New Roman"/>
                <w:noProof/>
                <w:sz w:val="24"/>
                <w:szCs w:val="24"/>
              </w:rPr>
              <w:t>Seznam použitých zdrojů</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_Toc478235181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52</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82" w:history="1">
            <w:r w:rsidR="0078063F" w:rsidRPr="0078063F">
              <w:rPr>
                <w:rStyle w:val="Hypertextovodkaz"/>
                <w:rFonts w:ascii="Times New Roman" w:hAnsi="Times New Roman" w:cs="Times New Roman"/>
                <w:noProof/>
                <w:sz w:val="24"/>
                <w:szCs w:val="24"/>
              </w:rPr>
              <w:t>Primární zdroje</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_Toc478235182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52</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2"/>
            <w:tabs>
              <w:tab w:val="right" w:leader="dot" w:pos="9061"/>
            </w:tabs>
            <w:rPr>
              <w:rFonts w:ascii="Times New Roman" w:eastAsiaTheme="minorEastAsia" w:hAnsi="Times New Roman" w:cs="Times New Roman"/>
              <w:noProof/>
              <w:sz w:val="24"/>
              <w:szCs w:val="24"/>
              <w:lang w:eastAsia="cs-CZ"/>
            </w:rPr>
          </w:pPr>
          <w:hyperlink w:anchor="_Toc478235183" w:history="1">
            <w:r w:rsidR="0078063F" w:rsidRPr="0078063F">
              <w:rPr>
                <w:rStyle w:val="Hypertextovodkaz"/>
                <w:rFonts w:ascii="Times New Roman" w:hAnsi="Times New Roman" w:cs="Times New Roman"/>
                <w:noProof/>
                <w:sz w:val="24"/>
                <w:szCs w:val="24"/>
              </w:rPr>
              <w:t>Sekundární zdroje</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_Toc478235183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56</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84" w:history="1">
            <w:r w:rsidR="0078063F" w:rsidRPr="0078063F">
              <w:rPr>
                <w:rStyle w:val="Hypertextovodkaz"/>
                <w:rFonts w:ascii="Times New Roman" w:hAnsi="Times New Roman" w:cs="Times New Roman"/>
                <w:noProof/>
                <w:sz w:val="24"/>
                <w:szCs w:val="24"/>
              </w:rPr>
              <w:t>Abstrakt</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_Toc478235184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64</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85" w:history="1">
            <w:r w:rsidR="0078063F" w:rsidRPr="0078063F">
              <w:rPr>
                <w:rStyle w:val="Hypertextovodkaz"/>
                <w:rFonts w:ascii="Times New Roman" w:hAnsi="Times New Roman" w:cs="Times New Roman"/>
                <w:noProof/>
                <w:sz w:val="24"/>
                <w:szCs w:val="24"/>
              </w:rPr>
              <w:t>Abstract</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_Toc478235185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65</w:t>
            </w:r>
            <w:r w:rsidR="0078063F" w:rsidRPr="0078063F">
              <w:rPr>
                <w:rFonts w:ascii="Times New Roman" w:hAnsi="Times New Roman" w:cs="Times New Roman"/>
                <w:noProof/>
                <w:webHidden/>
                <w:sz w:val="24"/>
                <w:szCs w:val="24"/>
              </w:rPr>
              <w:fldChar w:fldCharType="end"/>
            </w:r>
          </w:hyperlink>
        </w:p>
        <w:p w:rsidR="0078063F" w:rsidRPr="0078063F" w:rsidRDefault="000B0B3E">
          <w:pPr>
            <w:pStyle w:val="Obsah1"/>
            <w:tabs>
              <w:tab w:val="right" w:leader="dot" w:pos="9061"/>
            </w:tabs>
            <w:rPr>
              <w:rFonts w:ascii="Times New Roman" w:eastAsiaTheme="minorEastAsia" w:hAnsi="Times New Roman" w:cs="Times New Roman"/>
              <w:noProof/>
              <w:sz w:val="24"/>
              <w:szCs w:val="24"/>
              <w:lang w:eastAsia="cs-CZ"/>
            </w:rPr>
          </w:pPr>
          <w:hyperlink w:anchor="_Toc478235186" w:history="1">
            <w:r w:rsidR="0078063F" w:rsidRPr="0078063F">
              <w:rPr>
                <w:rStyle w:val="Hypertextovodkaz"/>
                <w:rFonts w:ascii="Times New Roman" w:hAnsi="Times New Roman" w:cs="Times New Roman"/>
                <w:noProof/>
                <w:sz w:val="24"/>
                <w:szCs w:val="24"/>
              </w:rPr>
              <w:t>Klíčová slova</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_Toc478235186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66</w:t>
            </w:r>
            <w:r w:rsidR="0078063F" w:rsidRPr="0078063F">
              <w:rPr>
                <w:rFonts w:ascii="Times New Roman" w:hAnsi="Times New Roman" w:cs="Times New Roman"/>
                <w:noProof/>
                <w:webHidden/>
                <w:sz w:val="24"/>
                <w:szCs w:val="24"/>
              </w:rPr>
              <w:fldChar w:fldCharType="end"/>
            </w:r>
          </w:hyperlink>
        </w:p>
        <w:p w:rsidR="0078063F" w:rsidRDefault="000B0B3E">
          <w:pPr>
            <w:pStyle w:val="Obsah1"/>
            <w:tabs>
              <w:tab w:val="right" w:leader="dot" w:pos="9061"/>
            </w:tabs>
            <w:rPr>
              <w:rFonts w:eastAsiaTheme="minorEastAsia"/>
              <w:noProof/>
              <w:lang w:eastAsia="cs-CZ"/>
            </w:rPr>
          </w:pPr>
          <w:hyperlink w:anchor="_Toc478235187" w:history="1">
            <w:r w:rsidR="0078063F" w:rsidRPr="0078063F">
              <w:rPr>
                <w:rStyle w:val="Hypertextovodkaz"/>
                <w:rFonts w:ascii="Times New Roman" w:hAnsi="Times New Roman" w:cs="Times New Roman"/>
                <w:noProof/>
                <w:sz w:val="24"/>
                <w:szCs w:val="24"/>
              </w:rPr>
              <w:t>Keywords</w:t>
            </w:r>
            <w:r w:rsidR="0078063F" w:rsidRPr="0078063F">
              <w:rPr>
                <w:rFonts w:ascii="Times New Roman" w:hAnsi="Times New Roman" w:cs="Times New Roman"/>
                <w:noProof/>
                <w:webHidden/>
                <w:sz w:val="24"/>
                <w:szCs w:val="24"/>
              </w:rPr>
              <w:tab/>
            </w:r>
            <w:r w:rsidR="0078063F" w:rsidRPr="0078063F">
              <w:rPr>
                <w:rFonts w:ascii="Times New Roman" w:hAnsi="Times New Roman" w:cs="Times New Roman"/>
                <w:noProof/>
                <w:webHidden/>
                <w:sz w:val="24"/>
                <w:szCs w:val="24"/>
              </w:rPr>
              <w:fldChar w:fldCharType="begin"/>
            </w:r>
            <w:r w:rsidR="0078063F" w:rsidRPr="0078063F">
              <w:rPr>
                <w:rFonts w:ascii="Times New Roman" w:hAnsi="Times New Roman" w:cs="Times New Roman"/>
                <w:noProof/>
                <w:webHidden/>
                <w:sz w:val="24"/>
                <w:szCs w:val="24"/>
              </w:rPr>
              <w:instrText xml:space="preserve"> PAGEREF _Toc478235187 \h </w:instrText>
            </w:r>
            <w:r w:rsidR="0078063F" w:rsidRPr="0078063F">
              <w:rPr>
                <w:rFonts w:ascii="Times New Roman" w:hAnsi="Times New Roman" w:cs="Times New Roman"/>
                <w:noProof/>
                <w:webHidden/>
                <w:sz w:val="24"/>
                <w:szCs w:val="24"/>
              </w:rPr>
            </w:r>
            <w:r w:rsidR="0078063F" w:rsidRPr="0078063F">
              <w:rPr>
                <w:rFonts w:ascii="Times New Roman" w:hAnsi="Times New Roman" w:cs="Times New Roman"/>
                <w:noProof/>
                <w:webHidden/>
                <w:sz w:val="24"/>
                <w:szCs w:val="24"/>
              </w:rPr>
              <w:fldChar w:fldCharType="separate"/>
            </w:r>
            <w:r w:rsidR="00202FED">
              <w:rPr>
                <w:rFonts w:ascii="Times New Roman" w:hAnsi="Times New Roman" w:cs="Times New Roman"/>
                <w:noProof/>
                <w:webHidden/>
                <w:sz w:val="24"/>
                <w:szCs w:val="24"/>
              </w:rPr>
              <w:t>66</w:t>
            </w:r>
            <w:r w:rsidR="0078063F" w:rsidRPr="0078063F">
              <w:rPr>
                <w:rFonts w:ascii="Times New Roman" w:hAnsi="Times New Roman" w:cs="Times New Roman"/>
                <w:noProof/>
                <w:webHidden/>
                <w:sz w:val="24"/>
                <w:szCs w:val="24"/>
              </w:rPr>
              <w:fldChar w:fldCharType="end"/>
            </w:r>
          </w:hyperlink>
        </w:p>
        <w:p w:rsidR="0084351D" w:rsidRDefault="0084351D">
          <w:r w:rsidRPr="00D40EE9">
            <w:rPr>
              <w:rFonts w:ascii="Times New Roman" w:hAnsi="Times New Roman" w:cs="Times New Roman"/>
              <w:b/>
              <w:bCs/>
              <w:sz w:val="24"/>
              <w:szCs w:val="24"/>
            </w:rPr>
            <w:fldChar w:fldCharType="end"/>
          </w:r>
        </w:p>
      </w:sdtContent>
    </w:sdt>
    <w:p w:rsidR="00BF43F4" w:rsidRDefault="00BF43F4"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Default="00161ED0" w:rsidP="00A35EC1"/>
    <w:p w:rsidR="00161ED0" w:rsidRPr="00A35EC1" w:rsidRDefault="00161ED0" w:rsidP="00A35EC1"/>
    <w:p w:rsidR="00426AD6" w:rsidRDefault="00F92FE1" w:rsidP="008B60F2">
      <w:pPr>
        <w:pStyle w:val="Nadpis1"/>
      </w:pPr>
      <w:bookmarkStart w:id="0" w:name="_Toc478235147"/>
      <w:r>
        <w:lastRenderedPageBreak/>
        <w:t>Seznam použitých zkratek</w:t>
      </w:r>
      <w:bookmarkEnd w:id="0"/>
    </w:p>
    <w:p w:rsidR="00166510" w:rsidRPr="00166510" w:rsidRDefault="00166510" w:rsidP="00166510"/>
    <w:p w:rsidR="001C06B2" w:rsidRPr="001C06B2" w:rsidRDefault="001C06B2" w:rsidP="00A35EC1">
      <w:pPr>
        <w:spacing w:line="360" w:lineRule="auto"/>
        <w:jc w:val="both"/>
        <w:rPr>
          <w:rFonts w:ascii="Times New Roman" w:hAnsi="Times New Roman" w:cs="Times New Roman"/>
          <w:sz w:val="24"/>
        </w:rPr>
      </w:pPr>
      <w:r w:rsidRPr="001C06B2">
        <w:rPr>
          <w:rFonts w:ascii="Times New Roman" w:hAnsi="Times New Roman" w:cs="Times New Roman"/>
          <w:b/>
          <w:sz w:val="24"/>
        </w:rPr>
        <w:t>ČS</w:t>
      </w:r>
      <w:r w:rsidRPr="00A35EC1">
        <w:rPr>
          <w:rFonts w:ascii="Times New Roman" w:hAnsi="Times New Roman" w:cs="Times New Roman"/>
          <w:sz w:val="24"/>
        </w:rPr>
        <w:t xml:space="preserve"> – členský stát</w:t>
      </w:r>
    </w:p>
    <w:p w:rsid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EP</w:t>
      </w:r>
      <w:r>
        <w:rPr>
          <w:rFonts w:ascii="Times New Roman" w:hAnsi="Times New Roman" w:cs="Times New Roman"/>
          <w:sz w:val="24"/>
        </w:rPr>
        <w:t xml:space="preserve"> </w:t>
      </w:r>
      <w:r w:rsidRPr="00A35EC1">
        <w:rPr>
          <w:rFonts w:ascii="Times New Roman" w:hAnsi="Times New Roman" w:cs="Times New Roman"/>
          <w:sz w:val="24"/>
        </w:rPr>
        <w:t>– Evropský parlament</w:t>
      </w:r>
    </w:p>
    <w:p w:rsidR="00FB33A1" w:rsidRPr="00A35EC1" w:rsidRDefault="00FB33A1" w:rsidP="00A35EC1">
      <w:pPr>
        <w:spacing w:line="360" w:lineRule="auto"/>
        <w:jc w:val="both"/>
        <w:rPr>
          <w:rFonts w:ascii="Times New Roman" w:hAnsi="Times New Roman" w:cs="Times New Roman"/>
          <w:sz w:val="24"/>
        </w:rPr>
      </w:pPr>
      <w:r w:rsidRPr="00FB33A1">
        <w:rPr>
          <w:rFonts w:ascii="Times New Roman" w:hAnsi="Times New Roman" w:cs="Times New Roman"/>
          <w:b/>
          <w:sz w:val="24"/>
        </w:rPr>
        <w:t>ER</w:t>
      </w:r>
      <w:r>
        <w:rPr>
          <w:rFonts w:ascii="Times New Roman" w:hAnsi="Times New Roman" w:cs="Times New Roman"/>
          <w:sz w:val="24"/>
        </w:rPr>
        <w:t xml:space="preserve"> – Evropská rada</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EU</w:t>
      </w:r>
      <w:r w:rsidRPr="00A35EC1">
        <w:rPr>
          <w:rFonts w:ascii="Times New Roman" w:hAnsi="Times New Roman" w:cs="Times New Roman"/>
          <w:sz w:val="24"/>
        </w:rPr>
        <w:t xml:space="preserve"> – Evropská unie</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Komise</w:t>
      </w:r>
      <w:r w:rsidRPr="00A35EC1">
        <w:rPr>
          <w:rFonts w:ascii="Times New Roman" w:hAnsi="Times New Roman" w:cs="Times New Roman"/>
          <w:sz w:val="24"/>
        </w:rPr>
        <w:t xml:space="preserve"> – Evropská komise</w:t>
      </w:r>
    </w:p>
    <w:p w:rsid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LS</w:t>
      </w:r>
      <w:r w:rsidRPr="00A35EC1">
        <w:rPr>
          <w:rFonts w:ascii="Times New Roman" w:hAnsi="Times New Roman" w:cs="Times New Roman"/>
          <w:sz w:val="24"/>
        </w:rPr>
        <w:t xml:space="preserve"> – Lisabonská smlouva pozměňující Smlouvu o Evropské unii a Smlouvu o založení Evropského společenství, podepsaná v Lisabonu dne 13. prosince 2007.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C 306, 17. prosince 2007, s. 1-271.</w:t>
      </w:r>
    </w:p>
    <w:p w:rsidR="001C06B2" w:rsidRPr="00A35EC1" w:rsidRDefault="001C06B2" w:rsidP="00A35EC1">
      <w:pPr>
        <w:spacing w:line="360" w:lineRule="auto"/>
        <w:jc w:val="both"/>
        <w:rPr>
          <w:rFonts w:ascii="Times New Roman" w:hAnsi="Times New Roman" w:cs="Times New Roman"/>
          <w:sz w:val="24"/>
        </w:rPr>
      </w:pPr>
      <w:r w:rsidRPr="001C06B2">
        <w:rPr>
          <w:rFonts w:ascii="Times New Roman" w:hAnsi="Times New Roman" w:cs="Times New Roman"/>
          <w:b/>
          <w:sz w:val="24"/>
        </w:rPr>
        <w:t>Návrh</w:t>
      </w:r>
      <w:r w:rsidRPr="00A35EC1">
        <w:rPr>
          <w:rFonts w:ascii="Times New Roman" w:hAnsi="Times New Roman" w:cs="Times New Roman"/>
          <w:sz w:val="24"/>
        </w:rPr>
        <w:t xml:space="preserve"> – návrh legislativního aktu</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Parlament</w:t>
      </w:r>
      <w:r w:rsidRPr="00A35EC1">
        <w:rPr>
          <w:rFonts w:ascii="Times New Roman" w:hAnsi="Times New Roman" w:cs="Times New Roman"/>
          <w:sz w:val="24"/>
        </w:rPr>
        <w:t xml:space="preserve"> – národní parlament, vnitrostátní parlament, někde také jako komora</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Protokol č. 1</w:t>
      </w:r>
      <w:r w:rsidRPr="00A35EC1">
        <w:rPr>
          <w:rFonts w:ascii="Times New Roman" w:hAnsi="Times New Roman" w:cs="Times New Roman"/>
          <w:sz w:val="24"/>
        </w:rPr>
        <w:t xml:space="preserve"> </w:t>
      </w:r>
      <w:r w:rsidR="00BB4C48" w:rsidRPr="00A35EC1">
        <w:rPr>
          <w:rFonts w:ascii="Times New Roman" w:hAnsi="Times New Roman" w:cs="Times New Roman"/>
          <w:sz w:val="24"/>
        </w:rPr>
        <w:t>–</w:t>
      </w:r>
      <w:r w:rsidR="00BB4C48">
        <w:rPr>
          <w:rFonts w:ascii="Times New Roman" w:hAnsi="Times New Roman" w:cs="Times New Roman"/>
          <w:sz w:val="24"/>
        </w:rPr>
        <w:t xml:space="preserve"> </w:t>
      </w:r>
      <w:r w:rsidRPr="00A35EC1">
        <w:rPr>
          <w:rFonts w:ascii="Times New Roman" w:hAnsi="Times New Roman" w:cs="Times New Roman"/>
          <w:sz w:val="24"/>
        </w:rPr>
        <w:t xml:space="preserve">Protokol o úloze vnitrostátních parlamentů v Evropské unii.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C 306, 17. prosince 2007, s. 148-150.</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Protokol č. 2</w:t>
      </w:r>
      <w:r w:rsidRPr="00A35EC1">
        <w:rPr>
          <w:rFonts w:ascii="Times New Roman" w:hAnsi="Times New Roman" w:cs="Times New Roman"/>
          <w:sz w:val="24"/>
        </w:rPr>
        <w:t xml:space="preserve"> </w:t>
      </w:r>
      <w:r w:rsidR="00BB4C48" w:rsidRPr="00A35EC1">
        <w:rPr>
          <w:rFonts w:ascii="Times New Roman" w:hAnsi="Times New Roman" w:cs="Times New Roman"/>
          <w:sz w:val="24"/>
        </w:rPr>
        <w:t>–</w:t>
      </w:r>
      <w:r w:rsidR="00BB4C48">
        <w:rPr>
          <w:rFonts w:ascii="Times New Roman" w:hAnsi="Times New Roman" w:cs="Times New Roman"/>
          <w:sz w:val="24"/>
        </w:rPr>
        <w:t xml:space="preserve"> </w:t>
      </w:r>
      <w:r w:rsidRPr="00A35EC1">
        <w:rPr>
          <w:rFonts w:ascii="Times New Roman" w:hAnsi="Times New Roman" w:cs="Times New Roman"/>
          <w:sz w:val="24"/>
        </w:rPr>
        <w:t xml:space="preserve">Protokol o používání zásad subsidiarity a proporcionality.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C 306, 17. prosince 2007, s. 150-152.</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Protokol č. 9</w:t>
      </w:r>
      <w:r w:rsidRPr="00A35EC1">
        <w:rPr>
          <w:rFonts w:ascii="Times New Roman" w:hAnsi="Times New Roman" w:cs="Times New Roman"/>
          <w:sz w:val="24"/>
        </w:rPr>
        <w:t xml:space="preserve"> </w:t>
      </w:r>
      <w:r w:rsidR="00BB4C48" w:rsidRPr="00A35EC1">
        <w:rPr>
          <w:rFonts w:ascii="Times New Roman" w:hAnsi="Times New Roman" w:cs="Times New Roman"/>
          <w:sz w:val="24"/>
        </w:rPr>
        <w:t>–</w:t>
      </w:r>
      <w:r w:rsidR="00BB4C48">
        <w:rPr>
          <w:rFonts w:ascii="Times New Roman" w:hAnsi="Times New Roman" w:cs="Times New Roman"/>
          <w:sz w:val="24"/>
        </w:rPr>
        <w:t xml:space="preserve"> </w:t>
      </w:r>
      <w:r w:rsidRPr="00A35EC1">
        <w:rPr>
          <w:rFonts w:ascii="Times New Roman" w:hAnsi="Times New Roman" w:cs="Times New Roman"/>
          <w:sz w:val="24"/>
        </w:rPr>
        <w:t xml:space="preserve">Protokol o úloze vnitrostátních parlamentů v Evropské unii.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C 340, 10. listopadu 1997, s. 113-114.</w:t>
      </w:r>
    </w:p>
    <w:p w:rsid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Protokol č. 30</w:t>
      </w:r>
      <w:r w:rsidRPr="00A35EC1">
        <w:rPr>
          <w:rFonts w:ascii="Times New Roman" w:hAnsi="Times New Roman" w:cs="Times New Roman"/>
          <w:sz w:val="24"/>
        </w:rPr>
        <w:t xml:space="preserve"> </w:t>
      </w:r>
      <w:r w:rsidR="00BB4C48" w:rsidRPr="00A35EC1">
        <w:rPr>
          <w:rFonts w:ascii="Times New Roman" w:hAnsi="Times New Roman" w:cs="Times New Roman"/>
          <w:sz w:val="24"/>
        </w:rPr>
        <w:t>–</w:t>
      </w:r>
      <w:r w:rsidR="00BB4C48">
        <w:rPr>
          <w:rFonts w:ascii="Times New Roman" w:hAnsi="Times New Roman" w:cs="Times New Roman"/>
          <w:sz w:val="24"/>
        </w:rPr>
        <w:t xml:space="preserve"> </w:t>
      </w:r>
      <w:r w:rsidRPr="00A35EC1">
        <w:rPr>
          <w:rFonts w:ascii="Times New Roman" w:hAnsi="Times New Roman" w:cs="Times New Roman"/>
          <w:sz w:val="24"/>
        </w:rPr>
        <w:t xml:space="preserve">Protokol o používání zásad subsidiarity a proporcionality.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C 340, 10. listopadu 1997, s. 105-107.</w:t>
      </w:r>
    </w:p>
    <w:p w:rsidR="00C562DA" w:rsidRPr="00A35EC1" w:rsidRDefault="00C562DA" w:rsidP="00A35EC1">
      <w:pPr>
        <w:spacing w:line="360" w:lineRule="auto"/>
        <w:jc w:val="both"/>
        <w:rPr>
          <w:rFonts w:ascii="Times New Roman" w:hAnsi="Times New Roman" w:cs="Times New Roman"/>
          <w:sz w:val="24"/>
        </w:rPr>
      </w:pPr>
      <w:r w:rsidRPr="00C562DA">
        <w:rPr>
          <w:rFonts w:ascii="Times New Roman" w:hAnsi="Times New Roman" w:cs="Times New Roman"/>
          <w:b/>
          <w:sz w:val="24"/>
        </w:rPr>
        <w:t>PSBP</w:t>
      </w:r>
      <w:r>
        <w:rPr>
          <w:rFonts w:ascii="Times New Roman" w:hAnsi="Times New Roman" w:cs="Times New Roman"/>
          <w:sz w:val="24"/>
        </w:rPr>
        <w:t xml:space="preserve"> –</w:t>
      </w:r>
      <w:r w:rsidR="00752D5E">
        <w:rPr>
          <w:rFonts w:ascii="Times New Roman" w:hAnsi="Times New Roman" w:cs="Times New Roman"/>
          <w:sz w:val="24"/>
        </w:rPr>
        <w:t xml:space="preserve"> p</w:t>
      </w:r>
      <w:r>
        <w:rPr>
          <w:rFonts w:ascii="Times New Roman" w:hAnsi="Times New Roman" w:cs="Times New Roman"/>
          <w:sz w:val="24"/>
        </w:rPr>
        <w:t>rostor svobody, bezpečnosti a práva</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Rada</w:t>
      </w:r>
      <w:r w:rsidRPr="00A35EC1">
        <w:rPr>
          <w:rFonts w:ascii="Times New Roman" w:hAnsi="Times New Roman" w:cs="Times New Roman"/>
          <w:sz w:val="24"/>
        </w:rPr>
        <w:t xml:space="preserve"> </w:t>
      </w:r>
      <w:r w:rsidR="00BB4C48" w:rsidRPr="00A35EC1">
        <w:rPr>
          <w:rFonts w:ascii="Times New Roman" w:hAnsi="Times New Roman" w:cs="Times New Roman"/>
          <w:sz w:val="24"/>
        </w:rPr>
        <w:t>–</w:t>
      </w:r>
      <w:r w:rsidR="00BB4C48">
        <w:rPr>
          <w:rFonts w:ascii="Times New Roman" w:hAnsi="Times New Roman" w:cs="Times New Roman"/>
          <w:sz w:val="24"/>
        </w:rPr>
        <w:t xml:space="preserve"> </w:t>
      </w:r>
      <w:r w:rsidRPr="00A35EC1">
        <w:rPr>
          <w:rFonts w:ascii="Times New Roman" w:hAnsi="Times New Roman" w:cs="Times New Roman"/>
          <w:sz w:val="24"/>
        </w:rPr>
        <w:t>Rada Evropské unie</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SEU</w:t>
      </w:r>
      <w:r w:rsidRPr="00A35EC1">
        <w:rPr>
          <w:rFonts w:ascii="Times New Roman" w:hAnsi="Times New Roman" w:cs="Times New Roman"/>
          <w:sz w:val="24"/>
        </w:rPr>
        <w:t xml:space="preserve"> – Smlouva o Evropské unii (konsolidované znění).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věst</w:t>
      </w:r>
      <w:proofErr w:type="spellEnd"/>
      <w:r w:rsidRPr="00A35EC1">
        <w:rPr>
          <w:rFonts w:ascii="Times New Roman" w:hAnsi="Times New Roman" w:cs="Times New Roman"/>
          <w:sz w:val="24"/>
        </w:rPr>
        <w:t xml:space="preserve">. C 326, 26. </w:t>
      </w:r>
      <w:r w:rsidR="00BA15B4">
        <w:rPr>
          <w:rFonts w:ascii="Times New Roman" w:hAnsi="Times New Roman" w:cs="Times New Roman"/>
          <w:sz w:val="24"/>
        </w:rPr>
        <w:t>října 2012, s. 13-</w:t>
      </w:r>
      <w:r w:rsidRPr="00A35EC1">
        <w:rPr>
          <w:rFonts w:ascii="Times New Roman" w:hAnsi="Times New Roman" w:cs="Times New Roman"/>
          <w:sz w:val="24"/>
        </w:rPr>
        <w:t>390.</w:t>
      </w:r>
    </w:p>
    <w:p w:rsidR="00A35EC1" w:rsidRPr="00A35EC1" w:rsidRDefault="00A35EC1" w:rsidP="00A35EC1">
      <w:pPr>
        <w:spacing w:line="360" w:lineRule="auto"/>
        <w:jc w:val="both"/>
        <w:rPr>
          <w:rFonts w:ascii="Times New Roman" w:hAnsi="Times New Roman" w:cs="Times New Roman"/>
          <w:sz w:val="24"/>
        </w:rPr>
      </w:pPr>
      <w:r w:rsidRPr="00A35EC1">
        <w:rPr>
          <w:rFonts w:ascii="Times New Roman" w:hAnsi="Times New Roman" w:cs="Times New Roman"/>
          <w:b/>
          <w:sz w:val="24"/>
        </w:rPr>
        <w:t xml:space="preserve">SFEU </w:t>
      </w:r>
      <w:r w:rsidRPr="00A35EC1">
        <w:rPr>
          <w:rFonts w:ascii="Times New Roman" w:hAnsi="Times New Roman" w:cs="Times New Roman"/>
          <w:sz w:val="24"/>
        </w:rPr>
        <w:t xml:space="preserve">– Smlouva o fungování Evropské unie, Konsolidované znění Smlouvy o fungování Evropské unie. </w:t>
      </w:r>
      <w:proofErr w:type="spellStart"/>
      <w:r w:rsidRPr="00A35EC1">
        <w:rPr>
          <w:rFonts w:ascii="Times New Roman" w:hAnsi="Times New Roman" w:cs="Times New Roman"/>
          <w:sz w:val="24"/>
        </w:rPr>
        <w:t>Úř</w:t>
      </w:r>
      <w:proofErr w:type="spellEnd"/>
      <w:r w:rsidRPr="00A35EC1">
        <w:rPr>
          <w:rFonts w:ascii="Times New Roman" w:hAnsi="Times New Roman" w:cs="Times New Roman"/>
          <w:sz w:val="24"/>
        </w:rPr>
        <w:t xml:space="preserve">. </w:t>
      </w:r>
      <w:proofErr w:type="spellStart"/>
      <w:r w:rsidRPr="00A35EC1">
        <w:rPr>
          <w:rFonts w:ascii="Times New Roman" w:hAnsi="Times New Roman" w:cs="Times New Roman"/>
          <w:sz w:val="24"/>
        </w:rPr>
        <w:t>věs</w:t>
      </w:r>
      <w:r w:rsidR="00BA15B4">
        <w:rPr>
          <w:rFonts w:ascii="Times New Roman" w:hAnsi="Times New Roman" w:cs="Times New Roman"/>
          <w:sz w:val="24"/>
        </w:rPr>
        <w:t>t</w:t>
      </w:r>
      <w:proofErr w:type="spellEnd"/>
      <w:r w:rsidR="00BA15B4">
        <w:rPr>
          <w:rFonts w:ascii="Times New Roman" w:hAnsi="Times New Roman" w:cs="Times New Roman"/>
          <w:sz w:val="24"/>
        </w:rPr>
        <w:t>. C 326, 26. října 2012, s. 47-</w:t>
      </w:r>
      <w:r w:rsidRPr="00A35EC1">
        <w:rPr>
          <w:rFonts w:ascii="Times New Roman" w:hAnsi="Times New Roman" w:cs="Times New Roman"/>
          <w:sz w:val="24"/>
        </w:rPr>
        <w:t>390.</w:t>
      </w:r>
    </w:p>
    <w:p w:rsidR="00390E60" w:rsidRPr="00390E60" w:rsidRDefault="00A35EC1" w:rsidP="00390E60">
      <w:pPr>
        <w:spacing w:line="360" w:lineRule="auto"/>
        <w:jc w:val="both"/>
        <w:rPr>
          <w:rFonts w:ascii="Times New Roman" w:hAnsi="Times New Roman" w:cs="Times New Roman"/>
          <w:sz w:val="24"/>
        </w:rPr>
      </w:pPr>
      <w:r w:rsidRPr="00BA15B4">
        <w:rPr>
          <w:rFonts w:ascii="Times New Roman" w:hAnsi="Times New Roman" w:cs="Times New Roman"/>
          <w:b/>
          <w:sz w:val="24"/>
        </w:rPr>
        <w:t>SDEU</w:t>
      </w:r>
      <w:r w:rsidRPr="00A35EC1">
        <w:rPr>
          <w:rFonts w:ascii="Times New Roman" w:hAnsi="Times New Roman" w:cs="Times New Roman"/>
          <w:sz w:val="24"/>
        </w:rPr>
        <w:t xml:space="preserve"> – Soudní dvůr EU, někde pouze jako Soudní dvůr</w:t>
      </w:r>
    </w:p>
    <w:p w:rsidR="00D433B1" w:rsidRDefault="00D433B1" w:rsidP="00164BCF">
      <w:pPr>
        <w:pStyle w:val="Nadpis1"/>
      </w:pPr>
      <w:bookmarkStart w:id="1" w:name="_Toc478235148"/>
      <w:r w:rsidRPr="00164BCF">
        <w:lastRenderedPageBreak/>
        <w:t>Úvod</w:t>
      </w:r>
      <w:bookmarkEnd w:id="1"/>
    </w:p>
    <w:p w:rsidR="000F4658" w:rsidRPr="000F4658" w:rsidRDefault="000F4658" w:rsidP="000F4658"/>
    <w:p w:rsidR="00D433B1" w:rsidRPr="00D32F04" w:rsidRDefault="00B23820"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Národní p</w:t>
      </w:r>
      <w:r w:rsidR="00D433B1">
        <w:rPr>
          <w:rFonts w:ascii="Times New Roman" w:hAnsi="Times New Roman" w:cs="Times New Roman"/>
          <w:sz w:val="24"/>
        </w:rPr>
        <w:t>arlamenty</w:t>
      </w:r>
      <w:r w:rsidR="004D5044">
        <w:rPr>
          <w:rFonts w:ascii="Times New Roman" w:hAnsi="Times New Roman" w:cs="Times New Roman"/>
          <w:sz w:val="24"/>
        </w:rPr>
        <w:t xml:space="preserve"> (dále </w:t>
      </w:r>
      <w:r>
        <w:rPr>
          <w:rFonts w:ascii="Times New Roman" w:hAnsi="Times New Roman" w:cs="Times New Roman"/>
          <w:sz w:val="24"/>
        </w:rPr>
        <w:t>parlamenty)</w:t>
      </w:r>
      <w:r w:rsidR="00D433B1" w:rsidRPr="00D32F04">
        <w:rPr>
          <w:rFonts w:ascii="Times New Roman" w:hAnsi="Times New Roman" w:cs="Times New Roman"/>
          <w:sz w:val="24"/>
        </w:rPr>
        <w:t xml:space="preserve"> byly </w:t>
      </w:r>
      <w:r w:rsidR="00ED5BC8">
        <w:rPr>
          <w:rFonts w:ascii="Times New Roman" w:hAnsi="Times New Roman" w:cs="Times New Roman"/>
          <w:sz w:val="24"/>
        </w:rPr>
        <w:t>dlouho</w:t>
      </w:r>
      <w:r w:rsidR="00D433B1" w:rsidRPr="00D32F04">
        <w:rPr>
          <w:rFonts w:ascii="Times New Roman" w:hAnsi="Times New Roman" w:cs="Times New Roman"/>
          <w:sz w:val="24"/>
        </w:rPr>
        <w:t xml:space="preserve"> vnímány ja</w:t>
      </w:r>
      <w:r w:rsidR="006D7EAC">
        <w:rPr>
          <w:rFonts w:ascii="Times New Roman" w:hAnsi="Times New Roman" w:cs="Times New Roman"/>
          <w:sz w:val="24"/>
        </w:rPr>
        <w:t>ko</w:t>
      </w:r>
      <w:r w:rsidR="00D433B1" w:rsidRPr="00D32F04">
        <w:rPr>
          <w:rFonts w:ascii="Times New Roman" w:hAnsi="Times New Roman" w:cs="Times New Roman"/>
          <w:sz w:val="24"/>
        </w:rPr>
        <w:t xml:space="preserve"> centrum moci a hlavní legislativní orgán</w:t>
      </w:r>
      <w:r w:rsidR="00686E26">
        <w:rPr>
          <w:rFonts w:ascii="Times New Roman" w:hAnsi="Times New Roman" w:cs="Times New Roman"/>
          <w:sz w:val="24"/>
        </w:rPr>
        <w:t>y, jejichž</w:t>
      </w:r>
      <w:r w:rsidR="00D433B1" w:rsidRPr="00D32F04">
        <w:rPr>
          <w:rFonts w:ascii="Times New Roman" w:hAnsi="Times New Roman" w:cs="Times New Roman"/>
          <w:sz w:val="24"/>
        </w:rPr>
        <w:t xml:space="preserve"> věcná působnost v podstatě neměla hranice. </w:t>
      </w:r>
      <w:r w:rsidR="00D433B1">
        <w:rPr>
          <w:rFonts w:ascii="Times New Roman" w:hAnsi="Times New Roman" w:cs="Times New Roman"/>
          <w:sz w:val="24"/>
        </w:rPr>
        <w:t>Za jejich hlavní funkci</w:t>
      </w:r>
      <w:r w:rsidR="00D433B1" w:rsidRPr="00D32F04">
        <w:rPr>
          <w:rFonts w:ascii="Times New Roman" w:hAnsi="Times New Roman" w:cs="Times New Roman"/>
          <w:sz w:val="24"/>
        </w:rPr>
        <w:t xml:space="preserve"> lze obecně označit právě tu zákonodárnou. V rámci evropské integrace jsou však legislativní možnosti </w:t>
      </w:r>
      <w:r w:rsidR="00D433B1">
        <w:rPr>
          <w:rFonts w:ascii="Times New Roman" w:hAnsi="Times New Roman" w:cs="Times New Roman"/>
          <w:sz w:val="24"/>
        </w:rPr>
        <w:t>parlamentů</w:t>
      </w:r>
      <w:r w:rsidR="007D41BC">
        <w:rPr>
          <w:rFonts w:ascii="Times New Roman" w:hAnsi="Times New Roman" w:cs="Times New Roman"/>
          <w:sz w:val="24"/>
        </w:rPr>
        <w:t xml:space="preserve"> omezovány. T</w:t>
      </w:r>
      <w:r w:rsidR="00D433B1">
        <w:rPr>
          <w:rFonts w:ascii="Times New Roman" w:hAnsi="Times New Roman" w:cs="Times New Roman"/>
          <w:sz w:val="24"/>
        </w:rPr>
        <w:t xml:space="preserve">y se tak mnohdy </w:t>
      </w:r>
      <w:r w:rsidR="00D433B1" w:rsidRPr="00D32F04">
        <w:rPr>
          <w:rFonts w:ascii="Times New Roman" w:hAnsi="Times New Roman" w:cs="Times New Roman"/>
          <w:sz w:val="24"/>
        </w:rPr>
        <w:t>mohou dostat do situace, kdy do určité věci vůbec nemohou zasáhnout nebo schvalují předp</w:t>
      </w:r>
      <w:r w:rsidR="003F20B1">
        <w:rPr>
          <w:rFonts w:ascii="Times New Roman" w:hAnsi="Times New Roman" w:cs="Times New Roman"/>
          <w:sz w:val="24"/>
        </w:rPr>
        <w:t>is</w:t>
      </w:r>
      <w:r w:rsidR="00D433B1" w:rsidRPr="00D32F04">
        <w:rPr>
          <w:rFonts w:ascii="Times New Roman" w:hAnsi="Times New Roman" w:cs="Times New Roman"/>
          <w:sz w:val="24"/>
        </w:rPr>
        <w:t xml:space="preserve"> pouze z povinnosti, nikoli na základě názorové a hodnotové diskuze vedené na jejich půdě.</w:t>
      </w:r>
    </w:p>
    <w:p w:rsidR="00D433B1" w:rsidRPr="00D32F04" w:rsidRDefault="00D433B1" w:rsidP="0015186F">
      <w:pPr>
        <w:spacing w:after="0" w:line="360" w:lineRule="auto"/>
        <w:ind w:firstLine="708"/>
        <w:jc w:val="both"/>
        <w:rPr>
          <w:rFonts w:ascii="Times New Roman" w:hAnsi="Times New Roman" w:cs="Times New Roman"/>
          <w:sz w:val="24"/>
        </w:rPr>
      </w:pPr>
      <w:r w:rsidRPr="00D32F04">
        <w:rPr>
          <w:rFonts w:ascii="Times New Roman" w:hAnsi="Times New Roman" w:cs="Times New Roman"/>
          <w:sz w:val="24"/>
        </w:rPr>
        <w:t>V rámci Evropské unie</w:t>
      </w:r>
      <w:r w:rsidR="001A6355">
        <w:rPr>
          <w:rFonts w:ascii="Times New Roman" w:hAnsi="Times New Roman" w:cs="Times New Roman"/>
          <w:sz w:val="24"/>
        </w:rPr>
        <w:t xml:space="preserve"> (dále EU</w:t>
      </w:r>
      <w:r>
        <w:rPr>
          <w:rFonts w:ascii="Times New Roman" w:hAnsi="Times New Roman" w:cs="Times New Roman"/>
          <w:sz w:val="24"/>
        </w:rPr>
        <w:t>)</w:t>
      </w:r>
      <w:r w:rsidR="007466EB">
        <w:rPr>
          <w:rFonts w:ascii="Times New Roman" w:hAnsi="Times New Roman" w:cs="Times New Roman"/>
          <w:sz w:val="24"/>
        </w:rPr>
        <w:t xml:space="preserve"> </w:t>
      </w:r>
      <w:r w:rsidR="00DE0956">
        <w:rPr>
          <w:rFonts w:ascii="Times New Roman" w:hAnsi="Times New Roman" w:cs="Times New Roman"/>
          <w:sz w:val="24"/>
        </w:rPr>
        <w:t>se</w:t>
      </w:r>
      <w:r w:rsidRPr="00D32F04">
        <w:rPr>
          <w:rFonts w:ascii="Times New Roman" w:hAnsi="Times New Roman" w:cs="Times New Roman"/>
          <w:sz w:val="24"/>
        </w:rPr>
        <w:t xml:space="preserve"> dlouhodobě setkávám</w:t>
      </w:r>
      <w:r w:rsidR="00DA2524">
        <w:rPr>
          <w:rFonts w:ascii="Times New Roman" w:hAnsi="Times New Roman" w:cs="Times New Roman"/>
          <w:sz w:val="24"/>
        </w:rPr>
        <w:t>e se snahou o snížení</w:t>
      </w:r>
      <w:r w:rsidRPr="00D32F04">
        <w:rPr>
          <w:rFonts w:ascii="Times New Roman" w:hAnsi="Times New Roman" w:cs="Times New Roman"/>
          <w:sz w:val="24"/>
        </w:rPr>
        <w:t xml:space="preserve"> demokratického deficitu. </w:t>
      </w:r>
      <w:r w:rsidRPr="00281110">
        <w:rPr>
          <w:rFonts w:ascii="Times New Roman" w:hAnsi="Times New Roman" w:cs="Times New Roman"/>
          <w:sz w:val="24"/>
        </w:rPr>
        <w:t xml:space="preserve">Ten spočívá, byť </w:t>
      </w:r>
      <w:r w:rsidR="001B1AD1">
        <w:rPr>
          <w:rFonts w:ascii="Times New Roman" w:hAnsi="Times New Roman" w:cs="Times New Roman"/>
          <w:sz w:val="24"/>
        </w:rPr>
        <w:t xml:space="preserve">pravděpodobně </w:t>
      </w:r>
      <w:r w:rsidR="00C44B33">
        <w:rPr>
          <w:rFonts w:ascii="Times New Roman" w:hAnsi="Times New Roman" w:cs="Times New Roman"/>
          <w:sz w:val="24"/>
        </w:rPr>
        <w:t xml:space="preserve">méně </w:t>
      </w:r>
      <w:r w:rsidRPr="00281110">
        <w:rPr>
          <w:rFonts w:ascii="Times New Roman" w:hAnsi="Times New Roman" w:cs="Times New Roman"/>
          <w:sz w:val="24"/>
        </w:rPr>
        <w:t>než v</w:t>
      </w:r>
      <w:r w:rsidR="004036BE">
        <w:rPr>
          <w:rFonts w:ascii="Times New Roman" w:hAnsi="Times New Roman" w:cs="Times New Roman"/>
          <w:sz w:val="24"/>
        </w:rPr>
        <w:t xml:space="preserve"> minulosti, především v tom, že pravomoci</w:t>
      </w:r>
      <w:r w:rsidR="001905B6">
        <w:rPr>
          <w:rStyle w:val="Znakapoznpodarou"/>
          <w:rFonts w:ascii="Times New Roman" w:hAnsi="Times New Roman" w:cs="Times New Roman"/>
          <w:sz w:val="24"/>
        </w:rPr>
        <w:footnoteReference w:id="1"/>
      </w:r>
      <w:r w:rsidR="001905B6" w:rsidRPr="00D32F04">
        <w:rPr>
          <w:rFonts w:ascii="Times New Roman" w:hAnsi="Times New Roman" w:cs="Times New Roman"/>
          <w:sz w:val="24"/>
        </w:rPr>
        <w:t xml:space="preserve"> </w:t>
      </w:r>
      <w:r w:rsidRPr="00281110">
        <w:rPr>
          <w:rFonts w:ascii="Times New Roman" w:hAnsi="Times New Roman" w:cs="Times New Roman"/>
          <w:sz w:val="24"/>
        </w:rPr>
        <w:t>kumulují nevolené a občanům vzdálené výkonné orgány</w:t>
      </w:r>
      <w:r w:rsidR="004563FA">
        <w:rPr>
          <w:rFonts w:ascii="Times New Roman" w:hAnsi="Times New Roman" w:cs="Times New Roman"/>
          <w:sz w:val="24"/>
        </w:rPr>
        <w:t>. K</w:t>
      </w:r>
      <w:r>
        <w:rPr>
          <w:rFonts w:ascii="Times New Roman" w:hAnsi="Times New Roman" w:cs="Times New Roman"/>
          <w:sz w:val="24"/>
        </w:rPr>
        <w:t>lesá tak význam volených zastupitelských orgánů v rozhodovacím procesu</w:t>
      </w:r>
      <w:r w:rsidRPr="00281110">
        <w:rPr>
          <w:rFonts w:ascii="Times New Roman" w:hAnsi="Times New Roman" w:cs="Times New Roman"/>
          <w:sz w:val="24"/>
        </w:rPr>
        <w:t>.</w:t>
      </w:r>
      <w:r w:rsidR="00A16832">
        <w:rPr>
          <w:rStyle w:val="Znakapoznpodarou"/>
          <w:rFonts w:ascii="Times New Roman" w:hAnsi="Times New Roman" w:cs="Times New Roman"/>
          <w:sz w:val="24"/>
        </w:rPr>
        <w:footnoteReference w:id="2"/>
      </w:r>
      <w:r w:rsidRPr="00D32F04">
        <w:rPr>
          <w:rFonts w:ascii="Times New Roman" w:hAnsi="Times New Roman" w:cs="Times New Roman"/>
          <w:sz w:val="24"/>
        </w:rPr>
        <w:t xml:space="preserve"> A přestože </w:t>
      </w:r>
      <w:r>
        <w:rPr>
          <w:rFonts w:ascii="Times New Roman" w:hAnsi="Times New Roman" w:cs="Times New Roman"/>
          <w:sz w:val="24"/>
        </w:rPr>
        <w:t xml:space="preserve">ve snaze snížit tento deficit </w:t>
      </w:r>
      <w:r w:rsidRPr="00D32F04">
        <w:rPr>
          <w:rFonts w:ascii="Times New Roman" w:hAnsi="Times New Roman" w:cs="Times New Roman"/>
          <w:sz w:val="24"/>
        </w:rPr>
        <w:t xml:space="preserve">pravděpodobně </w:t>
      </w:r>
      <w:r>
        <w:rPr>
          <w:rFonts w:ascii="Times New Roman" w:hAnsi="Times New Roman" w:cs="Times New Roman"/>
          <w:sz w:val="24"/>
        </w:rPr>
        <w:t xml:space="preserve">největší proměnou </w:t>
      </w:r>
      <w:r w:rsidR="009C496A">
        <w:rPr>
          <w:rFonts w:ascii="Times New Roman" w:hAnsi="Times New Roman" w:cs="Times New Roman"/>
          <w:sz w:val="24"/>
        </w:rPr>
        <w:t>prošla</w:t>
      </w:r>
      <w:r w:rsidRPr="00D32F04">
        <w:rPr>
          <w:rFonts w:ascii="Times New Roman" w:hAnsi="Times New Roman" w:cs="Times New Roman"/>
          <w:sz w:val="24"/>
        </w:rPr>
        <w:t xml:space="preserve"> jedna z nadnárodních i</w:t>
      </w:r>
      <w:r>
        <w:rPr>
          <w:rFonts w:ascii="Times New Roman" w:hAnsi="Times New Roman" w:cs="Times New Roman"/>
          <w:sz w:val="24"/>
        </w:rPr>
        <w:t>nstitucí EU</w:t>
      </w:r>
      <w:r w:rsidRPr="00D32F04">
        <w:rPr>
          <w:rFonts w:ascii="Times New Roman" w:hAnsi="Times New Roman" w:cs="Times New Roman"/>
          <w:sz w:val="24"/>
        </w:rPr>
        <w:t xml:space="preserve"> v podobě Evropského parlamentu</w:t>
      </w:r>
      <w:r w:rsidR="00A87FEC">
        <w:rPr>
          <w:rFonts w:ascii="Times New Roman" w:hAnsi="Times New Roman" w:cs="Times New Roman"/>
          <w:sz w:val="24"/>
        </w:rPr>
        <w:t xml:space="preserve"> (dále EP</w:t>
      </w:r>
      <w:r>
        <w:rPr>
          <w:rFonts w:ascii="Times New Roman" w:hAnsi="Times New Roman" w:cs="Times New Roman"/>
          <w:sz w:val="24"/>
        </w:rPr>
        <w:t>)</w:t>
      </w:r>
      <w:r w:rsidRPr="00D32F04">
        <w:rPr>
          <w:rFonts w:ascii="Times New Roman" w:hAnsi="Times New Roman" w:cs="Times New Roman"/>
          <w:sz w:val="24"/>
        </w:rPr>
        <w:t>, tak svou úlohu zde zaujímají</w:t>
      </w:r>
      <w:r w:rsidR="00111FA3">
        <w:rPr>
          <w:rFonts w:ascii="Times New Roman" w:hAnsi="Times New Roman" w:cs="Times New Roman"/>
          <w:sz w:val="24"/>
        </w:rPr>
        <w:t xml:space="preserve"> i</w:t>
      </w:r>
      <w:r>
        <w:rPr>
          <w:rFonts w:ascii="Times New Roman" w:hAnsi="Times New Roman" w:cs="Times New Roman"/>
          <w:sz w:val="24"/>
        </w:rPr>
        <w:t xml:space="preserve"> parlamenty</w:t>
      </w:r>
      <w:r w:rsidRPr="00D32F04">
        <w:rPr>
          <w:rFonts w:ascii="Times New Roman" w:hAnsi="Times New Roman" w:cs="Times New Roman"/>
          <w:sz w:val="24"/>
        </w:rPr>
        <w:t>.</w:t>
      </w:r>
      <w:r>
        <w:rPr>
          <w:rFonts w:ascii="Times New Roman" w:hAnsi="Times New Roman" w:cs="Times New Roman"/>
          <w:sz w:val="24"/>
        </w:rPr>
        <w:t xml:space="preserve"> Vždyť právě ty jsou symbolem zastupitelské demokracie, na níž má být dle textu Smlouvy o Evropské unii</w:t>
      </w:r>
      <w:r w:rsidR="001A6355">
        <w:rPr>
          <w:rFonts w:ascii="Times New Roman" w:hAnsi="Times New Roman" w:cs="Times New Roman"/>
          <w:sz w:val="24"/>
        </w:rPr>
        <w:t xml:space="preserve"> (dále SEU</w:t>
      </w:r>
      <w:r>
        <w:rPr>
          <w:rFonts w:ascii="Times New Roman" w:hAnsi="Times New Roman" w:cs="Times New Roman"/>
          <w:sz w:val="24"/>
        </w:rPr>
        <w:t>) založeno i fungování EU.</w:t>
      </w:r>
      <w:r>
        <w:rPr>
          <w:rStyle w:val="Znakapoznpodarou"/>
          <w:rFonts w:ascii="Times New Roman" w:hAnsi="Times New Roman" w:cs="Times New Roman"/>
          <w:sz w:val="24"/>
        </w:rPr>
        <w:footnoteReference w:id="3"/>
      </w:r>
    </w:p>
    <w:p w:rsidR="00D433B1" w:rsidRPr="00D32F04" w:rsidRDefault="00D433B1" w:rsidP="0015186F">
      <w:pPr>
        <w:spacing w:after="0" w:line="360" w:lineRule="auto"/>
        <w:ind w:firstLine="708"/>
        <w:jc w:val="both"/>
        <w:rPr>
          <w:rFonts w:ascii="Times New Roman" w:hAnsi="Times New Roman" w:cs="Times New Roman"/>
          <w:sz w:val="24"/>
        </w:rPr>
      </w:pPr>
      <w:r w:rsidRPr="00D32F04">
        <w:rPr>
          <w:rFonts w:ascii="Times New Roman" w:hAnsi="Times New Roman" w:cs="Times New Roman"/>
          <w:sz w:val="24"/>
        </w:rPr>
        <w:t>Lisabonská sm</w:t>
      </w:r>
      <w:r>
        <w:rPr>
          <w:rFonts w:ascii="Times New Roman" w:hAnsi="Times New Roman" w:cs="Times New Roman"/>
          <w:sz w:val="24"/>
        </w:rPr>
        <w:t>louva</w:t>
      </w:r>
      <w:r w:rsidR="001A6355">
        <w:rPr>
          <w:rFonts w:ascii="Times New Roman" w:hAnsi="Times New Roman" w:cs="Times New Roman"/>
          <w:sz w:val="24"/>
        </w:rPr>
        <w:t xml:space="preserve"> (dále LS</w:t>
      </w:r>
      <w:r>
        <w:rPr>
          <w:rFonts w:ascii="Times New Roman" w:hAnsi="Times New Roman" w:cs="Times New Roman"/>
          <w:sz w:val="24"/>
        </w:rPr>
        <w:t>), poslední</w:t>
      </w:r>
      <w:r w:rsidRPr="00D32F04">
        <w:rPr>
          <w:rFonts w:ascii="Times New Roman" w:hAnsi="Times New Roman" w:cs="Times New Roman"/>
          <w:sz w:val="24"/>
        </w:rPr>
        <w:t xml:space="preserve"> </w:t>
      </w:r>
      <w:r>
        <w:rPr>
          <w:rFonts w:ascii="Times New Roman" w:hAnsi="Times New Roman" w:cs="Times New Roman"/>
          <w:sz w:val="24"/>
        </w:rPr>
        <w:t xml:space="preserve">velká </w:t>
      </w:r>
      <w:r w:rsidRPr="00D32F04">
        <w:rPr>
          <w:rFonts w:ascii="Times New Roman" w:hAnsi="Times New Roman" w:cs="Times New Roman"/>
          <w:sz w:val="24"/>
        </w:rPr>
        <w:t>změna primárního práv</w:t>
      </w:r>
      <w:r>
        <w:rPr>
          <w:rFonts w:ascii="Times New Roman" w:hAnsi="Times New Roman" w:cs="Times New Roman"/>
          <w:sz w:val="24"/>
        </w:rPr>
        <w:t>a EU</w:t>
      </w:r>
      <w:r w:rsidRPr="00D32F04">
        <w:rPr>
          <w:rFonts w:ascii="Times New Roman" w:hAnsi="Times New Roman" w:cs="Times New Roman"/>
          <w:sz w:val="24"/>
        </w:rPr>
        <w:t>, na tomto poli také představila určité nové nástroje. Jední</w:t>
      </w:r>
      <w:r>
        <w:rPr>
          <w:rFonts w:ascii="Times New Roman" w:hAnsi="Times New Roman" w:cs="Times New Roman"/>
          <w:sz w:val="24"/>
        </w:rPr>
        <w:t>m z nich je</w:t>
      </w:r>
      <w:r w:rsidRPr="00D32F04">
        <w:rPr>
          <w:rFonts w:ascii="Times New Roman" w:hAnsi="Times New Roman" w:cs="Times New Roman"/>
          <w:sz w:val="24"/>
        </w:rPr>
        <w:t xml:space="preserve"> </w:t>
      </w:r>
      <w:r>
        <w:rPr>
          <w:rFonts w:ascii="Times New Roman" w:hAnsi="Times New Roman" w:cs="Times New Roman"/>
          <w:sz w:val="24"/>
        </w:rPr>
        <w:t>systém včasného</w:t>
      </w:r>
      <w:r w:rsidRPr="00D32F04">
        <w:rPr>
          <w:rFonts w:ascii="Times New Roman" w:hAnsi="Times New Roman" w:cs="Times New Roman"/>
          <w:sz w:val="24"/>
        </w:rPr>
        <w:t xml:space="preserve"> varování. Ten přímo souvisí</w:t>
      </w:r>
      <w:r w:rsidR="00224D02">
        <w:rPr>
          <w:rFonts w:ascii="Times New Roman" w:hAnsi="Times New Roman" w:cs="Times New Roman"/>
          <w:sz w:val="24"/>
        </w:rPr>
        <w:t xml:space="preserve"> s </w:t>
      </w:r>
      <w:r w:rsidRPr="00D32F04">
        <w:rPr>
          <w:rFonts w:ascii="Times New Roman" w:hAnsi="Times New Roman" w:cs="Times New Roman"/>
          <w:sz w:val="24"/>
        </w:rPr>
        <w:t>jednou ze zásad, které se aplikují na jeden z nejdůl</w:t>
      </w:r>
      <w:r>
        <w:rPr>
          <w:rFonts w:ascii="Times New Roman" w:hAnsi="Times New Roman" w:cs="Times New Roman"/>
          <w:sz w:val="24"/>
        </w:rPr>
        <w:t>ežitějších aspektů EU</w:t>
      </w:r>
      <w:r w:rsidRPr="00D32F04">
        <w:rPr>
          <w:rFonts w:ascii="Times New Roman" w:hAnsi="Times New Roman" w:cs="Times New Roman"/>
          <w:sz w:val="24"/>
        </w:rPr>
        <w:t>, a sice vertikální rozdělení pravomocí</w:t>
      </w:r>
      <w:r>
        <w:rPr>
          <w:rFonts w:ascii="Times New Roman" w:hAnsi="Times New Roman" w:cs="Times New Roman"/>
          <w:sz w:val="24"/>
        </w:rPr>
        <w:t xml:space="preserve"> mezi EU</w:t>
      </w:r>
      <w:r w:rsidRPr="00D32F04">
        <w:rPr>
          <w:rFonts w:ascii="Times New Roman" w:hAnsi="Times New Roman" w:cs="Times New Roman"/>
          <w:sz w:val="24"/>
        </w:rPr>
        <w:t xml:space="preserve"> a členské státy</w:t>
      </w:r>
      <w:r w:rsidR="007470B0">
        <w:rPr>
          <w:rFonts w:ascii="Times New Roman" w:hAnsi="Times New Roman" w:cs="Times New Roman"/>
          <w:sz w:val="24"/>
        </w:rPr>
        <w:t xml:space="preserve"> (dále ČS)</w:t>
      </w:r>
      <w:r w:rsidR="005F50C2">
        <w:rPr>
          <w:rFonts w:ascii="Times New Roman" w:hAnsi="Times New Roman" w:cs="Times New Roman"/>
          <w:sz w:val="24"/>
        </w:rPr>
        <w:t>, respektive</w:t>
      </w:r>
      <w:r w:rsidR="0076027E">
        <w:rPr>
          <w:rFonts w:ascii="Times New Roman" w:hAnsi="Times New Roman" w:cs="Times New Roman"/>
          <w:sz w:val="24"/>
        </w:rPr>
        <w:t xml:space="preserve"> na</w:t>
      </w:r>
      <w:r w:rsidR="005F50C2">
        <w:rPr>
          <w:rFonts w:ascii="Times New Roman" w:hAnsi="Times New Roman" w:cs="Times New Roman"/>
          <w:sz w:val="24"/>
        </w:rPr>
        <w:t xml:space="preserve"> </w:t>
      </w:r>
      <w:r>
        <w:rPr>
          <w:rFonts w:ascii="Times New Roman" w:hAnsi="Times New Roman" w:cs="Times New Roman"/>
          <w:sz w:val="24"/>
        </w:rPr>
        <w:t>jejich výkon</w:t>
      </w:r>
      <w:r w:rsidRPr="00D32F04">
        <w:rPr>
          <w:rFonts w:ascii="Times New Roman" w:hAnsi="Times New Roman" w:cs="Times New Roman"/>
          <w:sz w:val="24"/>
        </w:rPr>
        <w:t xml:space="preserve">. Zásada subsidiarity se spolu se zásadami preempce a proporcionality </w:t>
      </w:r>
      <w:r>
        <w:rPr>
          <w:rFonts w:ascii="Times New Roman" w:hAnsi="Times New Roman" w:cs="Times New Roman"/>
          <w:sz w:val="24"/>
        </w:rPr>
        <w:t>uplatní u sdílených</w:t>
      </w:r>
      <w:r w:rsidRPr="00D32F04">
        <w:rPr>
          <w:rFonts w:ascii="Times New Roman" w:hAnsi="Times New Roman" w:cs="Times New Roman"/>
          <w:sz w:val="24"/>
        </w:rPr>
        <w:t xml:space="preserve"> </w:t>
      </w:r>
      <w:r>
        <w:rPr>
          <w:rFonts w:ascii="Times New Roman" w:hAnsi="Times New Roman" w:cs="Times New Roman"/>
          <w:sz w:val="24"/>
        </w:rPr>
        <w:t>pravomocí</w:t>
      </w:r>
      <w:r w:rsidRPr="00D32F04">
        <w:rPr>
          <w:rFonts w:ascii="Times New Roman" w:hAnsi="Times New Roman" w:cs="Times New Roman"/>
          <w:sz w:val="24"/>
        </w:rPr>
        <w:t xml:space="preserve">, které tvoří největší část celkového kompetenčního souboru. </w:t>
      </w:r>
      <w:r w:rsidR="006A516C">
        <w:rPr>
          <w:rFonts w:ascii="Times New Roman" w:hAnsi="Times New Roman" w:cs="Times New Roman"/>
          <w:sz w:val="24"/>
        </w:rPr>
        <w:t xml:space="preserve">Jejími hlídači </w:t>
      </w:r>
      <w:r w:rsidR="00403676">
        <w:rPr>
          <w:rFonts w:ascii="Times New Roman" w:hAnsi="Times New Roman" w:cs="Times New Roman"/>
          <w:sz w:val="24"/>
        </w:rPr>
        <w:t>byly stanoveny právě</w:t>
      </w:r>
      <w:r w:rsidRPr="00D32F04">
        <w:rPr>
          <w:rFonts w:ascii="Times New Roman" w:hAnsi="Times New Roman" w:cs="Times New Roman"/>
          <w:sz w:val="24"/>
        </w:rPr>
        <w:t xml:space="preserve"> </w:t>
      </w:r>
      <w:r>
        <w:rPr>
          <w:rFonts w:ascii="Times New Roman" w:hAnsi="Times New Roman" w:cs="Times New Roman"/>
          <w:sz w:val="24"/>
        </w:rPr>
        <w:t>parlamenty</w:t>
      </w:r>
      <w:r w:rsidRPr="00D32F04">
        <w:rPr>
          <w:rFonts w:ascii="Times New Roman" w:hAnsi="Times New Roman" w:cs="Times New Roman"/>
          <w:sz w:val="24"/>
        </w:rPr>
        <w:t>.</w:t>
      </w:r>
    </w:p>
    <w:p w:rsidR="00D433B1" w:rsidRPr="00D32F04" w:rsidRDefault="00755B6E"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O</w:t>
      </w:r>
      <w:r w:rsidRPr="00D32F04">
        <w:rPr>
          <w:rFonts w:ascii="Times New Roman" w:hAnsi="Times New Roman" w:cs="Times New Roman"/>
          <w:sz w:val="24"/>
        </w:rPr>
        <w:t>d posílen</w:t>
      </w:r>
      <w:r>
        <w:rPr>
          <w:rFonts w:ascii="Times New Roman" w:hAnsi="Times New Roman" w:cs="Times New Roman"/>
          <w:sz w:val="24"/>
        </w:rPr>
        <w:t xml:space="preserve">í </w:t>
      </w:r>
      <w:r w:rsidR="003F208D">
        <w:rPr>
          <w:rFonts w:ascii="Times New Roman" w:hAnsi="Times New Roman" w:cs="Times New Roman"/>
          <w:sz w:val="24"/>
        </w:rPr>
        <w:t>jejich pravomoc</w:t>
      </w:r>
      <w:r w:rsidR="000B2163">
        <w:rPr>
          <w:rFonts w:ascii="Times New Roman" w:hAnsi="Times New Roman" w:cs="Times New Roman"/>
          <w:sz w:val="24"/>
        </w:rPr>
        <w:t>í</w:t>
      </w:r>
      <w:r>
        <w:rPr>
          <w:rFonts w:ascii="Times New Roman" w:hAnsi="Times New Roman" w:cs="Times New Roman"/>
          <w:sz w:val="24"/>
        </w:rPr>
        <w:t xml:space="preserve"> </w:t>
      </w:r>
      <w:r w:rsidR="003F208D">
        <w:rPr>
          <w:rFonts w:ascii="Times New Roman" w:hAnsi="Times New Roman" w:cs="Times New Roman"/>
          <w:sz w:val="24"/>
        </w:rPr>
        <w:t xml:space="preserve">v </w:t>
      </w:r>
      <w:r>
        <w:rPr>
          <w:rFonts w:ascii="Times New Roman" w:hAnsi="Times New Roman" w:cs="Times New Roman"/>
          <w:sz w:val="24"/>
        </w:rPr>
        <w:t>LS</w:t>
      </w:r>
      <w:r w:rsidRPr="00D32F04">
        <w:rPr>
          <w:rFonts w:ascii="Times New Roman" w:hAnsi="Times New Roman" w:cs="Times New Roman"/>
          <w:sz w:val="24"/>
        </w:rPr>
        <w:t xml:space="preserve"> již uběhlo několik </w:t>
      </w:r>
      <w:r w:rsidRPr="002C7F57">
        <w:rPr>
          <w:rFonts w:ascii="Times New Roman" w:hAnsi="Times New Roman" w:cs="Times New Roman"/>
          <w:sz w:val="24"/>
        </w:rPr>
        <w:t>let</w:t>
      </w:r>
      <w:r>
        <w:rPr>
          <w:rFonts w:ascii="Times New Roman" w:hAnsi="Times New Roman" w:cs="Times New Roman"/>
          <w:sz w:val="24"/>
        </w:rPr>
        <w:t xml:space="preserve"> a diskuze ohledně jejich úlohy, stejně jako o demokratickém deficitu EU, neustávají</w:t>
      </w:r>
      <w:r w:rsidR="005D285E">
        <w:rPr>
          <w:rFonts w:ascii="Times New Roman" w:hAnsi="Times New Roman" w:cs="Times New Roman"/>
          <w:sz w:val="24"/>
        </w:rPr>
        <w:t>.</w:t>
      </w:r>
      <w:r w:rsidRPr="00614BBE">
        <w:rPr>
          <w:rFonts w:ascii="Times New Roman" w:hAnsi="Times New Roman" w:cs="Times New Roman"/>
          <w:sz w:val="24"/>
        </w:rPr>
        <w:t xml:space="preserve"> </w:t>
      </w:r>
      <w:r w:rsidR="00D433B1" w:rsidRPr="00614BBE">
        <w:rPr>
          <w:rFonts w:ascii="Times New Roman" w:hAnsi="Times New Roman" w:cs="Times New Roman"/>
          <w:sz w:val="24"/>
        </w:rPr>
        <w:t>Hlavním cílem práce</w:t>
      </w:r>
      <w:r w:rsidR="00B3566A">
        <w:rPr>
          <w:rFonts w:ascii="Times New Roman" w:hAnsi="Times New Roman" w:cs="Times New Roman"/>
          <w:sz w:val="24"/>
        </w:rPr>
        <w:t xml:space="preserve"> je</w:t>
      </w:r>
      <w:r w:rsidR="00D4631C">
        <w:rPr>
          <w:rFonts w:ascii="Times New Roman" w:hAnsi="Times New Roman" w:cs="Times New Roman"/>
          <w:sz w:val="24"/>
        </w:rPr>
        <w:t xml:space="preserve"> zhodnocení</w:t>
      </w:r>
      <w:r w:rsidR="00D433B1" w:rsidRPr="00614BBE">
        <w:rPr>
          <w:rFonts w:ascii="Times New Roman" w:hAnsi="Times New Roman" w:cs="Times New Roman"/>
          <w:sz w:val="24"/>
        </w:rPr>
        <w:t xml:space="preserve"> fungování</w:t>
      </w:r>
      <w:r w:rsidR="002035D1">
        <w:rPr>
          <w:rFonts w:ascii="Times New Roman" w:hAnsi="Times New Roman" w:cs="Times New Roman"/>
          <w:sz w:val="24"/>
        </w:rPr>
        <w:t xml:space="preserve"> systému včasného varování</w:t>
      </w:r>
      <w:r w:rsidR="000C3566">
        <w:rPr>
          <w:rFonts w:ascii="Times New Roman" w:hAnsi="Times New Roman" w:cs="Times New Roman"/>
          <w:sz w:val="24"/>
        </w:rPr>
        <w:t xml:space="preserve">. </w:t>
      </w:r>
      <w:r w:rsidR="00436C43">
        <w:rPr>
          <w:rFonts w:ascii="Times New Roman" w:hAnsi="Times New Roman" w:cs="Times New Roman"/>
          <w:sz w:val="24"/>
        </w:rPr>
        <w:t xml:space="preserve">Právě toto zhodnocení lze považovat za </w:t>
      </w:r>
      <w:r w:rsidR="00436C43" w:rsidRPr="00872FD9">
        <w:rPr>
          <w:rFonts w:ascii="Times New Roman" w:hAnsi="Times New Roman" w:cs="Times New Roman"/>
          <w:sz w:val="24"/>
        </w:rPr>
        <w:t>hlavní přínos práce.</w:t>
      </w:r>
      <w:r w:rsidR="00436C43">
        <w:rPr>
          <w:rFonts w:ascii="Times New Roman" w:hAnsi="Times New Roman" w:cs="Times New Roman"/>
          <w:sz w:val="24"/>
        </w:rPr>
        <w:t xml:space="preserve"> </w:t>
      </w:r>
      <w:r w:rsidR="0051259A">
        <w:rPr>
          <w:rFonts w:ascii="Times New Roman" w:hAnsi="Times New Roman" w:cs="Times New Roman"/>
          <w:sz w:val="24"/>
        </w:rPr>
        <w:t>Za cíl je ale také kladeno</w:t>
      </w:r>
      <w:r w:rsidR="00D433B1" w:rsidRPr="00614BBE">
        <w:rPr>
          <w:rFonts w:ascii="Times New Roman" w:hAnsi="Times New Roman" w:cs="Times New Roman"/>
          <w:sz w:val="24"/>
        </w:rPr>
        <w:t xml:space="preserve"> </w:t>
      </w:r>
      <w:r w:rsidR="007032D7">
        <w:rPr>
          <w:rFonts w:ascii="Times New Roman" w:hAnsi="Times New Roman" w:cs="Times New Roman"/>
          <w:sz w:val="24"/>
        </w:rPr>
        <w:t>nejprve</w:t>
      </w:r>
      <w:r w:rsidR="00D433B1" w:rsidRPr="00614BBE">
        <w:rPr>
          <w:rFonts w:ascii="Times New Roman" w:hAnsi="Times New Roman" w:cs="Times New Roman"/>
          <w:sz w:val="24"/>
        </w:rPr>
        <w:t xml:space="preserve"> shrnout zá</w:t>
      </w:r>
      <w:r w:rsidR="00D240E7">
        <w:rPr>
          <w:rFonts w:ascii="Times New Roman" w:hAnsi="Times New Roman" w:cs="Times New Roman"/>
          <w:sz w:val="24"/>
        </w:rPr>
        <w:t>kladní ro</w:t>
      </w:r>
      <w:r w:rsidR="00732772">
        <w:rPr>
          <w:rFonts w:ascii="Times New Roman" w:hAnsi="Times New Roman" w:cs="Times New Roman"/>
          <w:sz w:val="24"/>
        </w:rPr>
        <w:t>le, ve kterých se parlamenty</w:t>
      </w:r>
      <w:r w:rsidR="00D240E7">
        <w:rPr>
          <w:rFonts w:ascii="Times New Roman" w:hAnsi="Times New Roman" w:cs="Times New Roman"/>
          <w:sz w:val="24"/>
        </w:rPr>
        <w:t xml:space="preserve"> zapojují</w:t>
      </w:r>
      <w:r w:rsidR="00D433B1" w:rsidRPr="00614BBE">
        <w:rPr>
          <w:rFonts w:ascii="Times New Roman" w:hAnsi="Times New Roman" w:cs="Times New Roman"/>
          <w:sz w:val="24"/>
        </w:rPr>
        <w:t xml:space="preserve"> do procesu evropské integrace</w:t>
      </w:r>
      <w:r w:rsidR="005D285E">
        <w:rPr>
          <w:rFonts w:ascii="Times New Roman" w:hAnsi="Times New Roman" w:cs="Times New Roman"/>
          <w:sz w:val="24"/>
        </w:rPr>
        <w:t>.</w:t>
      </w:r>
      <w:r w:rsidR="00D433B1">
        <w:rPr>
          <w:rFonts w:ascii="Times New Roman" w:hAnsi="Times New Roman" w:cs="Times New Roman"/>
          <w:sz w:val="24"/>
        </w:rPr>
        <w:t xml:space="preserve"> </w:t>
      </w:r>
    </w:p>
    <w:p w:rsidR="00AF247E" w:rsidRDefault="00A1522B"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V</w:t>
      </w:r>
      <w:r w:rsidR="00D433B1" w:rsidRPr="0094072F">
        <w:rPr>
          <w:rFonts w:ascii="Times New Roman" w:hAnsi="Times New Roman" w:cs="Times New Roman"/>
          <w:sz w:val="24"/>
        </w:rPr>
        <w:t>ýzkumná otázka práce je formulována následovně. Je právně zakotvený dohled nad dodržováním zásady subsidiarity ze strany parl</w:t>
      </w:r>
      <w:r w:rsidR="00A0084E">
        <w:rPr>
          <w:rFonts w:ascii="Times New Roman" w:hAnsi="Times New Roman" w:cs="Times New Roman"/>
          <w:sz w:val="24"/>
        </w:rPr>
        <w:t>amentů skutečně funkční</w:t>
      </w:r>
      <w:r w:rsidR="00D433B1" w:rsidRPr="0094072F">
        <w:rPr>
          <w:rFonts w:ascii="Times New Roman" w:hAnsi="Times New Roman" w:cs="Times New Roman"/>
          <w:sz w:val="24"/>
        </w:rPr>
        <w:t xml:space="preserve">? </w:t>
      </w:r>
      <w:r w:rsidR="007E2DDF">
        <w:rPr>
          <w:rFonts w:ascii="Times New Roman" w:hAnsi="Times New Roman" w:cs="Times New Roman"/>
          <w:sz w:val="24"/>
        </w:rPr>
        <w:t>V podobné</w:t>
      </w:r>
      <w:r w:rsidR="00F9667E">
        <w:rPr>
          <w:rFonts w:ascii="Times New Roman" w:hAnsi="Times New Roman" w:cs="Times New Roman"/>
          <w:sz w:val="24"/>
        </w:rPr>
        <w:t xml:space="preserve"> </w:t>
      </w:r>
      <w:r w:rsidR="006E1B5F">
        <w:rPr>
          <w:rFonts w:ascii="Times New Roman" w:hAnsi="Times New Roman" w:cs="Times New Roman"/>
          <w:sz w:val="24"/>
        </w:rPr>
        <w:t xml:space="preserve">rovině </w:t>
      </w:r>
      <w:r w:rsidR="004B06B7">
        <w:rPr>
          <w:rFonts w:ascii="Times New Roman" w:hAnsi="Times New Roman" w:cs="Times New Roman"/>
          <w:sz w:val="24"/>
        </w:rPr>
        <w:t xml:space="preserve">se </w:t>
      </w:r>
      <w:r w:rsidR="00A834C8">
        <w:rPr>
          <w:rFonts w:ascii="Times New Roman" w:hAnsi="Times New Roman" w:cs="Times New Roman"/>
          <w:sz w:val="24"/>
        </w:rPr>
        <w:t>pokusíme vyjádřit</w:t>
      </w:r>
      <w:r w:rsidR="004B06B7">
        <w:rPr>
          <w:rFonts w:ascii="Times New Roman" w:hAnsi="Times New Roman" w:cs="Times New Roman"/>
          <w:sz w:val="24"/>
        </w:rPr>
        <w:t xml:space="preserve"> k tomu,</w:t>
      </w:r>
      <w:r w:rsidR="00994B85">
        <w:rPr>
          <w:rFonts w:ascii="Times New Roman" w:hAnsi="Times New Roman" w:cs="Times New Roman"/>
          <w:sz w:val="24"/>
        </w:rPr>
        <w:t xml:space="preserve"> </w:t>
      </w:r>
      <w:r w:rsidR="007E2DDF">
        <w:rPr>
          <w:rFonts w:ascii="Times New Roman" w:hAnsi="Times New Roman" w:cs="Times New Roman"/>
          <w:sz w:val="24"/>
        </w:rPr>
        <w:t>j</w:t>
      </w:r>
      <w:r w:rsidR="007E2DDF" w:rsidRPr="007E2DDF">
        <w:rPr>
          <w:rFonts w:ascii="Times New Roman" w:hAnsi="Times New Roman" w:cs="Times New Roman"/>
          <w:sz w:val="24"/>
        </w:rPr>
        <w:t>aký je reálný d</w:t>
      </w:r>
      <w:r w:rsidR="00C51C9F">
        <w:rPr>
          <w:rFonts w:ascii="Times New Roman" w:hAnsi="Times New Roman" w:cs="Times New Roman"/>
          <w:sz w:val="24"/>
        </w:rPr>
        <w:t>opad systému včasného varování</w:t>
      </w:r>
      <w:r w:rsidR="007E2DDF" w:rsidRPr="007E2DDF">
        <w:rPr>
          <w:rFonts w:ascii="Times New Roman" w:hAnsi="Times New Roman" w:cs="Times New Roman"/>
          <w:sz w:val="24"/>
        </w:rPr>
        <w:t xml:space="preserve"> na legislativ</w:t>
      </w:r>
      <w:r w:rsidR="00B14603">
        <w:rPr>
          <w:rFonts w:ascii="Times New Roman" w:hAnsi="Times New Roman" w:cs="Times New Roman"/>
          <w:sz w:val="24"/>
        </w:rPr>
        <w:t>ní proces EU a na jeho výstupy.</w:t>
      </w:r>
      <w:r w:rsidR="007F1B64">
        <w:rPr>
          <w:rFonts w:ascii="Times New Roman" w:hAnsi="Times New Roman" w:cs="Times New Roman"/>
          <w:sz w:val="24"/>
        </w:rPr>
        <w:t xml:space="preserve"> </w:t>
      </w:r>
      <w:r w:rsidR="00570EB2">
        <w:rPr>
          <w:rFonts w:ascii="Times New Roman" w:hAnsi="Times New Roman" w:cs="Times New Roman"/>
          <w:sz w:val="24"/>
        </w:rPr>
        <w:t>V tomto duchu jsou také ověřovány následující hypotézy</w:t>
      </w:r>
      <w:r w:rsidR="001E35F3">
        <w:rPr>
          <w:rFonts w:ascii="Times New Roman" w:hAnsi="Times New Roman" w:cs="Times New Roman"/>
          <w:sz w:val="24"/>
        </w:rPr>
        <w:t>, text se ale</w:t>
      </w:r>
      <w:r w:rsidR="002F3EA0">
        <w:rPr>
          <w:rFonts w:ascii="Times New Roman" w:hAnsi="Times New Roman" w:cs="Times New Roman"/>
          <w:sz w:val="24"/>
        </w:rPr>
        <w:t xml:space="preserve"> neomezuje jen na jejich verifikaci</w:t>
      </w:r>
      <w:r w:rsidR="00570EB2">
        <w:rPr>
          <w:rFonts w:ascii="Times New Roman" w:hAnsi="Times New Roman" w:cs="Times New Roman"/>
          <w:sz w:val="24"/>
        </w:rPr>
        <w:t xml:space="preserve">. </w:t>
      </w:r>
    </w:p>
    <w:p w:rsidR="00531D55" w:rsidRPr="00531D55" w:rsidRDefault="00531D55" w:rsidP="008701B3">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sz w:val="24"/>
          <w:szCs w:val="24"/>
        </w:rPr>
        <w:t>Komise vychází z užšího pojetí testu subsidiarity</w:t>
      </w:r>
      <w:r w:rsidR="008701B3">
        <w:rPr>
          <w:rFonts w:ascii="Times New Roman" w:hAnsi="Times New Roman"/>
          <w:sz w:val="24"/>
          <w:szCs w:val="24"/>
        </w:rPr>
        <w:t xml:space="preserve">, zatímco národní parlamenty se </w:t>
      </w:r>
      <w:r>
        <w:rPr>
          <w:rFonts w:ascii="Times New Roman" w:hAnsi="Times New Roman"/>
          <w:sz w:val="24"/>
          <w:szCs w:val="24"/>
        </w:rPr>
        <w:t>přiklání k širšímu konceptu.</w:t>
      </w:r>
    </w:p>
    <w:p w:rsidR="00CD3CD0" w:rsidRPr="007A2478" w:rsidRDefault="00531D55" w:rsidP="007A2478">
      <w:pPr>
        <w:pStyle w:val="Odstavecseseznamem"/>
        <w:numPr>
          <w:ilvl w:val="0"/>
          <w:numId w:val="4"/>
        </w:numPr>
        <w:spacing w:after="0" w:line="360" w:lineRule="auto"/>
        <w:ind w:left="1066" w:hanging="357"/>
        <w:jc w:val="both"/>
        <w:rPr>
          <w:rFonts w:ascii="Times New Roman" w:eastAsia="Times New Roman" w:hAnsi="Times New Roman" w:cs="Times New Roman"/>
          <w:b/>
          <w:sz w:val="24"/>
          <w:szCs w:val="24"/>
        </w:rPr>
      </w:pPr>
      <w:r w:rsidRPr="00531D55">
        <w:rPr>
          <w:rFonts w:ascii="Times New Roman" w:eastAsia="Times New Roman" w:hAnsi="Times New Roman" w:cs="Times New Roman"/>
          <w:sz w:val="24"/>
          <w:szCs w:val="24"/>
        </w:rPr>
        <w:t xml:space="preserve">Odůvodněná stanoviska národních parlamentů nemají ani ve větším počtu podstatný vliv na </w:t>
      </w:r>
      <w:r w:rsidRPr="0087464F">
        <w:rPr>
          <w:rFonts w:ascii="Times New Roman" w:eastAsia="Times New Roman" w:hAnsi="Times New Roman" w:cs="Times New Roman"/>
          <w:sz w:val="24"/>
          <w:szCs w:val="24"/>
        </w:rPr>
        <w:t xml:space="preserve">stažení, </w:t>
      </w:r>
      <w:r w:rsidR="0087464F" w:rsidRPr="0087464F">
        <w:rPr>
          <w:rFonts w:ascii="Times New Roman" w:eastAsia="Times New Roman" w:hAnsi="Times New Roman" w:cs="Times New Roman"/>
          <w:sz w:val="24"/>
          <w:szCs w:val="24"/>
        </w:rPr>
        <w:t>další projednávání</w:t>
      </w:r>
      <w:r w:rsidR="00FA4DFE" w:rsidRPr="0087464F">
        <w:rPr>
          <w:rFonts w:ascii="Times New Roman" w:eastAsia="Times New Roman" w:hAnsi="Times New Roman" w:cs="Times New Roman"/>
          <w:sz w:val="24"/>
          <w:szCs w:val="24"/>
        </w:rPr>
        <w:t xml:space="preserve"> či přijetí</w:t>
      </w:r>
      <w:r w:rsidRPr="00531D55">
        <w:rPr>
          <w:rFonts w:ascii="Times New Roman" w:eastAsia="Times New Roman" w:hAnsi="Times New Roman" w:cs="Times New Roman"/>
          <w:sz w:val="24"/>
          <w:szCs w:val="24"/>
        </w:rPr>
        <w:t xml:space="preserve"> návrhu legislativního aktu. </w:t>
      </w:r>
    </w:p>
    <w:p w:rsidR="00D433B1" w:rsidRDefault="0061715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Struktura práce je následující. </w:t>
      </w:r>
      <w:r w:rsidR="006B2682" w:rsidRPr="007C14F0">
        <w:rPr>
          <w:rFonts w:ascii="Times New Roman" w:hAnsi="Times New Roman" w:cs="Times New Roman"/>
          <w:sz w:val="24"/>
        </w:rPr>
        <w:t>První kapitola obsahuje</w:t>
      </w:r>
      <w:r w:rsidR="0027084F" w:rsidRPr="007C14F0">
        <w:rPr>
          <w:rFonts w:ascii="Times New Roman" w:hAnsi="Times New Roman" w:cs="Times New Roman"/>
          <w:sz w:val="24"/>
        </w:rPr>
        <w:t xml:space="preserve"> </w:t>
      </w:r>
      <w:r w:rsidR="009623E5" w:rsidRPr="007C14F0">
        <w:rPr>
          <w:rFonts w:ascii="Times New Roman" w:hAnsi="Times New Roman" w:cs="Times New Roman"/>
          <w:sz w:val="24"/>
        </w:rPr>
        <w:t xml:space="preserve">stručné </w:t>
      </w:r>
      <w:r w:rsidR="00D433B1" w:rsidRPr="007C14F0">
        <w:rPr>
          <w:rFonts w:ascii="Times New Roman" w:hAnsi="Times New Roman" w:cs="Times New Roman"/>
          <w:sz w:val="24"/>
        </w:rPr>
        <w:t>definování pojmu parlament</w:t>
      </w:r>
      <w:r w:rsidR="007755D0" w:rsidRPr="007C14F0">
        <w:rPr>
          <w:rFonts w:ascii="Times New Roman" w:hAnsi="Times New Roman" w:cs="Times New Roman"/>
          <w:sz w:val="24"/>
        </w:rPr>
        <w:t>.</w:t>
      </w:r>
      <w:r w:rsidR="00D433B1" w:rsidRPr="007C14F0">
        <w:rPr>
          <w:rFonts w:ascii="Times New Roman" w:hAnsi="Times New Roman" w:cs="Times New Roman"/>
          <w:sz w:val="24"/>
        </w:rPr>
        <w:t xml:space="preserve"> Dále s</w:t>
      </w:r>
      <w:r w:rsidR="009623E5" w:rsidRPr="007C14F0">
        <w:rPr>
          <w:rFonts w:ascii="Times New Roman" w:hAnsi="Times New Roman" w:cs="Times New Roman"/>
          <w:sz w:val="24"/>
        </w:rPr>
        <w:t>e obecně</w:t>
      </w:r>
      <w:r w:rsidR="003D10F3" w:rsidRPr="007C14F0">
        <w:rPr>
          <w:rFonts w:ascii="Times New Roman" w:hAnsi="Times New Roman" w:cs="Times New Roman"/>
          <w:sz w:val="24"/>
        </w:rPr>
        <w:t xml:space="preserve"> věnujeme</w:t>
      </w:r>
      <w:r w:rsidR="009623E5" w:rsidRPr="007C14F0">
        <w:rPr>
          <w:rFonts w:ascii="Times New Roman" w:hAnsi="Times New Roman" w:cs="Times New Roman"/>
          <w:sz w:val="24"/>
        </w:rPr>
        <w:t xml:space="preserve"> </w:t>
      </w:r>
      <w:r w:rsidR="00DF3C97" w:rsidRPr="007C14F0">
        <w:rPr>
          <w:rFonts w:ascii="Times New Roman" w:hAnsi="Times New Roman" w:cs="Times New Roman"/>
          <w:sz w:val="24"/>
        </w:rPr>
        <w:t xml:space="preserve">vlivu integrace na </w:t>
      </w:r>
      <w:r w:rsidR="00D433B1" w:rsidRPr="007C14F0">
        <w:rPr>
          <w:rFonts w:ascii="Times New Roman" w:hAnsi="Times New Roman" w:cs="Times New Roman"/>
          <w:sz w:val="24"/>
        </w:rPr>
        <w:t xml:space="preserve">postavení parlamentů. </w:t>
      </w:r>
      <w:r w:rsidR="002540FE" w:rsidRPr="007C14F0">
        <w:rPr>
          <w:rFonts w:ascii="Times New Roman" w:hAnsi="Times New Roman" w:cs="Times New Roman"/>
          <w:sz w:val="24"/>
        </w:rPr>
        <w:t>Následuje přehled rolí, ve kterých</w:t>
      </w:r>
      <w:r w:rsidR="00D433B1" w:rsidRPr="007C14F0">
        <w:rPr>
          <w:rFonts w:ascii="Times New Roman" w:hAnsi="Times New Roman" w:cs="Times New Roman"/>
          <w:sz w:val="24"/>
        </w:rPr>
        <w:t xml:space="preserve"> se parlamenty zapojuj</w:t>
      </w:r>
      <w:r w:rsidR="002540FE" w:rsidRPr="007C14F0">
        <w:rPr>
          <w:rFonts w:ascii="Times New Roman" w:hAnsi="Times New Roman" w:cs="Times New Roman"/>
          <w:sz w:val="24"/>
        </w:rPr>
        <w:t>í do procesu evropské integrace. N</w:t>
      </w:r>
      <w:r w:rsidR="00D433B1" w:rsidRPr="007C14F0">
        <w:rPr>
          <w:rFonts w:ascii="Times New Roman" w:hAnsi="Times New Roman" w:cs="Times New Roman"/>
          <w:sz w:val="24"/>
        </w:rPr>
        <w:t>ahlíží</w:t>
      </w:r>
      <w:r w:rsidR="002540FE" w:rsidRPr="007C14F0">
        <w:rPr>
          <w:rFonts w:ascii="Times New Roman" w:hAnsi="Times New Roman" w:cs="Times New Roman"/>
          <w:sz w:val="24"/>
        </w:rPr>
        <w:t>me</w:t>
      </w:r>
      <w:r w:rsidR="00D433B1" w:rsidRPr="007C14F0">
        <w:rPr>
          <w:rFonts w:ascii="Times New Roman" w:hAnsi="Times New Roman" w:cs="Times New Roman"/>
          <w:sz w:val="24"/>
        </w:rPr>
        <w:t xml:space="preserve"> parlamenty </w:t>
      </w:r>
      <w:r w:rsidR="00701D2D">
        <w:rPr>
          <w:rFonts w:ascii="Times New Roman" w:hAnsi="Times New Roman" w:cs="Times New Roman"/>
          <w:sz w:val="24"/>
        </w:rPr>
        <w:t>např.</w:t>
      </w:r>
      <w:r w:rsidR="00ED5AB8" w:rsidRPr="007C14F0">
        <w:rPr>
          <w:rFonts w:ascii="Times New Roman" w:hAnsi="Times New Roman" w:cs="Times New Roman"/>
          <w:sz w:val="24"/>
        </w:rPr>
        <w:t xml:space="preserve"> </w:t>
      </w:r>
      <w:r w:rsidR="00D433B1" w:rsidRPr="007C14F0">
        <w:rPr>
          <w:rFonts w:ascii="Times New Roman" w:hAnsi="Times New Roman" w:cs="Times New Roman"/>
          <w:sz w:val="24"/>
        </w:rPr>
        <w:t>jako příjemce informací</w:t>
      </w:r>
      <w:r w:rsidR="00FC4891">
        <w:rPr>
          <w:rFonts w:ascii="Times New Roman" w:hAnsi="Times New Roman" w:cs="Times New Roman"/>
          <w:sz w:val="24"/>
        </w:rPr>
        <w:t>. Z</w:t>
      </w:r>
      <w:r w:rsidR="00C21F58" w:rsidRPr="007C14F0">
        <w:rPr>
          <w:rFonts w:ascii="Times New Roman" w:hAnsi="Times New Roman" w:cs="Times New Roman"/>
          <w:sz w:val="24"/>
        </w:rPr>
        <w:t>abývá</w:t>
      </w:r>
      <w:r w:rsidR="00ED5AB8" w:rsidRPr="007C14F0">
        <w:rPr>
          <w:rFonts w:ascii="Times New Roman" w:hAnsi="Times New Roman" w:cs="Times New Roman"/>
          <w:sz w:val="24"/>
        </w:rPr>
        <w:t>me se</w:t>
      </w:r>
      <w:r w:rsidR="00C21F58" w:rsidRPr="007C14F0">
        <w:rPr>
          <w:rFonts w:ascii="Times New Roman" w:hAnsi="Times New Roman" w:cs="Times New Roman"/>
          <w:sz w:val="24"/>
        </w:rPr>
        <w:t xml:space="preserve"> </w:t>
      </w:r>
      <w:r w:rsidR="00D433B1" w:rsidRPr="007C14F0">
        <w:rPr>
          <w:rFonts w:ascii="Times New Roman" w:hAnsi="Times New Roman" w:cs="Times New Roman"/>
          <w:sz w:val="24"/>
        </w:rPr>
        <w:t>jejich relací k primárnímu právu a kontrolou členů vlád.</w:t>
      </w:r>
      <w:r w:rsidR="00551214">
        <w:rPr>
          <w:rFonts w:ascii="Times New Roman" w:hAnsi="Times New Roman" w:cs="Times New Roman"/>
          <w:sz w:val="24"/>
        </w:rPr>
        <w:t xml:space="preserve"> Ve druhé</w:t>
      </w:r>
      <w:r w:rsidR="009018E3">
        <w:rPr>
          <w:rFonts w:ascii="Times New Roman" w:hAnsi="Times New Roman" w:cs="Times New Roman"/>
          <w:sz w:val="24"/>
        </w:rPr>
        <w:t xml:space="preserve"> kapitole </w:t>
      </w:r>
      <w:r w:rsidR="009003F2">
        <w:rPr>
          <w:rFonts w:ascii="Times New Roman" w:hAnsi="Times New Roman" w:cs="Times New Roman"/>
          <w:sz w:val="24"/>
        </w:rPr>
        <w:t xml:space="preserve">poukažme </w:t>
      </w:r>
      <w:r w:rsidR="00D433B1">
        <w:rPr>
          <w:rFonts w:ascii="Times New Roman" w:hAnsi="Times New Roman" w:cs="Times New Roman"/>
          <w:sz w:val="24"/>
        </w:rPr>
        <w:t xml:space="preserve">zejména na rozbor aktuální právní úpravy </w:t>
      </w:r>
      <w:r w:rsidR="00E318A0">
        <w:rPr>
          <w:rFonts w:ascii="Times New Roman" w:hAnsi="Times New Roman" w:cs="Times New Roman"/>
          <w:sz w:val="24"/>
        </w:rPr>
        <w:t>zásady subsidiarity</w:t>
      </w:r>
      <w:r w:rsidR="000F0393">
        <w:rPr>
          <w:rFonts w:ascii="Times New Roman" w:hAnsi="Times New Roman" w:cs="Times New Roman"/>
          <w:sz w:val="24"/>
        </w:rPr>
        <w:t>. V</w:t>
      </w:r>
      <w:r w:rsidR="00DC2485">
        <w:rPr>
          <w:rFonts w:ascii="Times New Roman" w:hAnsi="Times New Roman" w:cs="Times New Roman"/>
          <w:sz w:val="24"/>
        </w:rPr>
        <w:t xml:space="preserve">ěnujeme se </w:t>
      </w:r>
      <w:r w:rsidR="00410BDC">
        <w:rPr>
          <w:rFonts w:ascii="Times New Roman" w:hAnsi="Times New Roman" w:cs="Times New Roman"/>
          <w:sz w:val="24"/>
        </w:rPr>
        <w:t>i přístupu Soudního dvora EU</w:t>
      </w:r>
      <w:r w:rsidR="001E46EE">
        <w:rPr>
          <w:rFonts w:ascii="Times New Roman" w:hAnsi="Times New Roman" w:cs="Times New Roman"/>
          <w:sz w:val="24"/>
        </w:rPr>
        <w:t xml:space="preserve"> (dále SDEU)</w:t>
      </w:r>
      <w:r w:rsidR="00D84826">
        <w:rPr>
          <w:rFonts w:ascii="Times New Roman" w:hAnsi="Times New Roman" w:cs="Times New Roman"/>
          <w:sz w:val="24"/>
        </w:rPr>
        <w:t>.</w:t>
      </w:r>
      <w:r w:rsidR="00551214">
        <w:rPr>
          <w:rFonts w:ascii="Times New Roman" w:hAnsi="Times New Roman" w:cs="Times New Roman"/>
          <w:sz w:val="24"/>
        </w:rPr>
        <w:t xml:space="preserve"> Materií třetí</w:t>
      </w:r>
      <w:r w:rsidR="002178AE">
        <w:rPr>
          <w:rFonts w:ascii="Times New Roman" w:hAnsi="Times New Roman" w:cs="Times New Roman"/>
          <w:sz w:val="24"/>
        </w:rPr>
        <w:t xml:space="preserve"> kapitoly je </w:t>
      </w:r>
      <w:r w:rsidR="00B90AE5">
        <w:rPr>
          <w:rFonts w:ascii="Times New Roman" w:hAnsi="Times New Roman" w:cs="Times New Roman"/>
          <w:sz w:val="24"/>
        </w:rPr>
        <w:t xml:space="preserve">právní úprava </w:t>
      </w:r>
      <w:r w:rsidR="007A2478">
        <w:rPr>
          <w:rFonts w:ascii="Times New Roman" w:hAnsi="Times New Roman" w:cs="Times New Roman"/>
          <w:sz w:val="24"/>
        </w:rPr>
        <w:t>systému včasného varování</w:t>
      </w:r>
      <w:r w:rsidR="002178AE">
        <w:rPr>
          <w:rFonts w:ascii="Times New Roman" w:hAnsi="Times New Roman" w:cs="Times New Roman"/>
          <w:sz w:val="24"/>
        </w:rPr>
        <w:t xml:space="preserve">. </w:t>
      </w:r>
      <w:r w:rsidR="00551214">
        <w:rPr>
          <w:rFonts w:ascii="Times New Roman" w:hAnsi="Times New Roman" w:cs="Times New Roman"/>
          <w:sz w:val="24"/>
        </w:rPr>
        <w:t>Čtvrtá</w:t>
      </w:r>
      <w:r w:rsidR="00D433B1">
        <w:rPr>
          <w:rFonts w:ascii="Times New Roman" w:hAnsi="Times New Roman" w:cs="Times New Roman"/>
          <w:sz w:val="24"/>
        </w:rPr>
        <w:t xml:space="preserve"> kapitola p</w:t>
      </w:r>
      <w:r w:rsidR="00F71F4D">
        <w:rPr>
          <w:rFonts w:ascii="Times New Roman" w:hAnsi="Times New Roman" w:cs="Times New Roman"/>
          <w:sz w:val="24"/>
        </w:rPr>
        <w:t>oskytuje odpovědi na otázky týkající se</w:t>
      </w:r>
      <w:r w:rsidR="00D433B1" w:rsidRPr="00D32F04">
        <w:rPr>
          <w:rFonts w:ascii="Times New Roman" w:hAnsi="Times New Roman" w:cs="Times New Roman"/>
          <w:sz w:val="24"/>
        </w:rPr>
        <w:t xml:space="preserve"> pra</w:t>
      </w:r>
      <w:r w:rsidR="00F71F4D">
        <w:rPr>
          <w:rFonts w:ascii="Times New Roman" w:hAnsi="Times New Roman" w:cs="Times New Roman"/>
          <w:sz w:val="24"/>
        </w:rPr>
        <w:t>xe</w:t>
      </w:r>
      <w:r w:rsidR="007A2478">
        <w:rPr>
          <w:rFonts w:ascii="Times New Roman" w:hAnsi="Times New Roman" w:cs="Times New Roman"/>
          <w:sz w:val="24"/>
        </w:rPr>
        <w:t xml:space="preserve"> systému včasného varování</w:t>
      </w:r>
      <w:r w:rsidR="00F71F4D">
        <w:rPr>
          <w:rFonts w:ascii="Times New Roman" w:hAnsi="Times New Roman" w:cs="Times New Roman"/>
          <w:sz w:val="24"/>
        </w:rPr>
        <w:t>.</w:t>
      </w:r>
      <w:r w:rsidR="00D433B1">
        <w:rPr>
          <w:rFonts w:ascii="Times New Roman" w:hAnsi="Times New Roman" w:cs="Times New Roman"/>
          <w:sz w:val="24"/>
        </w:rPr>
        <w:t xml:space="preserve"> </w:t>
      </w:r>
      <w:r w:rsidR="00452F88">
        <w:rPr>
          <w:rFonts w:ascii="Times New Roman" w:hAnsi="Times New Roman" w:cs="Times New Roman"/>
          <w:sz w:val="24"/>
        </w:rPr>
        <w:t>Zkou</w:t>
      </w:r>
      <w:r w:rsidR="00F446A7">
        <w:rPr>
          <w:rFonts w:ascii="Times New Roman" w:hAnsi="Times New Roman" w:cs="Times New Roman"/>
          <w:sz w:val="24"/>
        </w:rPr>
        <w:t>máno je odůvodňování návrhů legislativních aktů (dále návrhy)</w:t>
      </w:r>
      <w:r w:rsidR="00CF28B2">
        <w:rPr>
          <w:rFonts w:ascii="Times New Roman" w:hAnsi="Times New Roman" w:cs="Times New Roman"/>
          <w:sz w:val="24"/>
        </w:rPr>
        <w:t>.</w:t>
      </w:r>
      <w:r w:rsidR="005A4117">
        <w:rPr>
          <w:rFonts w:ascii="Times New Roman" w:hAnsi="Times New Roman" w:cs="Times New Roman"/>
          <w:sz w:val="24"/>
        </w:rPr>
        <w:t xml:space="preserve"> </w:t>
      </w:r>
      <w:r w:rsidR="00CF28B2">
        <w:rPr>
          <w:rFonts w:ascii="Times New Roman" w:hAnsi="Times New Roman" w:cs="Times New Roman"/>
          <w:sz w:val="24"/>
        </w:rPr>
        <w:t xml:space="preserve">Pozornost je věnována odůvodněným </w:t>
      </w:r>
      <w:r w:rsidR="00551214">
        <w:rPr>
          <w:rFonts w:ascii="Times New Roman" w:hAnsi="Times New Roman" w:cs="Times New Roman"/>
          <w:sz w:val="24"/>
        </w:rPr>
        <w:t>stanoviskům parlamentů</w:t>
      </w:r>
      <w:r w:rsidR="00A016D6">
        <w:rPr>
          <w:rFonts w:ascii="Times New Roman" w:hAnsi="Times New Roman" w:cs="Times New Roman"/>
          <w:sz w:val="24"/>
        </w:rPr>
        <w:t xml:space="preserve"> i reakcím Komise. </w:t>
      </w:r>
      <w:r w:rsidR="00BC2CDF">
        <w:rPr>
          <w:rFonts w:ascii="Times New Roman" w:hAnsi="Times New Roman" w:cs="Times New Roman"/>
          <w:sz w:val="24"/>
        </w:rPr>
        <w:t xml:space="preserve">Prostor je dán i procesním mechanismům v rámci parlamentů. </w:t>
      </w:r>
      <w:r w:rsidR="002D79FA">
        <w:rPr>
          <w:rFonts w:ascii="Times New Roman" w:hAnsi="Times New Roman" w:cs="Times New Roman"/>
          <w:sz w:val="24"/>
        </w:rPr>
        <w:t>Pominuty nemohou být ani dopos</w:t>
      </w:r>
      <w:r w:rsidR="007A2478">
        <w:rPr>
          <w:rFonts w:ascii="Times New Roman" w:hAnsi="Times New Roman" w:cs="Times New Roman"/>
          <w:sz w:val="24"/>
        </w:rPr>
        <w:t>ud udělené žluté karty</w:t>
      </w:r>
      <w:r w:rsidR="008B2FBF">
        <w:rPr>
          <w:rFonts w:ascii="Times New Roman" w:hAnsi="Times New Roman" w:cs="Times New Roman"/>
          <w:sz w:val="24"/>
        </w:rPr>
        <w:t>, těm je věnována pátá kapitola</w:t>
      </w:r>
      <w:r w:rsidR="00BF6516">
        <w:rPr>
          <w:rFonts w:ascii="Times New Roman" w:hAnsi="Times New Roman" w:cs="Times New Roman"/>
          <w:sz w:val="24"/>
        </w:rPr>
        <w:t>.</w:t>
      </w:r>
      <w:r w:rsidR="00905E87">
        <w:rPr>
          <w:rFonts w:ascii="Times New Roman" w:hAnsi="Times New Roman" w:cs="Times New Roman"/>
          <w:sz w:val="24"/>
        </w:rPr>
        <w:t xml:space="preserve"> </w:t>
      </w:r>
      <w:r w:rsidR="00A13C92">
        <w:rPr>
          <w:rFonts w:ascii="Times New Roman" w:hAnsi="Times New Roman" w:cs="Times New Roman"/>
          <w:sz w:val="24"/>
        </w:rPr>
        <w:t>Závěr přirozeně obsahuje odpověď na výzkumnou otázku</w:t>
      </w:r>
      <w:r w:rsidR="00D433B1">
        <w:rPr>
          <w:rFonts w:ascii="Times New Roman" w:hAnsi="Times New Roman" w:cs="Times New Roman"/>
          <w:sz w:val="24"/>
        </w:rPr>
        <w:t xml:space="preserve">, stejně jako další úvahy autora a návrhy de lege </w:t>
      </w:r>
      <w:proofErr w:type="spellStart"/>
      <w:r w:rsidR="00D433B1">
        <w:rPr>
          <w:rFonts w:ascii="Times New Roman" w:hAnsi="Times New Roman" w:cs="Times New Roman"/>
          <w:sz w:val="24"/>
        </w:rPr>
        <w:t>ferenda</w:t>
      </w:r>
      <w:proofErr w:type="spellEnd"/>
      <w:r w:rsidR="00D433B1">
        <w:rPr>
          <w:rFonts w:ascii="Times New Roman" w:hAnsi="Times New Roman" w:cs="Times New Roman"/>
          <w:sz w:val="24"/>
        </w:rPr>
        <w:t>.</w:t>
      </w:r>
    </w:p>
    <w:p w:rsidR="00487E7D" w:rsidRDefault="00487E7D"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Jak napovídá i název práce, pozornost </w:t>
      </w:r>
      <w:r w:rsidR="00636A07">
        <w:rPr>
          <w:rFonts w:ascii="Times New Roman" w:hAnsi="Times New Roman" w:cs="Times New Roman"/>
          <w:sz w:val="24"/>
        </w:rPr>
        <w:t xml:space="preserve">v zásadě </w:t>
      </w:r>
      <w:r>
        <w:rPr>
          <w:rFonts w:ascii="Times New Roman" w:hAnsi="Times New Roman" w:cs="Times New Roman"/>
          <w:sz w:val="24"/>
        </w:rPr>
        <w:t xml:space="preserve">není věnována čistě či spíše politologickým aspektům. </w:t>
      </w:r>
      <w:r w:rsidR="00701D2D">
        <w:rPr>
          <w:rFonts w:ascii="Times New Roman" w:hAnsi="Times New Roman" w:cs="Times New Roman"/>
          <w:sz w:val="24"/>
        </w:rPr>
        <w:t>Není tak např.</w:t>
      </w:r>
      <w:r w:rsidR="00EF762F">
        <w:rPr>
          <w:rFonts w:ascii="Times New Roman" w:hAnsi="Times New Roman" w:cs="Times New Roman"/>
          <w:sz w:val="24"/>
        </w:rPr>
        <w:t xml:space="preserve"> zkoumána politická motivace parlam</w:t>
      </w:r>
      <w:r w:rsidR="002706A3">
        <w:rPr>
          <w:rFonts w:ascii="Times New Roman" w:hAnsi="Times New Roman" w:cs="Times New Roman"/>
          <w:sz w:val="24"/>
        </w:rPr>
        <w:t>entů či jejich členů</w:t>
      </w:r>
      <w:r w:rsidR="00EF762F">
        <w:rPr>
          <w:rFonts w:ascii="Times New Roman" w:hAnsi="Times New Roman" w:cs="Times New Roman"/>
          <w:sz w:val="24"/>
        </w:rPr>
        <w:t>. Nejsou rozebírány vlivy délky členství v EU, blížících se voleb, domácí politické situace, stranické politiky, stranického euroskepticismu či euroskepticismu veřejnos</w:t>
      </w:r>
      <w:r w:rsidR="00063A22">
        <w:rPr>
          <w:rFonts w:ascii="Times New Roman" w:hAnsi="Times New Roman" w:cs="Times New Roman"/>
          <w:sz w:val="24"/>
        </w:rPr>
        <w:t>ti na zapojení parlamentů do systému včasného varování</w:t>
      </w:r>
      <w:r w:rsidR="00EF762F">
        <w:rPr>
          <w:rFonts w:ascii="Times New Roman" w:hAnsi="Times New Roman" w:cs="Times New Roman"/>
          <w:sz w:val="24"/>
        </w:rPr>
        <w:t>.</w:t>
      </w:r>
    </w:p>
    <w:p w:rsidR="00D433B1" w:rsidRDefault="00063A22"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Systém včasného varování</w:t>
      </w:r>
      <w:r w:rsidR="00D433B1">
        <w:rPr>
          <w:rFonts w:ascii="Times New Roman" w:hAnsi="Times New Roman" w:cs="Times New Roman"/>
          <w:sz w:val="24"/>
        </w:rPr>
        <w:t xml:space="preserve"> není v české odborné literatuře nijak obsáhle zpracován a až na výjimky je mu věnována spíše okrajová pozornost. K podobnému konstatování lze dojít i na poli diplomových prací. </w:t>
      </w:r>
      <w:r w:rsidR="00AB64D8">
        <w:rPr>
          <w:rFonts w:ascii="Times New Roman" w:hAnsi="Times New Roman" w:cs="Times New Roman"/>
          <w:sz w:val="24"/>
        </w:rPr>
        <w:t>To</w:t>
      </w:r>
      <w:r w:rsidR="00D433B1">
        <w:rPr>
          <w:rFonts w:ascii="Times New Roman" w:hAnsi="Times New Roman" w:cs="Times New Roman"/>
          <w:sz w:val="24"/>
        </w:rPr>
        <w:t xml:space="preserve"> neznamená, že by otázky spojené s působením parlamentů v EU byly diplomanty zcela ignorovány. Na půdě Právnické fakulty Univerzity Palackého</w:t>
      </w:r>
      <w:r w:rsidR="001F52EB">
        <w:rPr>
          <w:rFonts w:ascii="Times New Roman" w:hAnsi="Times New Roman" w:cs="Times New Roman"/>
          <w:sz w:val="24"/>
        </w:rPr>
        <w:t xml:space="preserve"> v Olomouci</w:t>
      </w:r>
      <w:r w:rsidR="00D433B1">
        <w:rPr>
          <w:rFonts w:ascii="Times New Roman" w:hAnsi="Times New Roman" w:cs="Times New Roman"/>
          <w:sz w:val="24"/>
        </w:rPr>
        <w:t xml:space="preserve"> bylo v posledních letech populární </w:t>
      </w:r>
      <w:r w:rsidR="005450BC">
        <w:rPr>
          <w:rFonts w:ascii="Times New Roman" w:hAnsi="Times New Roman" w:cs="Times New Roman"/>
          <w:sz w:val="24"/>
        </w:rPr>
        <w:t>např.</w:t>
      </w:r>
      <w:r w:rsidR="00D433B1">
        <w:rPr>
          <w:rFonts w:ascii="Times New Roman" w:hAnsi="Times New Roman" w:cs="Times New Roman"/>
          <w:sz w:val="24"/>
        </w:rPr>
        <w:t xml:space="preserve"> téma spolupráce EP a parlamentů. Pro úplnost uveďme, že českými odbornými autory zabývajícími se problematikou parlamentů v EU </w:t>
      </w:r>
      <w:r w:rsidR="005450BC">
        <w:rPr>
          <w:rFonts w:ascii="Times New Roman" w:hAnsi="Times New Roman" w:cs="Times New Roman"/>
          <w:sz w:val="24"/>
        </w:rPr>
        <w:t>jsou např.</w:t>
      </w:r>
      <w:r w:rsidR="005830EB">
        <w:rPr>
          <w:rFonts w:ascii="Times New Roman" w:hAnsi="Times New Roman" w:cs="Times New Roman"/>
          <w:sz w:val="24"/>
        </w:rPr>
        <w:t xml:space="preserve"> </w:t>
      </w:r>
      <w:proofErr w:type="spellStart"/>
      <w:r w:rsidR="00D433B1">
        <w:rPr>
          <w:rFonts w:ascii="Times New Roman" w:hAnsi="Times New Roman" w:cs="Times New Roman"/>
          <w:sz w:val="24"/>
        </w:rPr>
        <w:t>Georgiev</w:t>
      </w:r>
      <w:proofErr w:type="spellEnd"/>
      <w:r w:rsidR="005830EB">
        <w:rPr>
          <w:rFonts w:ascii="Times New Roman" w:hAnsi="Times New Roman" w:cs="Times New Roman"/>
          <w:sz w:val="24"/>
        </w:rPr>
        <w:t>,</w:t>
      </w:r>
      <w:r w:rsidR="00D433B1">
        <w:rPr>
          <w:rFonts w:ascii="Times New Roman" w:hAnsi="Times New Roman" w:cs="Times New Roman"/>
          <w:sz w:val="24"/>
        </w:rPr>
        <w:t xml:space="preserve"> </w:t>
      </w:r>
      <w:proofErr w:type="spellStart"/>
      <w:r w:rsidR="00D433B1">
        <w:rPr>
          <w:rFonts w:ascii="Times New Roman" w:hAnsi="Times New Roman" w:cs="Times New Roman"/>
          <w:sz w:val="24"/>
        </w:rPr>
        <w:t>Kaniok</w:t>
      </w:r>
      <w:proofErr w:type="spellEnd"/>
      <w:r w:rsidR="005830EB">
        <w:rPr>
          <w:rFonts w:ascii="Times New Roman" w:hAnsi="Times New Roman" w:cs="Times New Roman"/>
          <w:sz w:val="24"/>
        </w:rPr>
        <w:t xml:space="preserve"> či</w:t>
      </w:r>
      <w:r w:rsidR="00D433B1">
        <w:rPr>
          <w:rFonts w:ascii="Times New Roman" w:hAnsi="Times New Roman" w:cs="Times New Roman"/>
          <w:sz w:val="24"/>
        </w:rPr>
        <w:t xml:space="preserve"> </w:t>
      </w:r>
      <w:proofErr w:type="spellStart"/>
      <w:r w:rsidR="00D433B1">
        <w:rPr>
          <w:rFonts w:ascii="Times New Roman" w:hAnsi="Times New Roman" w:cs="Times New Roman"/>
          <w:sz w:val="24"/>
        </w:rPr>
        <w:t>Pítrová</w:t>
      </w:r>
      <w:proofErr w:type="spellEnd"/>
      <w:r w:rsidR="00D433B1">
        <w:rPr>
          <w:rFonts w:ascii="Times New Roman" w:hAnsi="Times New Roman" w:cs="Times New Roman"/>
          <w:sz w:val="24"/>
        </w:rPr>
        <w:t>.</w:t>
      </w:r>
    </w:p>
    <w:p w:rsidR="00053099" w:rsidRDefault="00D433B1" w:rsidP="00BF57AF">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V diplomové </w:t>
      </w:r>
      <w:r w:rsidR="00000F91">
        <w:rPr>
          <w:rFonts w:ascii="Times New Roman" w:hAnsi="Times New Roman" w:cs="Times New Roman"/>
          <w:sz w:val="24"/>
        </w:rPr>
        <w:t>práci jsou využity</w:t>
      </w:r>
      <w:r>
        <w:rPr>
          <w:rFonts w:ascii="Times New Roman" w:hAnsi="Times New Roman" w:cs="Times New Roman"/>
          <w:sz w:val="24"/>
        </w:rPr>
        <w:t xml:space="preserve"> </w:t>
      </w:r>
      <w:r w:rsidRPr="00000F91">
        <w:rPr>
          <w:rFonts w:ascii="Times New Roman" w:hAnsi="Times New Roman" w:cs="Times New Roman"/>
          <w:sz w:val="24"/>
        </w:rPr>
        <w:t>metody</w:t>
      </w:r>
      <w:r>
        <w:rPr>
          <w:rFonts w:ascii="Times New Roman" w:hAnsi="Times New Roman" w:cs="Times New Roman"/>
          <w:sz w:val="24"/>
        </w:rPr>
        <w:t xml:space="preserve"> deskripce</w:t>
      </w:r>
      <w:r w:rsidR="0089753B">
        <w:rPr>
          <w:rFonts w:ascii="Times New Roman" w:hAnsi="Times New Roman" w:cs="Times New Roman"/>
          <w:sz w:val="24"/>
        </w:rPr>
        <w:t>, syntézy</w:t>
      </w:r>
      <w:r>
        <w:rPr>
          <w:rFonts w:ascii="Times New Roman" w:hAnsi="Times New Roman" w:cs="Times New Roman"/>
          <w:sz w:val="24"/>
        </w:rPr>
        <w:t xml:space="preserve"> a analýzy</w:t>
      </w:r>
      <w:r w:rsidR="007E4E66">
        <w:rPr>
          <w:rFonts w:ascii="Times New Roman" w:hAnsi="Times New Roman" w:cs="Times New Roman"/>
          <w:sz w:val="24"/>
        </w:rPr>
        <w:t xml:space="preserve">, někde </w:t>
      </w:r>
      <w:r w:rsidR="00FB0DD0">
        <w:rPr>
          <w:rFonts w:ascii="Times New Roman" w:hAnsi="Times New Roman" w:cs="Times New Roman"/>
          <w:sz w:val="24"/>
        </w:rPr>
        <w:t xml:space="preserve">prvky </w:t>
      </w:r>
      <w:r w:rsidR="007E4E66">
        <w:rPr>
          <w:rFonts w:ascii="Times New Roman" w:hAnsi="Times New Roman" w:cs="Times New Roman"/>
          <w:sz w:val="24"/>
        </w:rPr>
        <w:t>komparace</w:t>
      </w:r>
      <w:r w:rsidR="002553E8">
        <w:rPr>
          <w:rFonts w:ascii="Times New Roman" w:hAnsi="Times New Roman" w:cs="Times New Roman"/>
          <w:sz w:val="24"/>
        </w:rPr>
        <w:t>. Pracujeme</w:t>
      </w:r>
      <w:r>
        <w:rPr>
          <w:rFonts w:ascii="Times New Roman" w:hAnsi="Times New Roman" w:cs="Times New Roman"/>
          <w:sz w:val="24"/>
        </w:rPr>
        <w:t xml:space="preserve"> s primárním právem EU, </w:t>
      </w:r>
      <w:r w:rsidRPr="00340682">
        <w:rPr>
          <w:rFonts w:ascii="Times New Roman" w:hAnsi="Times New Roman" w:cs="Times New Roman"/>
          <w:sz w:val="24"/>
        </w:rPr>
        <w:t>ale také s relevantními oficiálními dokumenty o</w:t>
      </w:r>
      <w:r w:rsidR="002B3741">
        <w:rPr>
          <w:rFonts w:ascii="Times New Roman" w:hAnsi="Times New Roman" w:cs="Times New Roman"/>
          <w:sz w:val="24"/>
        </w:rPr>
        <w:t>rgánů EU</w:t>
      </w:r>
      <w:r w:rsidR="0087440D">
        <w:rPr>
          <w:rFonts w:ascii="Times New Roman" w:hAnsi="Times New Roman" w:cs="Times New Roman"/>
          <w:sz w:val="24"/>
        </w:rPr>
        <w:t xml:space="preserve"> a parlamentů</w:t>
      </w:r>
      <w:r w:rsidR="002B3741">
        <w:rPr>
          <w:rFonts w:ascii="Times New Roman" w:hAnsi="Times New Roman" w:cs="Times New Roman"/>
          <w:sz w:val="24"/>
        </w:rPr>
        <w:t>. Velmi užitečnou se u</w:t>
      </w:r>
      <w:r>
        <w:rPr>
          <w:rFonts w:ascii="Times New Roman" w:hAnsi="Times New Roman" w:cs="Times New Roman"/>
          <w:sz w:val="24"/>
        </w:rPr>
        <w:t>kázala být databáze</w:t>
      </w:r>
      <w:r w:rsidRPr="00340682">
        <w:rPr>
          <w:rFonts w:ascii="Times New Roman" w:hAnsi="Times New Roman" w:cs="Times New Roman"/>
          <w:sz w:val="24"/>
        </w:rPr>
        <w:t xml:space="preserve"> IPEX.</w:t>
      </w:r>
      <w:r>
        <w:rPr>
          <w:rFonts w:ascii="Times New Roman" w:hAnsi="Times New Roman" w:cs="Times New Roman"/>
          <w:sz w:val="24"/>
        </w:rPr>
        <w:t xml:space="preserve"> Pokud jde o další p</w:t>
      </w:r>
      <w:r w:rsidR="00906458">
        <w:rPr>
          <w:rFonts w:ascii="Times New Roman" w:hAnsi="Times New Roman" w:cs="Times New Roman"/>
          <w:sz w:val="24"/>
        </w:rPr>
        <w:t xml:space="preserve">rameny, ze kterých </w:t>
      </w:r>
      <w:r>
        <w:rPr>
          <w:rFonts w:ascii="Times New Roman" w:hAnsi="Times New Roman" w:cs="Times New Roman"/>
          <w:sz w:val="24"/>
        </w:rPr>
        <w:t>vycházím</w:t>
      </w:r>
      <w:r w:rsidR="00906458">
        <w:rPr>
          <w:rFonts w:ascii="Times New Roman" w:hAnsi="Times New Roman" w:cs="Times New Roman"/>
          <w:sz w:val="24"/>
        </w:rPr>
        <w:t>e</w:t>
      </w:r>
      <w:r w:rsidR="00A62EEE">
        <w:rPr>
          <w:rFonts w:ascii="Times New Roman" w:hAnsi="Times New Roman" w:cs="Times New Roman"/>
          <w:sz w:val="24"/>
        </w:rPr>
        <w:t>, odkazujeme</w:t>
      </w:r>
      <w:r w:rsidR="00AE7DE8">
        <w:rPr>
          <w:rFonts w:ascii="Times New Roman" w:hAnsi="Times New Roman" w:cs="Times New Roman"/>
          <w:sz w:val="24"/>
        </w:rPr>
        <w:t xml:space="preserve"> na poznámkový aparát.</w:t>
      </w:r>
      <w:r w:rsidR="00D82C38">
        <w:rPr>
          <w:rFonts w:ascii="Times New Roman" w:hAnsi="Times New Roman" w:cs="Times New Roman"/>
          <w:sz w:val="24"/>
        </w:rPr>
        <w:t xml:space="preserve"> </w:t>
      </w:r>
      <w:r w:rsidR="000F07FE">
        <w:rPr>
          <w:rFonts w:ascii="Times New Roman" w:hAnsi="Times New Roman" w:cs="Times New Roman"/>
          <w:sz w:val="24"/>
        </w:rPr>
        <w:t>Za nejvíce přínosné považujeme</w:t>
      </w:r>
      <w:r w:rsidR="00C94073">
        <w:rPr>
          <w:rFonts w:ascii="Times New Roman" w:hAnsi="Times New Roman" w:cs="Times New Roman"/>
          <w:sz w:val="24"/>
        </w:rPr>
        <w:t xml:space="preserve"> publikace</w:t>
      </w:r>
      <w:r w:rsidR="00803EAD">
        <w:rPr>
          <w:rFonts w:ascii="Times New Roman" w:hAnsi="Times New Roman" w:cs="Times New Roman"/>
          <w:sz w:val="24"/>
        </w:rPr>
        <w:t xml:space="preserve"> </w:t>
      </w:r>
      <w:proofErr w:type="spellStart"/>
      <w:r w:rsidR="00803EAD">
        <w:rPr>
          <w:rFonts w:ascii="Times New Roman" w:hAnsi="Times New Roman" w:cs="Times New Roman"/>
          <w:sz w:val="24"/>
        </w:rPr>
        <w:t>Kiivera</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The</w:t>
      </w:r>
      <w:proofErr w:type="spellEnd"/>
      <w:r w:rsidR="00803EAD">
        <w:rPr>
          <w:rFonts w:ascii="Times New Roman" w:hAnsi="Times New Roman" w:cs="Times New Roman"/>
          <w:sz w:val="24"/>
        </w:rPr>
        <w:t xml:space="preserve"> Early </w:t>
      </w:r>
      <w:proofErr w:type="spellStart"/>
      <w:r w:rsidR="00803EAD">
        <w:rPr>
          <w:rFonts w:ascii="Times New Roman" w:hAnsi="Times New Roman" w:cs="Times New Roman"/>
          <w:sz w:val="24"/>
        </w:rPr>
        <w:t>Warning</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S</w:t>
      </w:r>
      <w:r w:rsidR="009907AC">
        <w:rPr>
          <w:rFonts w:ascii="Times New Roman" w:hAnsi="Times New Roman" w:cs="Times New Roman"/>
          <w:sz w:val="24"/>
        </w:rPr>
        <w:t>yste</w:t>
      </w:r>
      <w:r w:rsidR="00803EAD">
        <w:rPr>
          <w:rFonts w:ascii="Times New Roman" w:hAnsi="Times New Roman" w:cs="Times New Roman"/>
          <w:sz w:val="24"/>
        </w:rPr>
        <w:t>m</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for</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the</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Principle</w:t>
      </w:r>
      <w:proofErr w:type="spellEnd"/>
      <w:r w:rsidR="00803EAD">
        <w:rPr>
          <w:rFonts w:ascii="Times New Roman" w:hAnsi="Times New Roman" w:cs="Times New Roman"/>
          <w:sz w:val="24"/>
        </w:rPr>
        <w:t xml:space="preserve"> </w:t>
      </w:r>
      <w:proofErr w:type="spellStart"/>
      <w:r w:rsidR="00803EAD">
        <w:rPr>
          <w:rFonts w:ascii="Times New Roman" w:hAnsi="Times New Roman" w:cs="Times New Roman"/>
          <w:sz w:val="24"/>
        </w:rPr>
        <w:t>of</w:t>
      </w:r>
      <w:proofErr w:type="spellEnd"/>
      <w:r w:rsidR="00803EAD">
        <w:rPr>
          <w:rFonts w:ascii="Times New Roman" w:hAnsi="Times New Roman" w:cs="Times New Roman"/>
          <w:sz w:val="24"/>
        </w:rPr>
        <w:t xml:space="preserve"> Subsidiarity</w:t>
      </w:r>
      <w:r w:rsidR="00F524CE">
        <w:rPr>
          <w:rFonts w:ascii="Times New Roman" w:hAnsi="Times New Roman" w:cs="Times New Roman"/>
          <w:sz w:val="24"/>
        </w:rPr>
        <w:t>, a</w:t>
      </w:r>
      <w:r w:rsidR="00C94073">
        <w:rPr>
          <w:rFonts w:ascii="Times New Roman" w:hAnsi="Times New Roman" w:cs="Times New Roman"/>
          <w:sz w:val="24"/>
        </w:rPr>
        <w:t xml:space="preserve"> </w:t>
      </w:r>
      <w:proofErr w:type="spellStart"/>
      <w:r w:rsidR="00C94073">
        <w:rPr>
          <w:rFonts w:ascii="Times New Roman" w:hAnsi="Times New Roman" w:cs="Times New Roman"/>
          <w:sz w:val="24"/>
        </w:rPr>
        <w:t>Grince</w:t>
      </w:r>
      <w:proofErr w:type="spellEnd"/>
      <w:r w:rsidR="00C94073">
        <w:rPr>
          <w:rFonts w:ascii="Times New Roman" w:hAnsi="Times New Roman" w:cs="Times New Roman"/>
          <w:sz w:val="24"/>
        </w:rPr>
        <w:t>, Národní parlamenty a demokratická legitimita Evropské unie</w:t>
      </w:r>
      <w:r w:rsidR="00A11B2B">
        <w:rPr>
          <w:rFonts w:ascii="Times New Roman" w:hAnsi="Times New Roman" w:cs="Times New Roman"/>
          <w:sz w:val="24"/>
        </w:rPr>
        <w:t xml:space="preserve">. </w:t>
      </w:r>
      <w:r w:rsidRPr="00C40230">
        <w:rPr>
          <w:rFonts w:ascii="Times New Roman" w:hAnsi="Times New Roman" w:cs="Times New Roman"/>
          <w:sz w:val="24"/>
        </w:rPr>
        <w:t>Není-li uvedeno jinak</w:t>
      </w:r>
      <w:r w:rsidR="003A1AA9">
        <w:rPr>
          <w:rFonts w:ascii="Times New Roman" w:hAnsi="Times New Roman" w:cs="Times New Roman"/>
          <w:sz w:val="24"/>
        </w:rPr>
        <w:t xml:space="preserve"> či nevyplývá-li z textu něco jiného</w:t>
      </w:r>
      <w:r>
        <w:rPr>
          <w:rFonts w:ascii="Times New Roman" w:hAnsi="Times New Roman" w:cs="Times New Roman"/>
          <w:sz w:val="24"/>
        </w:rPr>
        <w:t>, pracu</w:t>
      </w:r>
      <w:r w:rsidR="00A72A53">
        <w:rPr>
          <w:rFonts w:ascii="Times New Roman" w:hAnsi="Times New Roman" w:cs="Times New Roman"/>
          <w:sz w:val="24"/>
        </w:rPr>
        <w:t>jeme se stavem a zdroji k 31. srpnu</w:t>
      </w:r>
      <w:r>
        <w:rPr>
          <w:rFonts w:ascii="Times New Roman" w:hAnsi="Times New Roman" w:cs="Times New Roman"/>
          <w:sz w:val="24"/>
        </w:rPr>
        <w:t xml:space="preserve"> 2016.</w:t>
      </w:r>
      <w:r w:rsidR="00F70127">
        <w:rPr>
          <w:rFonts w:ascii="Times New Roman" w:hAnsi="Times New Roman" w:cs="Times New Roman"/>
          <w:sz w:val="24"/>
        </w:rPr>
        <w:t xml:space="preserve"> Byla </w:t>
      </w:r>
      <w:r w:rsidR="00986B09">
        <w:rPr>
          <w:rFonts w:ascii="Times New Roman" w:hAnsi="Times New Roman" w:cs="Times New Roman"/>
          <w:sz w:val="24"/>
        </w:rPr>
        <w:t>vyvi</w:t>
      </w:r>
      <w:r w:rsidR="004A54BC">
        <w:rPr>
          <w:rFonts w:ascii="Times New Roman" w:hAnsi="Times New Roman" w:cs="Times New Roman"/>
          <w:sz w:val="24"/>
        </w:rPr>
        <w:t>nuta snaha relevantní části práce co nejvíce aktualizovat.</w:t>
      </w:r>
    </w:p>
    <w:p w:rsidR="00891010" w:rsidRDefault="00891010" w:rsidP="00BF57AF">
      <w:pPr>
        <w:spacing w:line="360" w:lineRule="auto"/>
        <w:ind w:firstLine="708"/>
        <w:jc w:val="both"/>
        <w:rPr>
          <w:rFonts w:ascii="Times New Roman" w:hAnsi="Times New Roman" w:cs="Times New Roman"/>
          <w:sz w:val="24"/>
        </w:rPr>
      </w:pPr>
    </w:p>
    <w:p w:rsidR="00FF3236" w:rsidRDefault="00FF3236"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E318A0" w:rsidRDefault="00E318A0" w:rsidP="00557549">
      <w:pPr>
        <w:spacing w:line="360" w:lineRule="auto"/>
        <w:jc w:val="both"/>
        <w:rPr>
          <w:rFonts w:ascii="Times New Roman" w:hAnsi="Times New Roman" w:cs="Times New Roman"/>
          <w:sz w:val="24"/>
        </w:rPr>
      </w:pPr>
    </w:p>
    <w:p w:rsidR="00376B1A" w:rsidRDefault="00376B1A" w:rsidP="00557549">
      <w:pPr>
        <w:spacing w:line="360" w:lineRule="auto"/>
        <w:jc w:val="both"/>
        <w:rPr>
          <w:rFonts w:ascii="Times New Roman" w:hAnsi="Times New Roman" w:cs="Times New Roman"/>
          <w:sz w:val="24"/>
        </w:rPr>
      </w:pPr>
    </w:p>
    <w:p w:rsidR="0015186F" w:rsidRDefault="0015186F" w:rsidP="00557549">
      <w:pPr>
        <w:spacing w:line="360" w:lineRule="auto"/>
        <w:jc w:val="both"/>
        <w:rPr>
          <w:rFonts w:ascii="Times New Roman" w:hAnsi="Times New Roman" w:cs="Times New Roman"/>
          <w:sz w:val="24"/>
        </w:rPr>
      </w:pPr>
    </w:p>
    <w:p w:rsidR="0015186F" w:rsidRDefault="0015186F" w:rsidP="00557549">
      <w:pPr>
        <w:spacing w:line="360" w:lineRule="auto"/>
        <w:jc w:val="both"/>
        <w:rPr>
          <w:rFonts w:ascii="Times New Roman" w:hAnsi="Times New Roman" w:cs="Times New Roman"/>
          <w:sz w:val="24"/>
        </w:rPr>
      </w:pPr>
    </w:p>
    <w:p w:rsidR="00764479" w:rsidRDefault="00764479" w:rsidP="00557549">
      <w:pPr>
        <w:spacing w:line="360" w:lineRule="auto"/>
        <w:jc w:val="both"/>
        <w:rPr>
          <w:rFonts w:ascii="Times New Roman" w:hAnsi="Times New Roman" w:cs="Times New Roman"/>
          <w:sz w:val="24"/>
        </w:rPr>
      </w:pPr>
    </w:p>
    <w:p w:rsidR="00764479" w:rsidRDefault="00764479" w:rsidP="00557549">
      <w:pPr>
        <w:spacing w:line="360" w:lineRule="auto"/>
        <w:jc w:val="both"/>
        <w:rPr>
          <w:rFonts w:ascii="Times New Roman" w:hAnsi="Times New Roman" w:cs="Times New Roman"/>
          <w:sz w:val="24"/>
        </w:rPr>
      </w:pPr>
    </w:p>
    <w:p w:rsidR="00D82D60" w:rsidRDefault="00174CEC" w:rsidP="008B60F2">
      <w:pPr>
        <w:pStyle w:val="Nadpis1"/>
      </w:pPr>
      <w:bookmarkStart w:id="2" w:name="_Toc478235149"/>
      <w:r>
        <w:lastRenderedPageBreak/>
        <w:t xml:space="preserve">1 </w:t>
      </w:r>
      <w:r w:rsidR="00710AF4">
        <w:t>Parlament</w:t>
      </w:r>
      <w:r w:rsidR="00757A76">
        <w:t xml:space="preserve"> a role parlamentů v EU</w:t>
      </w:r>
      <w:bookmarkEnd w:id="2"/>
    </w:p>
    <w:p w:rsidR="0040545B" w:rsidRPr="0040545B" w:rsidRDefault="0040545B" w:rsidP="0040545B"/>
    <w:p w:rsidR="001A0D5D" w:rsidRPr="00E27E9E" w:rsidRDefault="001E132E" w:rsidP="00E27E9E">
      <w:pPr>
        <w:spacing w:line="360" w:lineRule="auto"/>
        <w:ind w:firstLine="708"/>
        <w:jc w:val="both"/>
        <w:rPr>
          <w:rFonts w:ascii="Times New Roman" w:hAnsi="Times New Roman" w:cs="Times New Roman"/>
          <w:sz w:val="24"/>
        </w:rPr>
      </w:pPr>
      <w:r>
        <w:rPr>
          <w:rFonts w:ascii="Times New Roman" w:hAnsi="Times New Roman" w:cs="Times New Roman"/>
          <w:sz w:val="24"/>
          <w:szCs w:val="24"/>
        </w:rPr>
        <w:t>Předmětem</w:t>
      </w:r>
      <w:r w:rsidR="00746FE9">
        <w:rPr>
          <w:rFonts w:ascii="Times New Roman" w:hAnsi="Times New Roman" w:cs="Times New Roman"/>
          <w:sz w:val="24"/>
          <w:szCs w:val="24"/>
        </w:rPr>
        <w:t xml:space="preserve"> kapitoly je</w:t>
      </w:r>
      <w:r>
        <w:rPr>
          <w:rFonts w:ascii="Times New Roman" w:hAnsi="Times New Roman" w:cs="Times New Roman"/>
          <w:sz w:val="24"/>
          <w:szCs w:val="24"/>
        </w:rPr>
        <w:t xml:space="preserve"> nejdříve</w:t>
      </w:r>
      <w:r w:rsidR="00746FE9">
        <w:rPr>
          <w:rFonts w:ascii="Times New Roman" w:hAnsi="Times New Roman" w:cs="Times New Roman"/>
          <w:sz w:val="24"/>
          <w:szCs w:val="24"/>
        </w:rPr>
        <w:t xml:space="preserve"> definování pojmu parlament</w:t>
      </w:r>
      <w:r w:rsidR="007029D6">
        <w:rPr>
          <w:rFonts w:ascii="Times New Roman" w:hAnsi="Times New Roman" w:cs="Times New Roman"/>
          <w:sz w:val="24"/>
          <w:szCs w:val="24"/>
        </w:rPr>
        <w:t>, dotčeny jsou linky k</w:t>
      </w:r>
      <w:r>
        <w:rPr>
          <w:rFonts w:ascii="Times New Roman" w:hAnsi="Times New Roman" w:cs="Times New Roman"/>
          <w:sz w:val="24"/>
          <w:szCs w:val="24"/>
        </w:rPr>
        <w:t> </w:t>
      </w:r>
      <w:r w:rsidR="007029D6">
        <w:rPr>
          <w:rFonts w:ascii="Times New Roman" w:hAnsi="Times New Roman" w:cs="Times New Roman"/>
          <w:sz w:val="24"/>
          <w:szCs w:val="24"/>
        </w:rPr>
        <w:t>EP</w:t>
      </w:r>
      <w:r>
        <w:rPr>
          <w:rFonts w:ascii="Times New Roman" w:hAnsi="Times New Roman" w:cs="Times New Roman"/>
          <w:sz w:val="24"/>
          <w:szCs w:val="24"/>
        </w:rPr>
        <w:t>.</w:t>
      </w:r>
      <w:r w:rsidR="00025B00">
        <w:rPr>
          <w:rFonts w:ascii="Times New Roman" w:hAnsi="Times New Roman" w:cs="Times New Roman"/>
          <w:sz w:val="24"/>
          <w:szCs w:val="24"/>
        </w:rPr>
        <w:t xml:space="preserve"> </w:t>
      </w:r>
      <w:r>
        <w:rPr>
          <w:rFonts w:ascii="Times New Roman" w:hAnsi="Times New Roman" w:cs="Times New Roman"/>
          <w:sz w:val="24"/>
        </w:rPr>
        <w:t>V</w:t>
      </w:r>
      <w:r w:rsidR="00025B00">
        <w:rPr>
          <w:rFonts w:ascii="Times New Roman" w:hAnsi="Times New Roman" w:cs="Times New Roman"/>
          <w:sz w:val="24"/>
        </w:rPr>
        <w:t xml:space="preserve">ěnujeme </w:t>
      </w:r>
      <w:r w:rsidR="002A0CCF">
        <w:rPr>
          <w:rFonts w:ascii="Times New Roman" w:hAnsi="Times New Roman" w:cs="Times New Roman"/>
          <w:sz w:val="24"/>
        </w:rPr>
        <w:t xml:space="preserve">se </w:t>
      </w:r>
      <w:r w:rsidR="00B223E6">
        <w:rPr>
          <w:rFonts w:ascii="Times New Roman" w:hAnsi="Times New Roman" w:cs="Times New Roman"/>
          <w:sz w:val="24"/>
        </w:rPr>
        <w:t xml:space="preserve">vlivu </w:t>
      </w:r>
      <w:r w:rsidR="00CB4F7A">
        <w:rPr>
          <w:rFonts w:ascii="Times New Roman" w:hAnsi="Times New Roman" w:cs="Times New Roman"/>
          <w:sz w:val="24"/>
        </w:rPr>
        <w:t xml:space="preserve">evropské </w:t>
      </w:r>
      <w:r w:rsidR="00B223E6">
        <w:rPr>
          <w:rFonts w:ascii="Times New Roman" w:hAnsi="Times New Roman" w:cs="Times New Roman"/>
          <w:sz w:val="24"/>
        </w:rPr>
        <w:t>integrace na parlamenty</w:t>
      </w:r>
      <w:r w:rsidR="00746FE9">
        <w:rPr>
          <w:rFonts w:ascii="Times New Roman" w:hAnsi="Times New Roman" w:cs="Times New Roman"/>
          <w:sz w:val="24"/>
          <w:szCs w:val="24"/>
        </w:rPr>
        <w:t xml:space="preserve">. </w:t>
      </w:r>
      <w:r w:rsidR="00FD47DC">
        <w:rPr>
          <w:rFonts w:ascii="Times New Roman" w:hAnsi="Times New Roman" w:cs="Times New Roman"/>
          <w:sz w:val="24"/>
        </w:rPr>
        <w:t xml:space="preserve">Cílem kapitoly je dále </w:t>
      </w:r>
      <w:r w:rsidR="001A3491" w:rsidRPr="00673CCE">
        <w:rPr>
          <w:rFonts w:ascii="Times New Roman" w:hAnsi="Times New Roman" w:cs="Times New Roman"/>
          <w:sz w:val="24"/>
        </w:rPr>
        <w:t xml:space="preserve">vytvořit </w:t>
      </w:r>
      <w:r w:rsidR="001A3491">
        <w:rPr>
          <w:rFonts w:ascii="Times New Roman" w:hAnsi="Times New Roman" w:cs="Times New Roman"/>
          <w:sz w:val="24"/>
        </w:rPr>
        <w:t>přehled</w:t>
      </w:r>
      <w:r w:rsidR="001A3491" w:rsidRPr="00673CCE">
        <w:rPr>
          <w:rFonts w:ascii="Times New Roman" w:hAnsi="Times New Roman" w:cs="Times New Roman"/>
          <w:sz w:val="24"/>
        </w:rPr>
        <w:t xml:space="preserve"> situací, ve kterých se parlamenty</w:t>
      </w:r>
      <w:r w:rsidR="001A3491">
        <w:rPr>
          <w:rFonts w:ascii="Times New Roman" w:hAnsi="Times New Roman" w:cs="Times New Roman"/>
          <w:sz w:val="24"/>
        </w:rPr>
        <w:t xml:space="preserve"> v současnosti</w:t>
      </w:r>
      <w:r w:rsidR="001A3491" w:rsidRPr="00673CCE">
        <w:rPr>
          <w:rFonts w:ascii="Times New Roman" w:hAnsi="Times New Roman" w:cs="Times New Roman"/>
          <w:sz w:val="24"/>
        </w:rPr>
        <w:t xml:space="preserve"> mohou zapojovat do procesu evropské integrace. </w:t>
      </w:r>
      <w:r w:rsidR="001A3491">
        <w:rPr>
          <w:rFonts w:ascii="Times New Roman" w:hAnsi="Times New Roman" w:cs="Times New Roman"/>
          <w:sz w:val="24"/>
        </w:rPr>
        <w:t>LS přinesla mnoho</w:t>
      </w:r>
      <w:r w:rsidR="001A3491" w:rsidRPr="00673CCE">
        <w:rPr>
          <w:rFonts w:ascii="Times New Roman" w:hAnsi="Times New Roman" w:cs="Times New Roman"/>
          <w:sz w:val="24"/>
        </w:rPr>
        <w:t xml:space="preserve"> změn.</w:t>
      </w:r>
      <w:r w:rsidR="001A3491" w:rsidRPr="00673CCE">
        <w:rPr>
          <w:rStyle w:val="Znakapoznpodarou"/>
          <w:rFonts w:ascii="Times New Roman" w:hAnsi="Times New Roman" w:cs="Times New Roman"/>
          <w:sz w:val="24"/>
        </w:rPr>
        <w:footnoteReference w:id="4"/>
      </w:r>
      <w:r w:rsidR="00B1179B">
        <w:rPr>
          <w:rFonts w:ascii="Times New Roman" w:hAnsi="Times New Roman" w:cs="Times New Roman"/>
          <w:sz w:val="24"/>
        </w:rPr>
        <w:t xml:space="preserve"> Mj.</w:t>
      </w:r>
      <w:r w:rsidR="00EF51F0">
        <w:rPr>
          <w:rFonts w:ascii="Times New Roman" w:hAnsi="Times New Roman" w:cs="Times New Roman"/>
          <w:sz w:val="24"/>
        </w:rPr>
        <w:t xml:space="preserve"> jako první zmiňuje</w:t>
      </w:r>
      <w:r w:rsidR="001A3491" w:rsidRPr="00673CCE">
        <w:rPr>
          <w:rFonts w:ascii="Times New Roman" w:hAnsi="Times New Roman" w:cs="Times New Roman"/>
          <w:sz w:val="24"/>
        </w:rPr>
        <w:t xml:space="preserve"> parlamenty </w:t>
      </w:r>
      <w:r w:rsidR="00C23E18">
        <w:rPr>
          <w:rFonts w:ascii="Times New Roman" w:hAnsi="Times New Roman" w:cs="Times New Roman"/>
          <w:sz w:val="24"/>
        </w:rPr>
        <w:t>přímo v textu smlouvy. Čl.</w:t>
      </w:r>
      <w:r w:rsidR="00FD47DC">
        <w:rPr>
          <w:rFonts w:ascii="Times New Roman" w:hAnsi="Times New Roman" w:cs="Times New Roman"/>
          <w:sz w:val="24"/>
        </w:rPr>
        <w:t xml:space="preserve"> 12 SEU tak</w:t>
      </w:r>
      <w:r w:rsidR="001A3491" w:rsidRPr="00673CCE">
        <w:rPr>
          <w:rFonts w:ascii="Times New Roman" w:hAnsi="Times New Roman" w:cs="Times New Roman"/>
          <w:sz w:val="24"/>
        </w:rPr>
        <w:t xml:space="preserve"> </w:t>
      </w:r>
      <w:r w:rsidR="00FD47DC">
        <w:rPr>
          <w:rFonts w:ascii="Times New Roman" w:hAnsi="Times New Roman" w:cs="Times New Roman"/>
          <w:sz w:val="24"/>
        </w:rPr>
        <w:t>poskytuje vodítko</w:t>
      </w:r>
      <w:r w:rsidR="002F664D">
        <w:rPr>
          <w:rFonts w:ascii="Times New Roman" w:hAnsi="Times New Roman" w:cs="Times New Roman"/>
          <w:sz w:val="24"/>
        </w:rPr>
        <w:t>, nicméně co do rolí parlamentů</w:t>
      </w:r>
      <w:r w:rsidR="001A3491">
        <w:rPr>
          <w:rFonts w:ascii="Times New Roman" w:hAnsi="Times New Roman" w:cs="Times New Roman"/>
          <w:sz w:val="24"/>
        </w:rPr>
        <w:t xml:space="preserve"> v evropské integraci</w:t>
      </w:r>
      <w:r w:rsidR="001A3491" w:rsidRPr="00673CCE">
        <w:rPr>
          <w:rFonts w:ascii="Times New Roman" w:hAnsi="Times New Roman" w:cs="Times New Roman"/>
          <w:sz w:val="24"/>
        </w:rPr>
        <w:t xml:space="preserve"> ne</w:t>
      </w:r>
      <w:r w:rsidR="003C16ED">
        <w:rPr>
          <w:rFonts w:ascii="Times New Roman" w:hAnsi="Times New Roman" w:cs="Times New Roman"/>
          <w:sz w:val="24"/>
        </w:rPr>
        <w:t>ní vyčerpávající. Záměrně je</w:t>
      </w:r>
      <w:r w:rsidR="001A3491" w:rsidRPr="00673CCE">
        <w:rPr>
          <w:rFonts w:ascii="Times New Roman" w:hAnsi="Times New Roman" w:cs="Times New Roman"/>
          <w:sz w:val="24"/>
        </w:rPr>
        <w:t xml:space="preserve"> v následující</w:t>
      </w:r>
      <w:r w:rsidR="001A3491">
        <w:rPr>
          <w:rFonts w:ascii="Times New Roman" w:hAnsi="Times New Roman" w:cs="Times New Roman"/>
          <w:sz w:val="24"/>
        </w:rPr>
        <w:t>m výčtu vynechána role</w:t>
      </w:r>
      <w:r w:rsidR="001A3491" w:rsidRPr="00673CCE">
        <w:rPr>
          <w:rFonts w:ascii="Times New Roman" w:hAnsi="Times New Roman" w:cs="Times New Roman"/>
          <w:sz w:val="24"/>
        </w:rPr>
        <w:t xml:space="preserve"> parl</w:t>
      </w:r>
      <w:r w:rsidR="000866BC">
        <w:rPr>
          <w:rFonts w:ascii="Times New Roman" w:hAnsi="Times New Roman" w:cs="Times New Roman"/>
          <w:sz w:val="24"/>
        </w:rPr>
        <w:t>amentů jako hlídačů zásady subsidiarity</w:t>
      </w:r>
      <w:r w:rsidR="005646E6">
        <w:rPr>
          <w:rFonts w:ascii="Times New Roman" w:hAnsi="Times New Roman" w:cs="Times New Roman"/>
          <w:sz w:val="24"/>
        </w:rPr>
        <w:t xml:space="preserve">. </w:t>
      </w:r>
      <w:r w:rsidR="001A3491">
        <w:rPr>
          <w:rFonts w:ascii="Times New Roman" w:hAnsi="Times New Roman" w:cs="Times New Roman"/>
          <w:sz w:val="24"/>
        </w:rPr>
        <w:t>Této</w:t>
      </w:r>
      <w:r w:rsidR="001A3491" w:rsidRPr="00673CCE">
        <w:rPr>
          <w:rFonts w:ascii="Times New Roman" w:hAnsi="Times New Roman" w:cs="Times New Roman"/>
          <w:sz w:val="24"/>
        </w:rPr>
        <w:t xml:space="preserve"> úloze se v zásadě věnují všechny následující kapitoly.</w:t>
      </w:r>
      <w:r w:rsidR="001A3491">
        <w:rPr>
          <w:rFonts w:ascii="Times New Roman" w:hAnsi="Times New Roman" w:cs="Times New Roman"/>
          <w:sz w:val="24"/>
        </w:rPr>
        <w:t xml:space="preserve"> Poznamenejme také, že kapitola vychází zejména z evropské dimenze, která je společná všem parlamentům ČS. Mějme však na paměti možnost každého ČS přijmout vnitrostátní úpravu, jež může mít jiný, podrobně</w:t>
      </w:r>
      <w:r w:rsidR="00B16B00">
        <w:rPr>
          <w:rFonts w:ascii="Times New Roman" w:hAnsi="Times New Roman" w:cs="Times New Roman"/>
          <w:sz w:val="24"/>
        </w:rPr>
        <w:t>jší či pro parlament</w:t>
      </w:r>
      <w:r w:rsidR="001A3491">
        <w:rPr>
          <w:rFonts w:ascii="Times New Roman" w:hAnsi="Times New Roman" w:cs="Times New Roman"/>
          <w:sz w:val="24"/>
        </w:rPr>
        <w:t xml:space="preserve"> posilující charakter.</w:t>
      </w:r>
    </w:p>
    <w:p w:rsidR="00332FDE" w:rsidRDefault="00332FDE" w:rsidP="00FD3326">
      <w:pPr>
        <w:pStyle w:val="Nadpis2"/>
        <w:numPr>
          <w:ilvl w:val="1"/>
          <w:numId w:val="2"/>
        </w:numPr>
      </w:pPr>
      <w:bookmarkStart w:id="3" w:name="_Toc478235150"/>
      <w:r>
        <w:t>Parlament</w:t>
      </w:r>
      <w:bookmarkEnd w:id="3"/>
    </w:p>
    <w:p w:rsidR="00FD3326" w:rsidRPr="00FD3326" w:rsidRDefault="00FD3326" w:rsidP="00FD3326"/>
    <w:p w:rsidR="00D82D60" w:rsidRPr="00B51A2D" w:rsidRDefault="00D82D60" w:rsidP="0015186F">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Dle </w:t>
      </w:r>
      <w:proofErr w:type="spellStart"/>
      <w:r w:rsidRPr="00B51A2D">
        <w:rPr>
          <w:rFonts w:ascii="Times New Roman" w:hAnsi="Times New Roman" w:cs="Times New Roman"/>
          <w:sz w:val="24"/>
          <w:szCs w:val="24"/>
        </w:rPr>
        <w:t>Kelsena</w:t>
      </w:r>
      <w:proofErr w:type="spellEnd"/>
      <w:r w:rsidRPr="00B51A2D">
        <w:rPr>
          <w:rFonts w:ascii="Times New Roman" w:hAnsi="Times New Roman" w:cs="Times New Roman"/>
          <w:sz w:val="24"/>
          <w:szCs w:val="24"/>
        </w:rPr>
        <w:t xml:space="preserve"> </w:t>
      </w:r>
      <w:r w:rsidRPr="00B51A2D">
        <w:rPr>
          <w:rFonts w:ascii="Times New Roman" w:hAnsi="Times New Roman" w:cs="Times New Roman"/>
          <w:i/>
          <w:sz w:val="24"/>
          <w:szCs w:val="24"/>
        </w:rPr>
        <w:t>„je parlament kolegiálním orgánem voleným lidem na základě všeobecného a rovného hlasovacího práva, reprezentujícím lid, resp. národ, a tvořícím směrodatnou státní vůli.“</w:t>
      </w:r>
      <w:r w:rsidRPr="00B51A2D">
        <w:rPr>
          <w:rStyle w:val="Znakapoznpodarou"/>
          <w:rFonts w:ascii="Times New Roman" w:hAnsi="Times New Roman" w:cs="Times New Roman"/>
          <w:i/>
          <w:sz w:val="24"/>
          <w:szCs w:val="24"/>
        </w:rPr>
        <w:footnoteReference w:id="5"/>
      </w:r>
      <w:r>
        <w:rPr>
          <w:rFonts w:ascii="Times New Roman" w:hAnsi="Times New Roman" w:cs="Times New Roman"/>
          <w:i/>
          <w:sz w:val="24"/>
          <w:szCs w:val="24"/>
        </w:rPr>
        <w:t xml:space="preserve"> </w:t>
      </w:r>
      <w:r>
        <w:rPr>
          <w:rFonts w:ascii="Times New Roman" w:hAnsi="Times New Roman" w:cs="Times New Roman"/>
          <w:sz w:val="24"/>
          <w:szCs w:val="24"/>
        </w:rPr>
        <w:t>Baxa charakterizuje parlament</w:t>
      </w:r>
      <w:r w:rsidRPr="00B51A2D">
        <w:rPr>
          <w:rFonts w:ascii="Times New Roman" w:hAnsi="Times New Roman" w:cs="Times New Roman"/>
          <w:sz w:val="24"/>
          <w:szCs w:val="24"/>
        </w:rPr>
        <w:t xml:space="preserve"> jako </w:t>
      </w:r>
      <w:r w:rsidRPr="00B51A2D">
        <w:rPr>
          <w:rFonts w:ascii="Times New Roman" w:hAnsi="Times New Roman" w:cs="Times New Roman"/>
          <w:i/>
          <w:sz w:val="24"/>
          <w:szCs w:val="24"/>
        </w:rPr>
        <w:t>„obecně zastupitelský sbor národa</w:t>
      </w:r>
      <w:r w:rsidR="00B16F7C">
        <w:rPr>
          <w:rFonts w:ascii="Times New Roman" w:hAnsi="Times New Roman" w:cs="Times New Roman"/>
          <w:i/>
          <w:sz w:val="24"/>
          <w:szCs w:val="24"/>
        </w:rPr>
        <w:t>.</w:t>
      </w:r>
      <w:r w:rsidR="00B16F7C">
        <w:rPr>
          <w:rFonts w:ascii="Times New Roman" w:hAnsi="Times New Roman" w:cs="Times New Roman"/>
          <w:sz w:val="24"/>
          <w:szCs w:val="24"/>
        </w:rPr>
        <w:t>“</w:t>
      </w:r>
      <w:r w:rsidRPr="00B51A2D">
        <w:rPr>
          <w:rStyle w:val="Znakapoznpodarou"/>
          <w:rFonts w:ascii="Times New Roman" w:hAnsi="Times New Roman" w:cs="Times New Roman"/>
          <w:sz w:val="24"/>
          <w:szCs w:val="24"/>
        </w:rPr>
        <w:footnoteReference w:id="6"/>
      </w:r>
      <w:r w:rsidR="00856990">
        <w:rPr>
          <w:rFonts w:ascii="Times New Roman" w:hAnsi="Times New Roman" w:cs="Times New Roman"/>
          <w:sz w:val="24"/>
          <w:szCs w:val="24"/>
        </w:rPr>
        <w:t xml:space="preserve"> P</w:t>
      </w:r>
      <w:r w:rsidRPr="00B51A2D">
        <w:rPr>
          <w:rFonts w:ascii="Times New Roman" w:hAnsi="Times New Roman" w:cs="Times New Roman"/>
          <w:sz w:val="24"/>
          <w:szCs w:val="24"/>
        </w:rPr>
        <w:t>o</w:t>
      </w:r>
      <w:r>
        <w:rPr>
          <w:rFonts w:ascii="Times New Roman" w:hAnsi="Times New Roman" w:cs="Times New Roman"/>
          <w:sz w:val="24"/>
          <w:szCs w:val="24"/>
        </w:rPr>
        <w:t>jem konkretizuje, když</w:t>
      </w:r>
      <w:r w:rsidRPr="00B51A2D">
        <w:rPr>
          <w:rFonts w:ascii="Times New Roman" w:hAnsi="Times New Roman" w:cs="Times New Roman"/>
          <w:sz w:val="24"/>
          <w:szCs w:val="24"/>
        </w:rPr>
        <w:t xml:space="preserve"> uvádí, že „</w:t>
      </w:r>
      <w:r w:rsidRPr="00B51A2D">
        <w:rPr>
          <w:rFonts w:ascii="Times New Roman" w:hAnsi="Times New Roman" w:cs="Times New Roman"/>
          <w:i/>
          <w:sz w:val="24"/>
          <w:szCs w:val="24"/>
        </w:rPr>
        <w:t>parlament jako orgán státní jest právně samostatný, na jiném orgánu státním nezávislý</w:t>
      </w:r>
      <w:r w:rsidRPr="00B51A2D">
        <w:rPr>
          <w:rFonts w:ascii="Times New Roman" w:hAnsi="Times New Roman" w:cs="Times New Roman"/>
          <w:sz w:val="24"/>
          <w:szCs w:val="24"/>
        </w:rPr>
        <w:t>.“</w:t>
      </w:r>
      <w:r w:rsidRPr="00B51A2D">
        <w:rPr>
          <w:rStyle w:val="Znakapoznpodarou"/>
          <w:rFonts w:ascii="Times New Roman" w:hAnsi="Times New Roman" w:cs="Times New Roman"/>
          <w:sz w:val="24"/>
          <w:szCs w:val="24"/>
        </w:rPr>
        <w:footnoteReference w:id="7"/>
      </w:r>
      <w:r w:rsidRPr="00B51A2D">
        <w:rPr>
          <w:rFonts w:ascii="Times New Roman" w:hAnsi="Times New Roman" w:cs="Times New Roman"/>
          <w:sz w:val="24"/>
          <w:szCs w:val="24"/>
        </w:rPr>
        <w:t xml:space="preserve"> </w:t>
      </w:r>
      <w:r>
        <w:rPr>
          <w:rFonts w:ascii="Times New Roman" w:hAnsi="Times New Roman" w:cs="Times New Roman"/>
          <w:sz w:val="24"/>
          <w:szCs w:val="24"/>
        </w:rPr>
        <w:t>Parlament</w:t>
      </w:r>
      <w:r w:rsidRPr="00B51A2D">
        <w:rPr>
          <w:rFonts w:ascii="Times New Roman" w:hAnsi="Times New Roman" w:cs="Times New Roman"/>
          <w:sz w:val="24"/>
          <w:szCs w:val="24"/>
        </w:rPr>
        <w:t xml:space="preserve"> je tedy reprezentací, zástupcem. Oním reprezentovaným</w:t>
      </w:r>
      <w:r>
        <w:rPr>
          <w:rFonts w:ascii="Times New Roman" w:hAnsi="Times New Roman" w:cs="Times New Roman"/>
          <w:sz w:val="24"/>
          <w:szCs w:val="24"/>
        </w:rPr>
        <w:t xml:space="preserve"> subjektem je lid, respektive občané.</w:t>
      </w:r>
    </w:p>
    <w:p w:rsidR="00D82D60" w:rsidRDefault="0090095B" w:rsidP="001518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D82D60">
        <w:rPr>
          <w:rFonts w:ascii="Times New Roman" w:hAnsi="Times New Roman" w:cs="Times New Roman"/>
          <w:sz w:val="24"/>
          <w:szCs w:val="24"/>
        </w:rPr>
        <w:t>e</w:t>
      </w:r>
      <w:r w:rsidR="00D82D60" w:rsidRPr="00B51A2D">
        <w:rPr>
          <w:rFonts w:ascii="Times New Roman" w:hAnsi="Times New Roman" w:cs="Times New Roman"/>
          <w:sz w:val="24"/>
          <w:szCs w:val="24"/>
        </w:rPr>
        <w:t>dělám</w:t>
      </w:r>
      <w:r w:rsidR="00D82D60">
        <w:rPr>
          <w:rFonts w:ascii="Times New Roman" w:hAnsi="Times New Roman" w:cs="Times New Roman"/>
          <w:sz w:val="24"/>
          <w:szCs w:val="24"/>
        </w:rPr>
        <w:t>e</w:t>
      </w:r>
      <w:r w:rsidR="00D82D60" w:rsidRPr="00B51A2D">
        <w:rPr>
          <w:rFonts w:ascii="Times New Roman" w:hAnsi="Times New Roman" w:cs="Times New Roman"/>
          <w:sz w:val="24"/>
          <w:szCs w:val="24"/>
        </w:rPr>
        <w:t xml:space="preserve"> chybu,</w:t>
      </w:r>
      <w:r w:rsidR="00D82D60">
        <w:rPr>
          <w:rFonts w:ascii="Times New Roman" w:hAnsi="Times New Roman" w:cs="Times New Roman"/>
          <w:sz w:val="24"/>
          <w:szCs w:val="24"/>
        </w:rPr>
        <w:t xml:space="preserve"> tvrdíme-li, že parlament</w:t>
      </w:r>
      <w:r w:rsidR="00D82D60" w:rsidRPr="00B51A2D">
        <w:rPr>
          <w:rFonts w:ascii="Times New Roman" w:hAnsi="Times New Roman" w:cs="Times New Roman"/>
          <w:sz w:val="24"/>
          <w:szCs w:val="24"/>
        </w:rPr>
        <w:t xml:space="preserve"> je pilířem demokracie.</w:t>
      </w:r>
      <w:r w:rsidR="001D20CD">
        <w:rPr>
          <w:rStyle w:val="Znakapoznpodarou"/>
          <w:rFonts w:ascii="Times New Roman" w:hAnsi="Times New Roman" w:cs="Times New Roman"/>
          <w:sz w:val="24"/>
          <w:szCs w:val="24"/>
        </w:rPr>
        <w:footnoteReference w:id="8"/>
      </w:r>
      <w:r w:rsidR="00D82D60" w:rsidRPr="00B51A2D">
        <w:rPr>
          <w:rFonts w:ascii="Times New Roman" w:hAnsi="Times New Roman" w:cs="Times New Roman"/>
          <w:sz w:val="24"/>
          <w:szCs w:val="24"/>
        </w:rPr>
        <w:t xml:space="preserve"> Všechny </w:t>
      </w:r>
      <w:r w:rsidR="00D82D60">
        <w:rPr>
          <w:rFonts w:ascii="Times New Roman" w:hAnsi="Times New Roman" w:cs="Times New Roman"/>
          <w:sz w:val="24"/>
          <w:szCs w:val="24"/>
        </w:rPr>
        <w:t>parlamenty pak vykazují určité společné znaky. J</w:t>
      </w:r>
      <w:r w:rsidR="00D82D60" w:rsidRPr="00B51A2D">
        <w:rPr>
          <w:rFonts w:ascii="Times New Roman" w:hAnsi="Times New Roman" w:cs="Times New Roman"/>
          <w:sz w:val="24"/>
          <w:szCs w:val="24"/>
        </w:rPr>
        <w:t xml:space="preserve">sou </w:t>
      </w:r>
      <w:r w:rsidR="00D82D60">
        <w:rPr>
          <w:rFonts w:ascii="Times New Roman" w:hAnsi="Times New Roman" w:cs="Times New Roman"/>
          <w:sz w:val="24"/>
          <w:szCs w:val="24"/>
        </w:rPr>
        <w:t xml:space="preserve">to </w:t>
      </w:r>
      <w:r w:rsidR="00D82D60" w:rsidRPr="00B51A2D">
        <w:rPr>
          <w:rFonts w:ascii="Times New Roman" w:hAnsi="Times New Roman" w:cs="Times New Roman"/>
          <w:sz w:val="24"/>
          <w:szCs w:val="24"/>
        </w:rPr>
        <w:t xml:space="preserve">orgány kolegiální, rozhodováno </w:t>
      </w:r>
      <w:r w:rsidR="00EC1B23">
        <w:rPr>
          <w:rFonts w:ascii="Times New Roman" w:hAnsi="Times New Roman" w:cs="Times New Roman"/>
          <w:sz w:val="24"/>
          <w:szCs w:val="24"/>
        </w:rPr>
        <w:t>je kolektivně</w:t>
      </w:r>
      <w:r w:rsidR="00D82D60" w:rsidRPr="00B51A2D">
        <w:rPr>
          <w:rFonts w:ascii="Times New Roman" w:hAnsi="Times New Roman" w:cs="Times New Roman"/>
          <w:sz w:val="24"/>
          <w:szCs w:val="24"/>
        </w:rPr>
        <w:t>.</w:t>
      </w:r>
      <w:r w:rsidR="00F3529C">
        <w:rPr>
          <w:rFonts w:ascii="Times New Roman" w:hAnsi="Times New Roman" w:cs="Times New Roman"/>
          <w:sz w:val="24"/>
          <w:szCs w:val="24"/>
        </w:rPr>
        <w:t xml:space="preserve"> J</w:t>
      </w:r>
      <w:r w:rsidR="00D82D60" w:rsidRPr="00B51A2D">
        <w:rPr>
          <w:rFonts w:ascii="Times New Roman" w:hAnsi="Times New Roman" w:cs="Times New Roman"/>
          <w:sz w:val="24"/>
          <w:szCs w:val="24"/>
        </w:rPr>
        <w:t>sou ustavovány volbami, respektive vždy alespoň jedna komora. V zásadě jde o orgány s celostátní působností.</w:t>
      </w:r>
      <w:r w:rsidR="00D82D60">
        <w:rPr>
          <w:rFonts w:ascii="Times New Roman" w:hAnsi="Times New Roman" w:cs="Times New Roman"/>
          <w:sz w:val="24"/>
          <w:szCs w:val="24"/>
        </w:rPr>
        <w:t xml:space="preserve"> Mezi společné znaky</w:t>
      </w:r>
      <w:r w:rsidR="00316B0E">
        <w:rPr>
          <w:rFonts w:ascii="Times New Roman" w:hAnsi="Times New Roman" w:cs="Times New Roman"/>
          <w:sz w:val="24"/>
          <w:szCs w:val="24"/>
        </w:rPr>
        <w:t xml:space="preserve"> zařaďme</w:t>
      </w:r>
      <w:r w:rsidR="00D82D60" w:rsidRPr="00B51A2D">
        <w:rPr>
          <w:rFonts w:ascii="Times New Roman" w:hAnsi="Times New Roman" w:cs="Times New Roman"/>
          <w:sz w:val="24"/>
          <w:szCs w:val="24"/>
        </w:rPr>
        <w:t xml:space="preserve"> jejich funkce, potažmo pravomoci</w:t>
      </w:r>
      <w:r w:rsidR="001D4FC1">
        <w:rPr>
          <w:rFonts w:ascii="Times New Roman" w:hAnsi="Times New Roman" w:cs="Times New Roman"/>
          <w:sz w:val="24"/>
          <w:szCs w:val="24"/>
        </w:rPr>
        <w:t>.</w:t>
      </w:r>
      <w:r w:rsidR="00D82D60" w:rsidRPr="00B51A2D">
        <w:rPr>
          <w:rStyle w:val="Znakapoznpodarou"/>
          <w:rFonts w:ascii="Times New Roman" w:hAnsi="Times New Roman" w:cs="Times New Roman"/>
          <w:sz w:val="24"/>
          <w:szCs w:val="24"/>
        </w:rPr>
        <w:footnoteReference w:id="9"/>
      </w:r>
      <w:r w:rsidR="001D4FC1">
        <w:rPr>
          <w:rFonts w:ascii="Times New Roman" w:hAnsi="Times New Roman" w:cs="Times New Roman"/>
          <w:sz w:val="24"/>
          <w:szCs w:val="24"/>
        </w:rPr>
        <w:t xml:space="preserve"> I</w:t>
      </w:r>
      <w:r w:rsidR="0080344E">
        <w:rPr>
          <w:rFonts w:ascii="Times New Roman" w:hAnsi="Times New Roman" w:cs="Times New Roman"/>
          <w:sz w:val="24"/>
          <w:szCs w:val="24"/>
        </w:rPr>
        <w:t xml:space="preserve"> ty či jejich projevy se </w:t>
      </w:r>
      <w:r w:rsidR="001D4FC1">
        <w:rPr>
          <w:rFonts w:ascii="Times New Roman" w:hAnsi="Times New Roman" w:cs="Times New Roman"/>
          <w:sz w:val="24"/>
          <w:szCs w:val="24"/>
        </w:rPr>
        <w:t xml:space="preserve">ale </w:t>
      </w:r>
      <w:r w:rsidR="0080344E">
        <w:rPr>
          <w:rFonts w:ascii="Times New Roman" w:hAnsi="Times New Roman" w:cs="Times New Roman"/>
          <w:sz w:val="24"/>
          <w:szCs w:val="24"/>
        </w:rPr>
        <w:t>mohou v jednotlivých zemích lišit.</w:t>
      </w:r>
    </w:p>
    <w:p w:rsidR="00D82D60" w:rsidRPr="00BB4C94" w:rsidRDefault="00D71A7B" w:rsidP="001518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Pokud jde o srovnání parlamentů a EP</w:t>
      </w:r>
      <w:r w:rsidR="00675AD3">
        <w:rPr>
          <w:rFonts w:ascii="Times New Roman" w:hAnsi="Times New Roman" w:cs="Times New Roman"/>
          <w:sz w:val="24"/>
          <w:szCs w:val="24"/>
        </w:rPr>
        <w:t>, tak i přes pozoruhodný vývoj postavení EP</w:t>
      </w:r>
      <w:r w:rsidR="00675AD3">
        <w:rPr>
          <w:rStyle w:val="Znakapoznpodarou"/>
          <w:rFonts w:ascii="Times New Roman" w:hAnsi="Times New Roman" w:cs="Times New Roman"/>
          <w:sz w:val="24"/>
          <w:szCs w:val="24"/>
        </w:rPr>
        <w:footnoteReference w:id="10"/>
      </w:r>
      <w:r w:rsidR="00675AD3">
        <w:rPr>
          <w:rFonts w:ascii="Times New Roman" w:hAnsi="Times New Roman" w:cs="Times New Roman"/>
          <w:sz w:val="24"/>
          <w:szCs w:val="24"/>
        </w:rPr>
        <w:t xml:space="preserve"> platí</w:t>
      </w:r>
      <w:r w:rsidR="00F65972">
        <w:rPr>
          <w:rFonts w:ascii="Times New Roman" w:hAnsi="Times New Roman" w:cs="Times New Roman"/>
          <w:sz w:val="24"/>
          <w:szCs w:val="24"/>
        </w:rPr>
        <w:t xml:space="preserve">, že nedosahuje </w:t>
      </w:r>
      <w:r w:rsidR="00F65972" w:rsidRPr="00B51A2D">
        <w:rPr>
          <w:rFonts w:ascii="Times New Roman" w:hAnsi="Times New Roman" w:cs="Times New Roman"/>
          <w:sz w:val="24"/>
          <w:szCs w:val="24"/>
        </w:rPr>
        <w:t xml:space="preserve">pozice </w:t>
      </w:r>
      <w:r w:rsidR="00B24156">
        <w:rPr>
          <w:rFonts w:ascii="Times New Roman" w:hAnsi="Times New Roman" w:cs="Times New Roman"/>
          <w:sz w:val="24"/>
          <w:szCs w:val="24"/>
        </w:rPr>
        <w:t>parlamentů</w:t>
      </w:r>
      <w:r w:rsidR="00F65972">
        <w:rPr>
          <w:rFonts w:ascii="Times New Roman" w:hAnsi="Times New Roman" w:cs="Times New Roman"/>
          <w:sz w:val="24"/>
          <w:szCs w:val="24"/>
        </w:rPr>
        <w:t xml:space="preserve"> </w:t>
      </w:r>
      <w:r w:rsidR="00B24156">
        <w:rPr>
          <w:rFonts w:ascii="Times New Roman" w:hAnsi="Times New Roman" w:cs="Times New Roman"/>
          <w:sz w:val="24"/>
          <w:szCs w:val="24"/>
        </w:rPr>
        <w:t>v rámci států</w:t>
      </w:r>
      <w:r w:rsidR="00FC6AE7">
        <w:rPr>
          <w:rFonts w:ascii="Times New Roman" w:hAnsi="Times New Roman" w:cs="Times New Roman"/>
          <w:sz w:val="24"/>
          <w:szCs w:val="24"/>
        </w:rPr>
        <w:t>.</w:t>
      </w:r>
      <w:r w:rsidR="00F65972" w:rsidRPr="00B51A2D">
        <w:rPr>
          <w:rStyle w:val="Znakapoznpodarou"/>
          <w:rFonts w:ascii="Times New Roman" w:hAnsi="Times New Roman" w:cs="Times New Roman"/>
          <w:sz w:val="24"/>
          <w:szCs w:val="24"/>
        </w:rPr>
        <w:footnoteReference w:id="11"/>
      </w:r>
      <w:r w:rsidR="00FC6AE7">
        <w:rPr>
          <w:rFonts w:ascii="Times New Roman" w:hAnsi="Times New Roman" w:cs="Times New Roman"/>
          <w:sz w:val="24"/>
          <w:szCs w:val="24"/>
        </w:rPr>
        <w:t xml:space="preserve"> T</w:t>
      </w:r>
      <w:r w:rsidR="00F65972" w:rsidRPr="00B51A2D">
        <w:rPr>
          <w:rFonts w:ascii="Times New Roman" w:hAnsi="Times New Roman" w:cs="Times New Roman"/>
          <w:sz w:val="24"/>
          <w:szCs w:val="24"/>
        </w:rPr>
        <w:t>ypově ovšem můžeme vi</w:t>
      </w:r>
      <w:r w:rsidR="00F65972">
        <w:rPr>
          <w:rFonts w:ascii="Times New Roman" w:hAnsi="Times New Roman" w:cs="Times New Roman"/>
          <w:sz w:val="24"/>
          <w:szCs w:val="24"/>
        </w:rPr>
        <w:t>dět stejné či podobné pravomoci.</w:t>
      </w:r>
      <w:r w:rsidR="00F65972" w:rsidRPr="00B51A2D">
        <w:rPr>
          <w:rStyle w:val="Znakapoznpodarou"/>
          <w:rFonts w:ascii="Times New Roman" w:hAnsi="Times New Roman" w:cs="Times New Roman"/>
          <w:i/>
          <w:sz w:val="24"/>
          <w:szCs w:val="24"/>
        </w:rPr>
        <w:footnoteReference w:id="12"/>
      </w:r>
      <w:r w:rsidR="00BB4C94">
        <w:rPr>
          <w:rFonts w:ascii="Times New Roman" w:hAnsi="Times New Roman" w:cs="Times New Roman"/>
          <w:sz w:val="24"/>
          <w:szCs w:val="24"/>
        </w:rPr>
        <w:t xml:space="preserve"> </w:t>
      </w:r>
      <w:r w:rsidR="00D82D60">
        <w:rPr>
          <w:rFonts w:ascii="Times New Roman" w:hAnsi="Times New Roman" w:cs="Times New Roman"/>
          <w:sz w:val="24"/>
          <w:szCs w:val="24"/>
        </w:rPr>
        <w:t xml:space="preserve">Udává se také, </w:t>
      </w:r>
      <w:r w:rsidR="00D82D60" w:rsidRPr="00B51A2D">
        <w:rPr>
          <w:rFonts w:ascii="Times New Roman" w:hAnsi="Times New Roman" w:cs="Times New Roman"/>
          <w:iCs/>
          <w:color w:val="000000"/>
          <w:sz w:val="24"/>
          <w:szCs w:val="24"/>
        </w:rPr>
        <w:t xml:space="preserve">že </w:t>
      </w:r>
      <w:r w:rsidR="00D82D60">
        <w:rPr>
          <w:rFonts w:ascii="Times New Roman" w:hAnsi="Times New Roman" w:cs="Times New Roman"/>
          <w:iCs/>
          <w:color w:val="000000"/>
          <w:sz w:val="24"/>
          <w:szCs w:val="24"/>
        </w:rPr>
        <w:t>parlamenty</w:t>
      </w:r>
      <w:r w:rsidR="00D82D60" w:rsidRPr="00B51A2D">
        <w:rPr>
          <w:rFonts w:ascii="Times New Roman" w:hAnsi="Times New Roman" w:cs="Times New Roman"/>
          <w:iCs/>
          <w:color w:val="000000"/>
          <w:sz w:val="24"/>
          <w:szCs w:val="24"/>
        </w:rPr>
        <w:t>, respektive jejich zvo</w:t>
      </w:r>
      <w:r w:rsidR="00AD56B7">
        <w:rPr>
          <w:rFonts w:ascii="Times New Roman" w:hAnsi="Times New Roman" w:cs="Times New Roman"/>
          <w:iCs/>
          <w:color w:val="000000"/>
          <w:sz w:val="24"/>
          <w:szCs w:val="24"/>
        </w:rPr>
        <w:t>lení členové</w:t>
      </w:r>
      <w:r w:rsidR="00D82D60">
        <w:rPr>
          <w:rFonts w:ascii="Times New Roman" w:hAnsi="Times New Roman" w:cs="Times New Roman"/>
          <w:iCs/>
          <w:color w:val="000000"/>
          <w:sz w:val="24"/>
          <w:szCs w:val="24"/>
        </w:rPr>
        <w:t xml:space="preserve"> mají</w:t>
      </w:r>
      <w:r w:rsidR="00D82D60" w:rsidRPr="00B51A2D">
        <w:rPr>
          <w:rFonts w:ascii="Times New Roman" w:hAnsi="Times New Roman" w:cs="Times New Roman"/>
          <w:iCs/>
          <w:color w:val="000000"/>
          <w:sz w:val="24"/>
          <w:szCs w:val="24"/>
        </w:rPr>
        <w:t xml:space="preserve"> silnější demokratický mandát než poslanci </w:t>
      </w:r>
      <w:r w:rsidR="00D82D60">
        <w:rPr>
          <w:rFonts w:ascii="Times New Roman" w:hAnsi="Times New Roman" w:cs="Times New Roman"/>
          <w:iCs/>
          <w:color w:val="000000"/>
          <w:sz w:val="24"/>
          <w:szCs w:val="24"/>
        </w:rPr>
        <w:t>EP</w:t>
      </w:r>
      <w:r w:rsidR="00D82D60" w:rsidRPr="00B51A2D">
        <w:rPr>
          <w:rFonts w:ascii="Times New Roman" w:hAnsi="Times New Roman" w:cs="Times New Roman"/>
          <w:iCs/>
          <w:color w:val="000000"/>
          <w:sz w:val="24"/>
          <w:szCs w:val="24"/>
        </w:rPr>
        <w:t xml:space="preserve">. </w:t>
      </w:r>
      <w:r w:rsidR="004A0336">
        <w:rPr>
          <w:rFonts w:ascii="Times New Roman" w:hAnsi="Times New Roman" w:cs="Times New Roman"/>
          <w:iCs/>
          <w:color w:val="000000"/>
          <w:sz w:val="24"/>
          <w:szCs w:val="24"/>
        </w:rPr>
        <w:t>To</w:t>
      </w:r>
      <w:r w:rsidR="00015D6B">
        <w:rPr>
          <w:rFonts w:ascii="Times New Roman" w:hAnsi="Times New Roman" w:cs="Times New Roman"/>
          <w:iCs/>
          <w:color w:val="000000"/>
          <w:sz w:val="24"/>
          <w:szCs w:val="24"/>
        </w:rPr>
        <w:t xml:space="preserve"> je přiznáváno mj.</w:t>
      </w:r>
      <w:r w:rsidR="00D82D60" w:rsidRPr="00B51A2D">
        <w:rPr>
          <w:rFonts w:ascii="Times New Roman" w:hAnsi="Times New Roman" w:cs="Times New Roman"/>
          <w:iCs/>
          <w:color w:val="000000"/>
          <w:sz w:val="24"/>
          <w:szCs w:val="24"/>
        </w:rPr>
        <w:t xml:space="preserve"> charakteristice voleb do EP jako voleb druhého</w:t>
      </w:r>
      <w:r w:rsidR="008D679D">
        <w:rPr>
          <w:rFonts w:ascii="Times New Roman" w:hAnsi="Times New Roman" w:cs="Times New Roman"/>
          <w:iCs/>
          <w:color w:val="000000"/>
          <w:sz w:val="24"/>
          <w:szCs w:val="24"/>
        </w:rPr>
        <w:t xml:space="preserve"> řádu.</w:t>
      </w:r>
      <w:r w:rsidR="0096292B">
        <w:rPr>
          <w:rStyle w:val="Znakapoznpodarou"/>
          <w:rFonts w:ascii="Times New Roman" w:hAnsi="Times New Roman" w:cs="Times New Roman"/>
          <w:iCs/>
          <w:color w:val="000000"/>
          <w:sz w:val="24"/>
          <w:szCs w:val="24"/>
        </w:rPr>
        <w:footnoteReference w:id="13"/>
      </w:r>
      <w:r w:rsidR="008D679D">
        <w:rPr>
          <w:rFonts w:ascii="Times New Roman" w:hAnsi="Times New Roman" w:cs="Times New Roman"/>
          <w:iCs/>
          <w:color w:val="000000"/>
          <w:sz w:val="24"/>
          <w:szCs w:val="24"/>
        </w:rPr>
        <w:t xml:space="preserve"> </w:t>
      </w:r>
    </w:p>
    <w:p w:rsidR="008F2E4E" w:rsidRDefault="00D82D60" w:rsidP="00DF2FAD">
      <w:pPr>
        <w:spacing w:line="36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Jak EP, tak parlamenty</w:t>
      </w:r>
      <w:r w:rsidRPr="00B51A2D">
        <w:rPr>
          <w:rFonts w:ascii="Times New Roman" w:hAnsi="Times New Roman" w:cs="Times New Roman"/>
          <w:iCs/>
          <w:color w:val="000000"/>
          <w:sz w:val="24"/>
          <w:szCs w:val="24"/>
        </w:rPr>
        <w:t xml:space="preserve"> jsou</w:t>
      </w:r>
      <w:r>
        <w:rPr>
          <w:rFonts w:ascii="Times New Roman" w:hAnsi="Times New Roman" w:cs="Times New Roman"/>
          <w:iCs/>
          <w:color w:val="000000"/>
          <w:sz w:val="24"/>
          <w:szCs w:val="24"/>
        </w:rPr>
        <w:t xml:space="preserve"> nicméně</w:t>
      </w:r>
      <w:r w:rsidRPr="00B51A2D">
        <w:rPr>
          <w:rFonts w:ascii="Times New Roman" w:hAnsi="Times New Roman" w:cs="Times New Roman"/>
          <w:iCs/>
          <w:color w:val="000000"/>
          <w:sz w:val="24"/>
          <w:szCs w:val="24"/>
        </w:rPr>
        <w:t xml:space="preserve"> považovány za subjekty, jejichž prostřednictvím má být zajišťována demokratická legitimita EU, respektive snižován její demokratický deficit</w:t>
      </w:r>
      <w:r>
        <w:rPr>
          <w:rFonts w:ascii="Times New Roman" w:hAnsi="Times New Roman" w:cs="Times New Roman"/>
          <w:iCs/>
          <w:color w:val="000000"/>
          <w:sz w:val="24"/>
          <w:szCs w:val="24"/>
        </w:rPr>
        <w:t>.</w:t>
      </w:r>
      <w:r w:rsidRPr="00B51A2D">
        <w:rPr>
          <w:rStyle w:val="Znakapoznpodarou"/>
          <w:rFonts w:ascii="Times New Roman" w:hAnsi="Times New Roman" w:cs="Times New Roman"/>
          <w:iCs/>
          <w:color w:val="000000"/>
          <w:sz w:val="24"/>
          <w:szCs w:val="24"/>
        </w:rPr>
        <w:footnoteReference w:id="14"/>
      </w:r>
      <w:r w:rsidRPr="00B51A2D">
        <w:rPr>
          <w:rFonts w:ascii="Times New Roman" w:hAnsi="Times New Roman" w:cs="Times New Roman"/>
          <w:iCs/>
          <w:color w:val="000000"/>
          <w:sz w:val="24"/>
          <w:szCs w:val="24"/>
        </w:rPr>
        <w:t xml:space="preserve"> Zároveň ovšem, </w:t>
      </w:r>
      <w:r w:rsidR="00EF5F17">
        <w:rPr>
          <w:rFonts w:ascii="Times New Roman" w:hAnsi="Times New Roman" w:cs="Times New Roman"/>
          <w:iCs/>
          <w:color w:val="000000"/>
          <w:sz w:val="24"/>
          <w:szCs w:val="24"/>
        </w:rPr>
        <w:t>pokud jde o zásadu sub</w:t>
      </w:r>
      <w:r w:rsidR="00B32C3B">
        <w:rPr>
          <w:rFonts w:ascii="Times New Roman" w:hAnsi="Times New Roman" w:cs="Times New Roman"/>
          <w:iCs/>
          <w:color w:val="000000"/>
          <w:sz w:val="24"/>
          <w:szCs w:val="24"/>
        </w:rPr>
        <w:t>sidiarity</w:t>
      </w:r>
      <w:r w:rsidR="003A373E">
        <w:rPr>
          <w:rFonts w:ascii="Times New Roman" w:hAnsi="Times New Roman" w:cs="Times New Roman"/>
          <w:iCs/>
          <w:color w:val="000000"/>
          <w:sz w:val="24"/>
          <w:szCs w:val="24"/>
        </w:rPr>
        <w:t>,</w:t>
      </w:r>
      <w:r w:rsidRPr="00B51A2D">
        <w:rPr>
          <w:rFonts w:ascii="Times New Roman" w:hAnsi="Times New Roman" w:cs="Times New Roman"/>
          <w:iCs/>
          <w:color w:val="000000"/>
          <w:sz w:val="24"/>
          <w:szCs w:val="24"/>
        </w:rPr>
        <w:t xml:space="preserve"> jsou tyto subjekty, navzdory různým podobám spolupráce, stavěny jaksi proti sobě.</w:t>
      </w:r>
      <w:r w:rsidRPr="00B51A2D">
        <w:rPr>
          <w:rStyle w:val="Znakapoznpodarou"/>
          <w:rFonts w:ascii="Times New Roman" w:hAnsi="Times New Roman" w:cs="Times New Roman"/>
          <w:iCs/>
          <w:color w:val="000000"/>
          <w:sz w:val="24"/>
          <w:szCs w:val="24"/>
        </w:rPr>
        <w:footnoteReference w:id="15"/>
      </w:r>
      <w:r w:rsidRPr="00B51A2D">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Pokud totiž určitá věc</w:t>
      </w:r>
      <w:r w:rsidRPr="00B51A2D">
        <w:rPr>
          <w:rFonts w:ascii="Times New Roman" w:hAnsi="Times New Roman" w:cs="Times New Roman"/>
          <w:iCs/>
          <w:color w:val="000000"/>
          <w:sz w:val="24"/>
          <w:szCs w:val="24"/>
        </w:rPr>
        <w:t xml:space="preserve"> na základě zásad ovládajíc</w:t>
      </w:r>
      <w:r>
        <w:rPr>
          <w:rFonts w:ascii="Times New Roman" w:hAnsi="Times New Roman" w:cs="Times New Roman"/>
          <w:iCs/>
          <w:color w:val="000000"/>
          <w:sz w:val="24"/>
          <w:szCs w:val="24"/>
        </w:rPr>
        <w:t>ích oblast sdílených pravomocí připadne na unijní</w:t>
      </w:r>
      <w:r w:rsidRPr="00B51A2D">
        <w:rPr>
          <w:rFonts w:ascii="Times New Roman" w:hAnsi="Times New Roman" w:cs="Times New Roman"/>
          <w:iCs/>
          <w:color w:val="000000"/>
          <w:sz w:val="24"/>
          <w:szCs w:val="24"/>
        </w:rPr>
        <w:t xml:space="preserve"> úroveň, tak se na tvorbě legislativy podílí právě </w:t>
      </w:r>
      <w:r>
        <w:rPr>
          <w:rFonts w:ascii="Times New Roman" w:hAnsi="Times New Roman" w:cs="Times New Roman"/>
          <w:iCs/>
          <w:color w:val="000000"/>
          <w:sz w:val="24"/>
          <w:szCs w:val="24"/>
        </w:rPr>
        <w:t>EP</w:t>
      </w:r>
      <w:r w:rsidRPr="00B51A2D">
        <w:rPr>
          <w:rFonts w:ascii="Times New Roman" w:hAnsi="Times New Roman" w:cs="Times New Roman"/>
          <w:iCs/>
          <w:color w:val="000000"/>
          <w:sz w:val="24"/>
          <w:szCs w:val="24"/>
        </w:rPr>
        <w:t xml:space="preserve">, kdežto </w:t>
      </w:r>
      <w:r>
        <w:rPr>
          <w:rFonts w:ascii="Times New Roman" w:hAnsi="Times New Roman" w:cs="Times New Roman"/>
          <w:iCs/>
          <w:color w:val="000000"/>
          <w:sz w:val="24"/>
          <w:szCs w:val="24"/>
        </w:rPr>
        <w:t>parlamenty</w:t>
      </w:r>
      <w:r w:rsidRPr="00B51A2D">
        <w:rPr>
          <w:rFonts w:ascii="Times New Roman" w:hAnsi="Times New Roman" w:cs="Times New Roman"/>
          <w:iCs/>
          <w:color w:val="000000"/>
          <w:sz w:val="24"/>
          <w:szCs w:val="24"/>
        </w:rPr>
        <w:t xml:space="preserve"> přímo ne</w:t>
      </w:r>
      <w:r>
        <w:rPr>
          <w:rFonts w:ascii="Times New Roman" w:hAnsi="Times New Roman" w:cs="Times New Roman"/>
          <w:iCs/>
          <w:color w:val="000000"/>
          <w:sz w:val="24"/>
          <w:szCs w:val="24"/>
        </w:rPr>
        <w:t>, případně až ve fázích, kdy je jejich úkolem naplnění cílů unijní úpravy</w:t>
      </w:r>
      <w:r w:rsidRPr="00B51A2D">
        <w:rPr>
          <w:rFonts w:ascii="Times New Roman" w:hAnsi="Times New Roman" w:cs="Times New Roman"/>
          <w:iCs/>
          <w:color w:val="000000"/>
          <w:sz w:val="24"/>
          <w:szCs w:val="24"/>
        </w:rPr>
        <w:t xml:space="preserve">. Naopak samozřejmě u těch věcí či oblastí, které nepřipadnou na úroveň EU, hrají zásadní roli stále </w:t>
      </w:r>
      <w:r>
        <w:rPr>
          <w:rFonts w:ascii="Times New Roman" w:hAnsi="Times New Roman" w:cs="Times New Roman"/>
          <w:iCs/>
          <w:color w:val="000000"/>
          <w:sz w:val="24"/>
          <w:szCs w:val="24"/>
        </w:rPr>
        <w:t>parlamenty</w:t>
      </w:r>
      <w:r w:rsidRPr="00B51A2D">
        <w:rPr>
          <w:rFonts w:ascii="Times New Roman" w:hAnsi="Times New Roman" w:cs="Times New Roman"/>
          <w:iCs/>
          <w:color w:val="000000"/>
          <w:sz w:val="24"/>
          <w:szCs w:val="24"/>
        </w:rPr>
        <w:t xml:space="preserve"> a EP na tyto otázky nemá přímý vliv. </w:t>
      </w:r>
    </w:p>
    <w:p w:rsidR="004B1BED" w:rsidRDefault="00EC3E6B" w:rsidP="005A0EE4">
      <w:pPr>
        <w:pStyle w:val="Nadpis2"/>
        <w:numPr>
          <w:ilvl w:val="1"/>
          <w:numId w:val="2"/>
        </w:numPr>
      </w:pPr>
      <w:bookmarkStart w:id="4" w:name="_Toc478235151"/>
      <w:r>
        <w:t>O</w:t>
      </w:r>
      <w:r w:rsidR="00D82D60" w:rsidRPr="00B51A2D">
        <w:t>běti evropské integrace?</w:t>
      </w:r>
      <w:bookmarkEnd w:id="4"/>
    </w:p>
    <w:p w:rsidR="005A0EE4" w:rsidRPr="005A0EE4" w:rsidRDefault="005A0EE4" w:rsidP="005A0EE4">
      <w:pPr>
        <w:spacing w:after="0"/>
      </w:pPr>
    </w:p>
    <w:p w:rsidR="00D82D60" w:rsidRPr="00B51A2D" w:rsidRDefault="009F0219" w:rsidP="005A0E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Postavení parlamentů bylo</w:t>
      </w:r>
      <w:r w:rsidR="00D82D60" w:rsidRPr="00B51A2D">
        <w:rPr>
          <w:rFonts w:ascii="Times New Roman" w:hAnsi="Times New Roman" w:cs="Times New Roman"/>
          <w:sz w:val="24"/>
          <w:szCs w:val="24"/>
        </w:rPr>
        <w:t xml:space="preserve"> zna</w:t>
      </w:r>
      <w:r w:rsidR="00B90C90">
        <w:rPr>
          <w:rFonts w:ascii="Times New Roman" w:hAnsi="Times New Roman" w:cs="Times New Roman"/>
          <w:sz w:val="24"/>
          <w:szCs w:val="24"/>
        </w:rPr>
        <w:t>čně pozměněno. Oslabení jejich</w:t>
      </w:r>
      <w:r w:rsidR="00B017EB">
        <w:rPr>
          <w:rFonts w:ascii="Times New Roman" w:hAnsi="Times New Roman" w:cs="Times New Roman"/>
          <w:sz w:val="24"/>
          <w:szCs w:val="24"/>
        </w:rPr>
        <w:t xml:space="preserve"> pozice</w:t>
      </w:r>
      <w:r w:rsidR="00D82D60" w:rsidRPr="00B51A2D">
        <w:rPr>
          <w:rFonts w:ascii="Times New Roman" w:hAnsi="Times New Roman" w:cs="Times New Roman"/>
          <w:sz w:val="24"/>
          <w:szCs w:val="24"/>
        </w:rPr>
        <w:t xml:space="preserve"> </w:t>
      </w:r>
      <w:r w:rsidR="00172C87">
        <w:rPr>
          <w:rFonts w:ascii="Times New Roman" w:hAnsi="Times New Roman" w:cs="Times New Roman"/>
          <w:sz w:val="24"/>
          <w:szCs w:val="24"/>
        </w:rPr>
        <w:t>šlo</w:t>
      </w:r>
      <w:r w:rsidR="00D82D60" w:rsidRPr="00B51A2D">
        <w:rPr>
          <w:rFonts w:ascii="Times New Roman" w:hAnsi="Times New Roman" w:cs="Times New Roman"/>
          <w:sz w:val="24"/>
          <w:szCs w:val="24"/>
        </w:rPr>
        <w:t xml:space="preserve"> ruku v ruce s</w:t>
      </w:r>
      <w:r w:rsidR="008E0331">
        <w:rPr>
          <w:rFonts w:ascii="Times New Roman" w:hAnsi="Times New Roman" w:cs="Times New Roman"/>
          <w:sz w:val="24"/>
          <w:szCs w:val="24"/>
        </w:rPr>
        <w:t> </w:t>
      </w:r>
      <w:r w:rsidR="00D82D60" w:rsidRPr="00B51A2D">
        <w:rPr>
          <w:rFonts w:ascii="Times New Roman" w:hAnsi="Times New Roman" w:cs="Times New Roman"/>
          <w:sz w:val="24"/>
          <w:szCs w:val="24"/>
        </w:rPr>
        <w:t>prohlu</w:t>
      </w:r>
      <w:r w:rsidR="00277DD4">
        <w:rPr>
          <w:rFonts w:ascii="Times New Roman" w:hAnsi="Times New Roman" w:cs="Times New Roman"/>
          <w:sz w:val="24"/>
          <w:szCs w:val="24"/>
        </w:rPr>
        <w:t>bováním</w:t>
      </w:r>
      <w:r w:rsidR="008E0331">
        <w:rPr>
          <w:rFonts w:ascii="Times New Roman" w:hAnsi="Times New Roman" w:cs="Times New Roman"/>
          <w:sz w:val="24"/>
          <w:szCs w:val="24"/>
        </w:rPr>
        <w:t xml:space="preserve"> i rozšiřováním</w:t>
      </w:r>
      <w:r w:rsidR="00277DD4">
        <w:rPr>
          <w:rFonts w:ascii="Times New Roman" w:hAnsi="Times New Roman" w:cs="Times New Roman"/>
          <w:sz w:val="24"/>
          <w:szCs w:val="24"/>
        </w:rPr>
        <w:t xml:space="preserve"> integrace.</w:t>
      </w:r>
      <w:r w:rsidR="00D82D60" w:rsidRPr="00B51A2D">
        <w:rPr>
          <w:rFonts w:ascii="Times New Roman" w:hAnsi="Times New Roman" w:cs="Times New Roman"/>
          <w:sz w:val="24"/>
          <w:szCs w:val="24"/>
        </w:rPr>
        <w:t xml:space="preserve"> </w:t>
      </w:r>
      <w:r w:rsidR="00AC153F">
        <w:rPr>
          <w:rFonts w:ascii="Times New Roman" w:hAnsi="Times New Roman" w:cs="Times New Roman"/>
          <w:sz w:val="24"/>
          <w:szCs w:val="24"/>
        </w:rPr>
        <w:t>Velmi trefně popisuje tento</w:t>
      </w:r>
      <w:r w:rsidR="00D82D60" w:rsidRPr="00B51A2D">
        <w:rPr>
          <w:rFonts w:ascii="Times New Roman" w:hAnsi="Times New Roman" w:cs="Times New Roman"/>
          <w:sz w:val="24"/>
          <w:szCs w:val="24"/>
        </w:rPr>
        <w:t xml:space="preserve"> vývoj</w:t>
      </w:r>
      <w:r w:rsidR="00D82D60">
        <w:rPr>
          <w:rFonts w:ascii="Times New Roman" w:hAnsi="Times New Roman" w:cs="Times New Roman"/>
          <w:sz w:val="24"/>
          <w:szCs w:val="24"/>
        </w:rPr>
        <w:t xml:space="preserve"> </w:t>
      </w:r>
      <w:proofErr w:type="spellStart"/>
      <w:r w:rsidR="00D82D60" w:rsidRPr="00B51A2D">
        <w:rPr>
          <w:rFonts w:ascii="Times New Roman" w:hAnsi="Times New Roman" w:cs="Times New Roman"/>
          <w:sz w:val="24"/>
          <w:szCs w:val="24"/>
        </w:rPr>
        <w:t>Syllová</w:t>
      </w:r>
      <w:proofErr w:type="spellEnd"/>
      <w:r w:rsidR="00D82D60" w:rsidRPr="00B51A2D">
        <w:rPr>
          <w:rFonts w:ascii="Times New Roman" w:hAnsi="Times New Roman" w:cs="Times New Roman"/>
          <w:sz w:val="24"/>
          <w:szCs w:val="24"/>
        </w:rPr>
        <w:t xml:space="preserve">: </w:t>
      </w:r>
      <w:r w:rsidR="00D82D60" w:rsidRPr="00B51A2D">
        <w:rPr>
          <w:rFonts w:ascii="Times New Roman" w:hAnsi="Times New Roman" w:cs="Times New Roman"/>
          <w:i/>
          <w:sz w:val="24"/>
          <w:szCs w:val="24"/>
        </w:rPr>
        <w:t>„Kdo však silně pociťuje ztrátu části své zákonodárné pravomoci, jsou národní parlamenty. Přitom by se v zásadě dalo říci, že ztrácejí kompetence jen natolik, nakolik tuto ztrátu připustily ve smlouvách, s nimiž předem souhlasily.“</w:t>
      </w:r>
      <w:r w:rsidR="00D82D60" w:rsidRPr="00B51A2D">
        <w:rPr>
          <w:rStyle w:val="Znakapoznpodarou"/>
          <w:rFonts w:ascii="Times New Roman" w:hAnsi="Times New Roman" w:cs="Times New Roman"/>
          <w:sz w:val="24"/>
          <w:szCs w:val="24"/>
        </w:rPr>
        <w:footnoteReference w:id="16"/>
      </w:r>
      <w:r w:rsidR="00D82D60" w:rsidRPr="00B51A2D">
        <w:rPr>
          <w:rFonts w:ascii="Times New Roman" w:hAnsi="Times New Roman" w:cs="Times New Roman"/>
          <w:i/>
          <w:sz w:val="24"/>
          <w:szCs w:val="24"/>
        </w:rPr>
        <w:t xml:space="preserve"> </w:t>
      </w:r>
    </w:p>
    <w:p w:rsidR="004601BD" w:rsidRDefault="00D82D60" w:rsidP="001518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Uvedli jsme</w:t>
      </w:r>
      <w:r w:rsidRPr="00B51A2D">
        <w:rPr>
          <w:rFonts w:ascii="Times New Roman" w:hAnsi="Times New Roman" w:cs="Times New Roman"/>
          <w:sz w:val="24"/>
          <w:szCs w:val="24"/>
        </w:rPr>
        <w:t xml:space="preserve"> </w:t>
      </w:r>
      <w:r>
        <w:rPr>
          <w:rFonts w:ascii="Times New Roman" w:hAnsi="Times New Roman" w:cs="Times New Roman"/>
          <w:sz w:val="24"/>
          <w:szCs w:val="24"/>
        </w:rPr>
        <w:t>také</w:t>
      </w:r>
      <w:r w:rsidR="004B5083">
        <w:rPr>
          <w:rFonts w:ascii="Times New Roman" w:hAnsi="Times New Roman" w:cs="Times New Roman"/>
          <w:sz w:val="24"/>
          <w:szCs w:val="24"/>
        </w:rPr>
        <w:t>, že</w:t>
      </w:r>
      <w:r w:rsidRPr="00B51A2D">
        <w:rPr>
          <w:rFonts w:ascii="Times New Roman" w:hAnsi="Times New Roman" w:cs="Times New Roman"/>
          <w:sz w:val="24"/>
          <w:szCs w:val="24"/>
        </w:rPr>
        <w:t xml:space="preserve"> </w:t>
      </w:r>
      <w:r>
        <w:rPr>
          <w:rFonts w:ascii="Times New Roman" w:hAnsi="Times New Roman" w:cs="Times New Roman"/>
          <w:sz w:val="24"/>
          <w:szCs w:val="24"/>
        </w:rPr>
        <w:t>EP</w:t>
      </w:r>
      <w:r w:rsidR="004B5083">
        <w:rPr>
          <w:rFonts w:ascii="Times New Roman" w:hAnsi="Times New Roman" w:cs="Times New Roman"/>
          <w:sz w:val="24"/>
          <w:szCs w:val="24"/>
        </w:rPr>
        <w:t xml:space="preserve"> i </w:t>
      </w:r>
      <w:r>
        <w:rPr>
          <w:rFonts w:ascii="Times New Roman" w:hAnsi="Times New Roman" w:cs="Times New Roman"/>
          <w:sz w:val="24"/>
          <w:szCs w:val="24"/>
        </w:rPr>
        <w:t>parlamenty</w:t>
      </w:r>
      <w:r w:rsidRPr="00B51A2D">
        <w:rPr>
          <w:rFonts w:ascii="Times New Roman" w:hAnsi="Times New Roman" w:cs="Times New Roman"/>
          <w:sz w:val="24"/>
          <w:szCs w:val="24"/>
        </w:rPr>
        <w:t xml:space="preserve"> jsou subjekty, prostřednictvím jejichž aktivit má být </w:t>
      </w:r>
      <w:r>
        <w:rPr>
          <w:rFonts w:ascii="Times New Roman" w:hAnsi="Times New Roman" w:cs="Times New Roman"/>
          <w:sz w:val="24"/>
          <w:szCs w:val="24"/>
        </w:rPr>
        <w:t>zajišťována demokratická legitimita</w:t>
      </w:r>
      <w:r w:rsidRPr="00B51A2D">
        <w:rPr>
          <w:rFonts w:ascii="Times New Roman" w:hAnsi="Times New Roman" w:cs="Times New Roman"/>
          <w:sz w:val="24"/>
          <w:szCs w:val="24"/>
        </w:rPr>
        <w:t>. V této souvislosti je</w:t>
      </w:r>
      <w:r>
        <w:rPr>
          <w:rFonts w:ascii="Times New Roman" w:hAnsi="Times New Roman" w:cs="Times New Roman"/>
          <w:sz w:val="24"/>
          <w:szCs w:val="24"/>
        </w:rPr>
        <w:t xml:space="preserve"> ale také nutné uvést, že </w:t>
      </w:r>
      <w:r w:rsidRPr="00B51A2D">
        <w:rPr>
          <w:rFonts w:ascii="Times New Roman" w:hAnsi="Times New Roman" w:cs="Times New Roman"/>
          <w:sz w:val="24"/>
          <w:szCs w:val="24"/>
        </w:rPr>
        <w:t>demokratický deficit</w:t>
      </w:r>
      <w:r>
        <w:rPr>
          <w:rFonts w:ascii="Times New Roman" w:hAnsi="Times New Roman" w:cs="Times New Roman"/>
          <w:sz w:val="24"/>
          <w:szCs w:val="24"/>
        </w:rPr>
        <w:t xml:space="preserve"> EU</w:t>
      </w:r>
      <w:r w:rsidRPr="00B51A2D">
        <w:rPr>
          <w:rFonts w:ascii="Times New Roman" w:hAnsi="Times New Roman" w:cs="Times New Roman"/>
          <w:sz w:val="24"/>
          <w:szCs w:val="24"/>
        </w:rPr>
        <w:t xml:space="preserve"> má svůj původ právě v dlouhodobém opomíjení těchto dvou institucí.</w:t>
      </w:r>
      <w:r>
        <w:rPr>
          <w:rStyle w:val="Znakapoznpodarou"/>
          <w:rFonts w:ascii="Times New Roman" w:hAnsi="Times New Roman" w:cs="Times New Roman"/>
          <w:sz w:val="24"/>
          <w:szCs w:val="24"/>
        </w:rPr>
        <w:footnoteReference w:id="17"/>
      </w:r>
      <w:r w:rsidRPr="00B51A2D">
        <w:rPr>
          <w:rFonts w:ascii="Times New Roman" w:hAnsi="Times New Roman" w:cs="Times New Roman"/>
          <w:sz w:val="24"/>
          <w:szCs w:val="24"/>
        </w:rPr>
        <w:t xml:space="preserve"> Na v</w:t>
      </w:r>
      <w:r>
        <w:rPr>
          <w:rFonts w:ascii="Times New Roman" w:hAnsi="Times New Roman" w:cs="Times New Roman"/>
          <w:sz w:val="24"/>
          <w:szCs w:val="24"/>
        </w:rPr>
        <w:t>ývoj EP</w:t>
      </w:r>
      <w:r w:rsidRPr="00B51A2D">
        <w:rPr>
          <w:rFonts w:ascii="Times New Roman" w:hAnsi="Times New Roman" w:cs="Times New Roman"/>
          <w:sz w:val="24"/>
          <w:szCs w:val="24"/>
        </w:rPr>
        <w:t xml:space="preserve"> bylo odkázáno výše. P</w:t>
      </w:r>
      <w:r>
        <w:rPr>
          <w:rFonts w:ascii="Times New Roman" w:hAnsi="Times New Roman" w:cs="Times New Roman"/>
          <w:sz w:val="24"/>
          <w:szCs w:val="24"/>
        </w:rPr>
        <w:t>okud jde o parlamenty</w:t>
      </w:r>
      <w:r w:rsidRPr="00B51A2D">
        <w:rPr>
          <w:rFonts w:ascii="Times New Roman" w:hAnsi="Times New Roman" w:cs="Times New Roman"/>
          <w:sz w:val="24"/>
          <w:szCs w:val="24"/>
        </w:rPr>
        <w:t>, ty</w:t>
      </w:r>
      <w:r>
        <w:rPr>
          <w:rFonts w:ascii="Times New Roman" w:hAnsi="Times New Roman" w:cs="Times New Roman"/>
          <w:sz w:val="24"/>
          <w:szCs w:val="24"/>
        </w:rPr>
        <w:t xml:space="preserve"> byly</w:t>
      </w:r>
      <w:r w:rsidR="005E758A">
        <w:rPr>
          <w:rFonts w:ascii="Times New Roman" w:hAnsi="Times New Roman" w:cs="Times New Roman"/>
          <w:sz w:val="24"/>
          <w:szCs w:val="24"/>
        </w:rPr>
        <w:t xml:space="preserve"> od 50. let 20. </w:t>
      </w:r>
      <w:r w:rsidR="005E758A">
        <w:rPr>
          <w:rFonts w:ascii="Times New Roman" w:hAnsi="Times New Roman" w:cs="Times New Roman"/>
          <w:sz w:val="24"/>
          <w:szCs w:val="24"/>
        </w:rPr>
        <w:lastRenderedPageBreak/>
        <w:t>století</w:t>
      </w:r>
      <w:r w:rsidRPr="00B51A2D">
        <w:rPr>
          <w:rFonts w:ascii="Times New Roman" w:hAnsi="Times New Roman" w:cs="Times New Roman"/>
          <w:sz w:val="24"/>
          <w:szCs w:val="24"/>
        </w:rPr>
        <w:t xml:space="preserve"> </w:t>
      </w:r>
      <w:proofErr w:type="gramStart"/>
      <w:r w:rsidRPr="00B51A2D">
        <w:rPr>
          <w:rFonts w:ascii="Times New Roman" w:hAnsi="Times New Roman" w:cs="Times New Roman"/>
          <w:sz w:val="24"/>
          <w:szCs w:val="24"/>
        </w:rPr>
        <w:t>odsunuty</w:t>
      </w:r>
      <w:proofErr w:type="gramEnd"/>
      <w:r w:rsidRPr="00B51A2D">
        <w:rPr>
          <w:rFonts w:ascii="Times New Roman" w:hAnsi="Times New Roman" w:cs="Times New Roman"/>
          <w:sz w:val="24"/>
          <w:szCs w:val="24"/>
        </w:rPr>
        <w:t xml:space="preserve"> v otázkách integrace na perifer</w:t>
      </w:r>
      <w:r w:rsidR="005E758A">
        <w:rPr>
          <w:rFonts w:ascii="Times New Roman" w:hAnsi="Times New Roman" w:cs="Times New Roman"/>
          <w:sz w:val="24"/>
          <w:szCs w:val="24"/>
        </w:rPr>
        <w:t>ii.</w:t>
      </w:r>
      <w:r>
        <w:rPr>
          <w:rFonts w:ascii="Times New Roman" w:hAnsi="Times New Roman" w:cs="Times New Roman"/>
          <w:sz w:val="24"/>
          <w:szCs w:val="24"/>
        </w:rPr>
        <w:t xml:space="preserve"> To</w:t>
      </w:r>
      <w:r w:rsidRPr="00B51A2D">
        <w:rPr>
          <w:rFonts w:ascii="Times New Roman" w:hAnsi="Times New Roman" w:cs="Times New Roman"/>
          <w:sz w:val="24"/>
          <w:szCs w:val="24"/>
        </w:rPr>
        <w:t xml:space="preserve"> později </w:t>
      </w:r>
      <w:r>
        <w:rPr>
          <w:rFonts w:ascii="Times New Roman" w:hAnsi="Times New Roman" w:cs="Times New Roman"/>
          <w:sz w:val="24"/>
          <w:szCs w:val="24"/>
        </w:rPr>
        <w:t xml:space="preserve">vedlo </w:t>
      </w:r>
      <w:r w:rsidR="00D436BD">
        <w:rPr>
          <w:rFonts w:ascii="Times New Roman" w:hAnsi="Times New Roman" w:cs="Times New Roman"/>
          <w:sz w:val="24"/>
          <w:szCs w:val="24"/>
        </w:rPr>
        <w:t>mj.</w:t>
      </w:r>
      <w:r w:rsidRPr="00B51A2D">
        <w:rPr>
          <w:rFonts w:ascii="Times New Roman" w:hAnsi="Times New Roman" w:cs="Times New Roman"/>
          <w:sz w:val="24"/>
          <w:szCs w:val="24"/>
        </w:rPr>
        <w:t xml:space="preserve"> k tomu, ž</w:t>
      </w:r>
      <w:r>
        <w:rPr>
          <w:rFonts w:ascii="Times New Roman" w:hAnsi="Times New Roman" w:cs="Times New Roman"/>
          <w:sz w:val="24"/>
          <w:szCs w:val="24"/>
        </w:rPr>
        <w:t>e některé z nich</w:t>
      </w:r>
      <w:r w:rsidRPr="00B51A2D">
        <w:rPr>
          <w:rFonts w:ascii="Times New Roman" w:hAnsi="Times New Roman" w:cs="Times New Roman"/>
          <w:sz w:val="24"/>
          <w:szCs w:val="24"/>
        </w:rPr>
        <w:t xml:space="preserve"> v oblastech, které byly předmětem integrace, převedly svou pozornost</w:t>
      </w:r>
      <w:r w:rsidR="00CC4E5A">
        <w:rPr>
          <w:rFonts w:ascii="Times New Roman" w:hAnsi="Times New Roman" w:cs="Times New Roman"/>
          <w:sz w:val="24"/>
          <w:szCs w:val="24"/>
        </w:rPr>
        <w:t xml:space="preserve"> na</w:t>
      </w:r>
      <w:r w:rsidRPr="00B51A2D">
        <w:rPr>
          <w:rFonts w:ascii="Times New Roman" w:hAnsi="Times New Roman" w:cs="Times New Roman"/>
          <w:sz w:val="24"/>
          <w:szCs w:val="24"/>
        </w:rPr>
        <w:t xml:space="preserve"> kontrolu členů vlád.</w:t>
      </w:r>
      <w:r w:rsidRPr="00B51A2D">
        <w:rPr>
          <w:rStyle w:val="Znakapoznpodarou"/>
          <w:rFonts w:ascii="Times New Roman" w:hAnsi="Times New Roman" w:cs="Times New Roman"/>
          <w:sz w:val="24"/>
          <w:szCs w:val="24"/>
        </w:rPr>
        <w:footnoteReference w:id="18"/>
      </w:r>
      <w:r w:rsidRPr="00B51A2D">
        <w:rPr>
          <w:rFonts w:ascii="Times New Roman" w:hAnsi="Times New Roman" w:cs="Times New Roman"/>
          <w:sz w:val="24"/>
          <w:szCs w:val="24"/>
        </w:rPr>
        <w:t xml:space="preserve"> Kontrola těch, kteří se účastní jednání unijních institucí a rozhodovacího procesu, je ovšem pouze nepřímou účastí na legislativním procesu, jehož výsledkem je sekundární právo EU. Navíc </w:t>
      </w:r>
      <w:r>
        <w:rPr>
          <w:rFonts w:ascii="Times New Roman" w:hAnsi="Times New Roman" w:cs="Times New Roman"/>
          <w:sz w:val="24"/>
          <w:szCs w:val="24"/>
        </w:rPr>
        <w:t>parlamenty</w:t>
      </w:r>
      <w:r w:rsidRPr="00B51A2D">
        <w:rPr>
          <w:rFonts w:ascii="Times New Roman" w:hAnsi="Times New Roman" w:cs="Times New Roman"/>
          <w:sz w:val="24"/>
          <w:szCs w:val="24"/>
        </w:rPr>
        <w:t xml:space="preserve"> rozvíjely tuto svou roli různě.</w:t>
      </w:r>
      <w:r w:rsidRPr="00B51A2D">
        <w:rPr>
          <w:rStyle w:val="Znakapoznpodarou"/>
          <w:rFonts w:ascii="Times New Roman" w:hAnsi="Times New Roman" w:cs="Times New Roman"/>
          <w:sz w:val="24"/>
          <w:szCs w:val="24"/>
        </w:rPr>
        <w:footnoteReference w:id="19"/>
      </w:r>
      <w:r w:rsidR="00EF02EC">
        <w:rPr>
          <w:rFonts w:ascii="Times New Roman" w:hAnsi="Times New Roman" w:cs="Times New Roman"/>
          <w:sz w:val="24"/>
          <w:szCs w:val="24"/>
        </w:rPr>
        <w:t xml:space="preserve"> </w:t>
      </w:r>
      <w:r w:rsidR="00E47C58">
        <w:rPr>
          <w:rFonts w:ascii="Times New Roman" w:hAnsi="Times New Roman" w:cs="Times New Roman"/>
          <w:sz w:val="24"/>
          <w:szCs w:val="24"/>
        </w:rPr>
        <w:t>Někteří</w:t>
      </w:r>
      <w:r w:rsidR="00F2318A">
        <w:rPr>
          <w:rFonts w:ascii="Times New Roman" w:hAnsi="Times New Roman" w:cs="Times New Roman"/>
          <w:sz w:val="24"/>
          <w:szCs w:val="24"/>
        </w:rPr>
        <w:t xml:space="preserve"> s odkazem</w:t>
      </w:r>
      <w:r w:rsidRPr="00B51A2D">
        <w:rPr>
          <w:rFonts w:ascii="Times New Roman" w:hAnsi="Times New Roman" w:cs="Times New Roman"/>
          <w:sz w:val="24"/>
          <w:szCs w:val="24"/>
        </w:rPr>
        <w:t xml:space="preserve"> na proces </w:t>
      </w:r>
      <w:proofErr w:type="spellStart"/>
      <w:r w:rsidRPr="00B51A2D">
        <w:rPr>
          <w:rFonts w:ascii="Times New Roman" w:hAnsi="Times New Roman" w:cs="Times New Roman"/>
          <w:sz w:val="24"/>
          <w:szCs w:val="24"/>
        </w:rPr>
        <w:t>deparlamentarizace</w:t>
      </w:r>
      <w:proofErr w:type="spellEnd"/>
      <w:r w:rsidR="00CC3297">
        <w:rPr>
          <w:rStyle w:val="Znakapoznpodarou"/>
          <w:rFonts w:ascii="Times New Roman" w:hAnsi="Times New Roman" w:cs="Times New Roman"/>
          <w:sz w:val="24"/>
          <w:szCs w:val="24"/>
        </w:rPr>
        <w:footnoteReference w:id="20"/>
      </w:r>
      <w:r w:rsidRPr="00B51A2D">
        <w:rPr>
          <w:rFonts w:ascii="Times New Roman" w:hAnsi="Times New Roman" w:cs="Times New Roman"/>
          <w:sz w:val="24"/>
          <w:szCs w:val="24"/>
        </w:rPr>
        <w:t xml:space="preserve"> dokonce označovali </w:t>
      </w:r>
      <w:r>
        <w:rPr>
          <w:rFonts w:ascii="Times New Roman" w:hAnsi="Times New Roman" w:cs="Times New Roman"/>
          <w:sz w:val="24"/>
          <w:szCs w:val="24"/>
        </w:rPr>
        <w:t>parlamenty</w:t>
      </w:r>
      <w:r w:rsidR="00891D93">
        <w:rPr>
          <w:rFonts w:ascii="Times New Roman" w:hAnsi="Times New Roman" w:cs="Times New Roman"/>
          <w:sz w:val="24"/>
          <w:szCs w:val="24"/>
        </w:rPr>
        <w:t xml:space="preserve"> </w:t>
      </w:r>
      <w:r w:rsidRPr="00B51A2D">
        <w:rPr>
          <w:rFonts w:ascii="Times New Roman" w:hAnsi="Times New Roman" w:cs="Times New Roman"/>
          <w:sz w:val="24"/>
          <w:szCs w:val="24"/>
        </w:rPr>
        <w:t>striktně jako oběti evropské integrace</w:t>
      </w:r>
      <w:r w:rsidR="00AB6CC0">
        <w:rPr>
          <w:rFonts w:ascii="Times New Roman" w:hAnsi="Times New Roman" w:cs="Times New Roman"/>
          <w:sz w:val="24"/>
          <w:szCs w:val="24"/>
        </w:rPr>
        <w:t>.</w:t>
      </w:r>
      <w:r>
        <w:rPr>
          <w:rStyle w:val="Znakapoznpodarou"/>
          <w:rFonts w:ascii="Times New Roman" w:hAnsi="Times New Roman" w:cs="Times New Roman"/>
          <w:sz w:val="24"/>
          <w:szCs w:val="24"/>
        </w:rPr>
        <w:footnoteReference w:id="21"/>
      </w:r>
      <w:r w:rsidRPr="00B51A2D">
        <w:rPr>
          <w:rFonts w:ascii="Times New Roman" w:hAnsi="Times New Roman" w:cs="Times New Roman"/>
          <w:sz w:val="24"/>
          <w:szCs w:val="24"/>
        </w:rPr>
        <w:t xml:space="preserve"> </w:t>
      </w:r>
    </w:p>
    <w:p w:rsidR="00D82D60" w:rsidRPr="00B51A2D" w:rsidRDefault="002D4073" w:rsidP="004601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Připomeňme také, že dlouho</w:t>
      </w:r>
      <w:r w:rsidR="00D82D60" w:rsidRPr="00B51A2D">
        <w:rPr>
          <w:rFonts w:ascii="Times New Roman" w:hAnsi="Times New Roman" w:cs="Times New Roman"/>
          <w:sz w:val="24"/>
          <w:szCs w:val="24"/>
        </w:rPr>
        <w:t xml:space="preserve"> byl fakt, že je posilov</w:t>
      </w:r>
      <w:r w:rsidR="00D82D60">
        <w:rPr>
          <w:rFonts w:ascii="Times New Roman" w:hAnsi="Times New Roman" w:cs="Times New Roman"/>
          <w:sz w:val="24"/>
          <w:szCs w:val="24"/>
        </w:rPr>
        <w:t>ána exekutiva na úkor parlamentních těles</w:t>
      </w:r>
      <w:r w:rsidR="00D82D60" w:rsidRPr="00B51A2D">
        <w:rPr>
          <w:rFonts w:ascii="Times New Roman" w:hAnsi="Times New Roman" w:cs="Times New Roman"/>
          <w:sz w:val="24"/>
          <w:szCs w:val="24"/>
        </w:rPr>
        <w:t>, přijímán vcelku bez námitek. Souviselo to jednoduše s tím, že integrační projekt byl nový, přinášel prosperitu a garantoval mír</w:t>
      </w:r>
      <w:r w:rsidR="00E15C8C">
        <w:rPr>
          <w:rFonts w:ascii="Times New Roman" w:hAnsi="Times New Roman" w:cs="Times New Roman"/>
          <w:sz w:val="24"/>
          <w:szCs w:val="24"/>
        </w:rPr>
        <w:t>.</w:t>
      </w:r>
      <w:r w:rsidR="00D82D60" w:rsidRPr="00B51A2D">
        <w:rPr>
          <w:rStyle w:val="Znakapoznpodarou"/>
          <w:rFonts w:ascii="Times New Roman" w:hAnsi="Times New Roman" w:cs="Times New Roman"/>
          <w:sz w:val="24"/>
          <w:szCs w:val="24"/>
        </w:rPr>
        <w:footnoteReference w:id="22"/>
      </w:r>
      <w:r w:rsidR="00D82D60" w:rsidRPr="00B51A2D">
        <w:rPr>
          <w:rFonts w:ascii="Times New Roman" w:hAnsi="Times New Roman" w:cs="Times New Roman"/>
          <w:sz w:val="24"/>
          <w:szCs w:val="24"/>
        </w:rPr>
        <w:t xml:space="preserve"> I přesto </w:t>
      </w:r>
      <w:r w:rsidR="00D82D60">
        <w:rPr>
          <w:rFonts w:ascii="Times New Roman" w:hAnsi="Times New Roman" w:cs="Times New Roman"/>
          <w:sz w:val="24"/>
          <w:szCs w:val="24"/>
        </w:rPr>
        <w:t xml:space="preserve">si lze klást </w:t>
      </w:r>
      <w:r w:rsidR="00D82D60" w:rsidRPr="00B51A2D">
        <w:rPr>
          <w:rFonts w:ascii="Times New Roman" w:hAnsi="Times New Roman" w:cs="Times New Roman"/>
          <w:sz w:val="24"/>
          <w:szCs w:val="24"/>
        </w:rPr>
        <w:t>otázku, proč</w:t>
      </w:r>
      <w:r w:rsidR="00D82D60">
        <w:rPr>
          <w:rFonts w:ascii="Times New Roman" w:hAnsi="Times New Roman" w:cs="Times New Roman"/>
          <w:sz w:val="24"/>
          <w:szCs w:val="24"/>
        </w:rPr>
        <w:t xml:space="preserve"> parlamenty</w:t>
      </w:r>
      <w:r w:rsidR="00486D11">
        <w:rPr>
          <w:rFonts w:ascii="Times New Roman" w:hAnsi="Times New Roman" w:cs="Times New Roman"/>
          <w:sz w:val="24"/>
          <w:szCs w:val="24"/>
        </w:rPr>
        <w:t xml:space="preserve"> opakovaně při </w:t>
      </w:r>
      <w:r w:rsidR="00D82D60" w:rsidRPr="00B51A2D">
        <w:rPr>
          <w:rFonts w:ascii="Times New Roman" w:hAnsi="Times New Roman" w:cs="Times New Roman"/>
          <w:sz w:val="24"/>
          <w:szCs w:val="24"/>
        </w:rPr>
        <w:t>novelizací</w:t>
      </w:r>
      <w:r w:rsidR="00486D11">
        <w:rPr>
          <w:rFonts w:ascii="Times New Roman" w:hAnsi="Times New Roman" w:cs="Times New Roman"/>
          <w:sz w:val="24"/>
          <w:szCs w:val="24"/>
        </w:rPr>
        <w:t>ch</w:t>
      </w:r>
      <w:r w:rsidR="00D82D60" w:rsidRPr="00B51A2D">
        <w:rPr>
          <w:rFonts w:ascii="Times New Roman" w:hAnsi="Times New Roman" w:cs="Times New Roman"/>
          <w:sz w:val="24"/>
          <w:szCs w:val="24"/>
        </w:rPr>
        <w:t xml:space="preserve"> primárního práva neukázaly větší úsilí, jak vylepšit svou pozici.</w:t>
      </w:r>
      <w:r w:rsidR="00D82D60">
        <w:rPr>
          <w:rFonts w:ascii="Times New Roman" w:hAnsi="Times New Roman" w:cs="Times New Roman"/>
          <w:sz w:val="24"/>
          <w:szCs w:val="24"/>
        </w:rPr>
        <w:t xml:space="preserve"> </w:t>
      </w:r>
      <w:r w:rsidR="007326D9">
        <w:rPr>
          <w:rFonts w:ascii="Times New Roman" w:hAnsi="Times New Roman" w:cs="Times New Roman"/>
          <w:sz w:val="24"/>
          <w:szCs w:val="24"/>
        </w:rPr>
        <w:t>A tak jsou h</w:t>
      </w:r>
      <w:r w:rsidR="00D82D60" w:rsidRPr="00B51A2D">
        <w:rPr>
          <w:rFonts w:ascii="Times New Roman" w:hAnsi="Times New Roman" w:cs="Times New Roman"/>
          <w:sz w:val="24"/>
          <w:szCs w:val="24"/>
        </w:rPr>
        <w:t xml:space="preserve">odnocení </w:t>
      </w:r>
      <w:r w:rsidR="00D82D60">
        <w:rPr>
          <w:rFonts w:ascii="Times New Roman" w:hAnsi="Times New Roman" w:cs="Times New Roman"/>
          <w:sz w:val="24"/>
          <w:szCs w:val="24"/>
        </w:rPr>
        <w:t>parlamentů</w:t>
      </w:r>
      <w:r w:rsidR="00D82D60" w:rsidRPr="00B51A2D">
        <w:rPr>
          <w:rFonts w:ascii="Times New Roman" w:hAnsi="Times New Roman" w:cs="Times New Roman"/>
          <w:sz w:val="24"/>
          <w:szCs w:val="24"/>
        </w:rPr>
        <w:t xml:space="preserve"> jako por</w:t>
      </w:r>
      <w:r w:rsidR="00D82D60">
        <w:rPr>
          <w:rFonts w:ascii="Times New Roman" w:hAnsi="Times New Roman" w:cs="Times New Roman"/>
          <w:sz w:val="24"/>
          <w:szCs w:val="24"/>
        </w:rPr>
        <w:t>ažených či pouhých</w:t>
      </w:r>
      <w:r w:rsidR="007326D9">
        <w:rPr>
          <w:rFonts w:ascii="Times New Roman" w:hAnsi="Times New Roman" w:cs="Times New Roman"/>
          <w:sz w:val="24"/>
          <w:szCs w:val="24"/>
        </w:rPr>
        <w:t xml:space="preserve"> pozorovatelů</w:t>
      </w:r>
      <w:r w:rsidR="00D82D60" w:rsidRPr="00B51A2D">
        <w:rPr>
          <w:rFonts w:ascii="Times New Roman" w:hAnsi="Times New Roman" w:cs="Times New Roman"/>
          <w:sz w:val="24"/>
          <w:szCs w:val="24"/>
        </w:rPr>
        <w:t xml:space="preserve"> nepochybně </w:t>
      </w:r>
      <w:r w:rsidR="00BE22F7">
        <w:rPr>
          <w:rFonts w:ascii="Times New Roman" w:hAnsi="Times New Roman" w:cs="Times New Roman"/>
          <w:sz w:val="24"/>
          <w:szCs w:val="24"/>
        </w:rPr>
        <w:t>alespoň z části</w:t>
      </w:r>
      <w:r w:rsidR="00D82D60">
        <w:rPr>
          <w:rFonts w:ascii="Times New Roman" w:hAnsi="Times New Roman" w:cs="Times New Roman"/>
          <w:sz w:val="24"/>
          <w:szCs w:val="24"/>
        </w:rPr>
        <w:t xml:space="preserve"> </w:t>
      </w:r>
      <w:r w:rsidR="00D82D60" w:rsidRPr="00B51A2D">
        <w:rPr>
          <w:rFonts w:ascii="Times New Roman" w:hAnsi="Times New Roman" w:cs="Times New Roman"/>
          <w:sz w:val="24"/>
          <w:szCs w:val="24"/>
        </w:rPr>
        <w:t xml:space="preserve">relevantní. </w:t>
      </w:r>
      <w:r w:rsidR="00D82D60">
        <w:rPr>
          <w:rFonts w:ascii="Times New Roman" w:hAnsi="Times New Roman" w:cs="Times New Roman"/>
          <w:sz w:val="24"/>
          <w:szCs w:val="24"/>
        </w:rPr>
        <w:t>V posledních letech lze ale pozorovat pozitivní změny. V souvislosti s přijetím LS byly dokonce parlamenty označovány za největší vítěze.</w:t>
      </w:r>
      <w:r w:rsidR="00D82D60">
        <w:rPr>
          <w:rStyle w:val="Znakapoznpodarou"/>
          <w:rFonts w:ascii="Times New Roman" w:hAnsi="Times New Roman" w:cs="Times New Roman"/>
          <w:sz w:val="24"/>
          <w:szCs w:val="24"/>
        </w:rPr>
        <w:footnoteReference w:id="23"/>
      </w:r>
      <w:r w:rsidR="00D82D60">
        <w:rPr>
          <w:rFonts w:ascii="Times New Roman" w:hAnsi="Times New Roman" w:cs="Times New Roman"/>
          <w:sz w:val="24"/>
          <w:szCs w:val="24"/>
        </w:rPr>
        <w:t xml:space="preserve"> </w:t>
      </w:r>
      <w:r w:rsidR="00DF30B3">
        <w:rPr>
          <w:rFonts w:ascii="Times New Roman" w:hAnsi="Times New Roman" w:cs="Times New Roman"/>
          <w:sz w:val="24"/>
          <w:szCs w:val="24"/>
        </w:rPr>
        <w:t>Zvýšená pozornost</w:t>
      </w:r>
      <w:r w:rsidR="00D82D60" w:rsidRPr="00B51A2D">
        <w:rPr>
          <w:rFonts w:ascii="Times New Roman" w:hAnsi="Times New Roman" w:cs="Times New Roman"/>
          <w:sz w:val="24"/>
          <w:szCs w:val="24"/>
        </w:rPr>
        <w:t xml:space="preserve"> v</w:t>
      </w:r>
      <w:r w:rsidR="00DF30B3">
        <w:rPr>
          <w:rFonts w:ascii="Times New Roman" w:hAnsi="Times New Roman" w:cs="Times New Roman"/>
          <w:sz w:val="24"/>
          <w:szCs w:val="24"/>
        </w:rPr>
        <w:t> porovnání s předchozím obdobím</w:t>
      </w:r>
      <w:r w:rsidR="00D82D60" w:rsidRPr="00B51A2D">
        <w:rPr>
          <w:rFonts w:ascii="Times New Roman" w:hAnsi="Times New Roman" w:cs="Times New Roman"/>
          <w:sz w:val="24"/>
          <w:szCs w:val="24"/>
        </w:rPr>
        <w:t xml:space="preserve"> je </w:t>
      </w:r>
      <w:r w:rsidR="00D82D60">
        <w:rPr>
          <w:rFonts w:ascii="Times New Roman" w:hAnsi="Times New Roman" w:cs="Times New Roman"/>
          <w:sz w:val="24"/>
          <w:szCs w:val="24"/>
        </w:rPr>
        <w:t xml:space="preserve">jim </w:t>
      </w:r>
      <w:r w:rsidR="00D82D60" w:rsidRPr="00B51A2D">
        <w:rPr>
          <w:rFonts w:ascii="Times New Roman" w:hAnsi="Times New Roman" w:cs="Times New Roman"/>
          <w:sz w:val="24"/>
          <w:szCs w:val="24"/>
        </w:rPr>
        <w:t>pak prokazatelně věnována již od 90. let.</w:t>
      </w:r>
    </w:p>
    <w:p w:rsidR="00D82D60" w:rsidRDefault="0012111E" w:rsidP="00D82D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Blok prvních dvou podkapitol</w:t>
      </w:r>
      <w:r w:rsidR="00C20BD1">
        <w:rPr>
          <w:rFonts w:ascii="Times New Roman" w:hAnsi="Times New Roman" w:cs="Times New Roman"/>
          <w:sz w:val="24"/>
          <w:szCs w:val="24"/>
        </w:rPr>
        <w:t xml:space="preserve"> uzavřeme shrnutím, že v</w:t>
      </w:r>
      <w:r w:rsidR="009B3AE6">
        <w:rPr>
          <w:rFonts w:ascii="Times New Roman" w:hAnsi="Times New Roman" w:cs="Times New Roman"/>
          <w:sz w:val="24"/>
          <w:szCs w:val="24"/>
        </w:rPr>
        <w:t> současnosti</w:t>
      </w:r>
      <w:r w:rsidR="00D82D60" w:rsidRPr="00B51A2D">
        <w:rPr>
          <w:rFonts w:ascii="Times New Roman" w:hAnsi="Times New Roman" w:cs="Times New Roman"/>
          <w:sz w:val="24"/>
          <w:szCs w:val="24"/>
        </w:rPr>
        <w:t xml:space="preserve"> čítá</w:t>
      </w:r>
      <w:r w:rsidR="00D82D60">
        <w:rPr>
          <w:rFonts w:ascii="Times New Roman" w:hAnsi="Times New Roman" w:cs="Times New Roman"/>
          <w:sz w:val="24"/>
          <w:szCs w:val="24"/>
        </w:rPr>
        <w:t xml:space="preserve"> EU 28 ČS</w:t>
      </w:r>
      <w:r w:rsidR="00FE167E">
        <w:rPr>
          <w:rFonts w:ascii="Times New Roman" w:hAnsi="Times New Roman" w:cs="Times New Roman"/>
          <w:sz w:val="24"/>
          <w:szCs w:val="24"/>
        </w:rPr>
        <w:t>, a</w:t>
      </w:r>
      <w:r w:rsidR="00D82D60" w:rsidRPr="00B51A2D">
        <w:rPr>
          <w:rFonts w:ascii="Times New Roman" w:hAnsi="Times New Roman" w:cs="Times New Roman"/>
          <w:sz w:val="24"/>
          <w:szCs w:val="24"/>
        </w:rPr>
        <w:t xml:space="preserve"> tedy i 28 </w:t>
      </w:r>
      <w:r w:rsidR="00D82D60">
        <w:rPr>
          <w:rFonts w:ascii="Times New Roman" w:hAnsi="Times New Roman" w:cs="Times New Roman"/>
          <w:sz w:val="24"/>
          <w:szCs w:val="24"/>
        </w:rPr>
        <w:t>parlamentů</w:t>
      </w:r>
      <w:r w:rsidR="00D82D60" w:rsidRPr="00B51A2D">
        <w:rPr>
          <w:rFonts w:ascii="Times New Roman" w:hAnsi="Times New Roman" w:cs="Times New Roman"/>
          <w:sz w:val="24"/>
          <w:szCs w:val="24"/>
        </w:rPr>
        <w:t>.</w:t>
      </w:r>
      <w:r w:rsidR="008E7CBD">
        <w:rPr>
          <w:rStyle w:val="Znakapoznpodarou"/>
          <w:rFonts w:ascii="Times New Roman" w:hAnsi="Times New Roman" w:cs="Times New Roman"/>
          <w:sz w:val="24"/>
          <w:szCs w:val="24"/>
        </w:rPr>
        <w:footnoteReference w:id="24"/>
      </w:r>
      <w:r w:rsidR="00D82D60" w:rsidRPr="00B51A2D">
        <w:rPr>
          <w:rFonts w:ascii="Times New Roman" w:hAnsi="Times New Roman" w:cs="Times New Roman"/>
          <w:sz w:val="24"/>
          <w:szCs w:val="24"/>
        </w:rPr>
        <w:t xml:space="preserve"> Postav</w:t>
      </w:r>
      <w:r w:rsidR="00D82D60">
        <w:rPr>
          <w:rFonts w:ascii="Times New Roman" w:hAnsi="Times New Roman" w:cs="Times New Roman"/>
          <w:sz w:val="24"/>
          <w:szCs w:val="24"/>
        </w:rPr>
        <w:t>ení každého z nich</w:t>
      </w:r>
      <w:r w:rsidR="00D82D60" w:rsidRPr="00B51A2D">
        <w:rPr>
          <w:rFonts w:ascii="Times New Roman" w:hAnsi="Times New Roman" w:cs="Times New Roman"/>
          <w:sz w:val="24"/>
          <w:szCs w:val="24"/>
        </w:rPr>
        <w:t xml:space="preserve"> je dáno předně ústavním</w:t>
      </w:r>
      <w:r w:rsidR="00740210">
        <w:rPr>
          <w:rFonts w:ascii="Times New Roman" w:hAnsi="Times New Roman" w:cs="Times New Roman"/>
          <w:sz w:val="24"/>
          <w:szCs w:val="24"/>
        </w:rPr>
        <w:t xml:space="preserve"> uspořádáním každého</w:t>
      </w:r>
      <w:r w:rsidR="00D82D60">
        <w:rPr>
          <w:rFonts w:ascii="Times New Roman" w:hAnsi="Times New Roman" w:cs="Times New Roman"/>
          <w:sz w:val="24"/>
          <w:szCs w:val="24"/>
        </w:rPr>
        <w:t xml:space="preserve"> státu</w:t>
      </w:r>
      <w:r w:rsidR="00D82D60" w:rsidRPr="00B51A2D">
        <w:rPr>
          <w:rFonts w:ascii="Times New Roman" w:hAnsi="Times New Roman" w:cs="Times New Roman"/>
          <w:sz w:val="24"/>
          <w:szCs w:val="24"/>
        </w:rPr>
        <w:t xml:space="preserve"> a exist</w:t>
      </w:r>
      <w:r w:rsidR="008B3194">
        <w:rPr>
          <w:rFonts w:ascii="Times New Roman" w:hAnsi="Times New Roman" w:cs="Times New Roman"/>
          <w:sz w:val="24"/>
          <w:szCs w:val="24"/>
        </w:rPr>
        <w:t>ují rozdíly</w:t>
      </w:r>
      <w:r w:rsidR="00606C41">
        <w:rPr>
          <w:rFonts w:ascii="Times New Roman" w:hAnsi="Times New Roman" w:cs="Times New Roman"/>
          <w:sz w:val="24"/>
          <w:szCs w:val="24"/>
        </w:rPr>
        <w:t>. Tak např.</w:t>
      </w:r>
      <w:r w:rsidR="00F2318A">
        <w:rPr>
          <w:rFonts w:ascii="Times New Roman" w:hAnsi="Times New Roman" w:cs="Times New Roman"/>
          <w:sz w:val="24"/>
          <w:szCs w:val="24"/>
        </w:rPr>
        <w:t xml:space="preserve"> pro systém včasného varování</w:t>
      </w:r>
      <w:r w:rsidR="00D82D60">
        <w:rPr>
          <w:rFonts w:ascii="Times New Roman" w:hAnsi="Times New Roman" w:cs="Times New Roman"/>
          <w:sz w:val="24"/>
          <w:szCs w:val="24"/>
        </w:rPr>
        <w:t xml:space="preserve"> je podstatné, zda je d</w:t>
      </w:r>
      <w:r w:rsidR="00166985">
        <w:rPr>
          <w:rFonts w:ascii="Times New Roman" w:hAnsi="Times New Roman" w:cs="Times New Roman"/>
          <w:sz w:val="24"/>
          <w:szCs w:val="24"/>
        </w:rPr>
        <w:t>aný parlament jednokomorový či dvoukomorový</w:t>
      </w:r>
      <w:r w:rsidR="00D82D60">
        <w:rPr>
          <w:rFonts w:ascii="Times New Roman" w:hAnsi="Times New Roman" w:cs="Times New Roman"/>
          <w:sz w:val="24"/>
          <w:szCs w:val="24"/>
        </w:rPr>
        <w:t>.</w:t>
      </w:r>
      <w:r w:rsidR="00D82D60" w:rsidRPr="00B51A2D">
        <w:rPr>
          <w:rFonts w:ascii="Times New Roman" w:hAnsi="Times New Roman" w:cs="Times New Roman"/>
          <w:sz w:val="24"/>
          <w:szCs w:val="24"/>
        </w:rPr>
        <w:t xml:space="preserve"> V určitých oblastech je</w:t>
      </w:r>
      <w:r w:rsidR="00D82D60">
        <w:rPr>
          <w:rFonts w:ascii="Times New Roman" w:hAnsi="Times New Roman" w:cs="Times New Roman"/>
          <w:sz w:val="24"/>
          <w:szCs w:val="24"/>
        </w:rPr>
        <w:t xml:space="preserve"> </w:t>
      </w:r>
      <w:r w:rsidR="00D82D60" w:rsidRPr="00B51A2D">
        <w:rPr>
          <w:rFonts w:ascii="Times New Roman" w:hAnsi="Times New Roman" w:cs="Times New Roman"/>
          <w:sz w:val="24"/>
          <w:szCs w:val="24"/>
        </w:rPr>
        <w:t xml:space="preserve">postavení </w:t>
      </w:r>
      <w:r w:rsidR="00D82D60">
        <w:rPr>
          <w:rFonts w:ascii="Times New Roman" w:hAnsi="Times New Roman" w:cs="Times New Roman"/>
          <w:sz w:val="24"/>
          <w:szCs w:val="24"/>
        </w:rPr>
        <w:t>parlamentů definováno právem EU</w:t>
      </w:r>
      <w:r w:rsidR="00D82D60" w:rsidRPr="00B51A2D">
        <w:rPr>
          <w:rFonts w:ascii="Times New Roman" w:hAnsi="Times New Roman" w:cs="Times New Roman"/>
          <w:sz w:val="24"/>
          <w:szCs w:val="24"/>
        </w:rPr>
        <w:t xml:space="preserve">. </w:t>
      </w:r>
      <w:r w:rsidR="00D82D60">
        <w:rPr>
          <w:rFonts w:ascii="Times New Roman" w:hAnsi="Times New Roman" w:cs="Times New Roman"/>
          <w:sz w:val="24"/>
          <w:szCs w:val="24"/>
        </w:rPr>
        <w:t xml:space="preserve">Konkrétním článkům LS, stejně jako Protokolu </w:t>
      </w:r>
      <w:r w:rsidR="00D82D60" w:rsidRPr="001D3FEA">
        <w:rPr>
          <w:rFonts w:ascii="Times New Roman" w:hAnsi="Times New Roman" w:cs="Times New Roman"/>
          <w:sz w:val="24"/>
          <w:szCs w:val="24"/>
        </w:rPr>
        <w:t>o úloze vnitrostátních parlamentů v Evropské unii</w:t>
      </w:r>
      <w:r w:rsidR="00D82D60">
        <w:rPr>
          <w:rFonts w:ascii="Times New Roman" w:hAnsi="Times New Roman" w:cs="Times New Roman"/>
          <w:sz w:val="24"/>
          <w:szCs w:val="24"/>
        </w:rPr>
        <w:t xml:space="preserve"> (dále protokol č. 1) a Protokolu o použ</w:t>
      </w:r>
      <w:r w:rsidR="00D82D60" w:rsidRPr="001D3FEA">
        <w:rPr>
          <w:rFonts w:ascii="Times New Roman" w:hAnsi="Times New Roman" w:cs="Times New Roman"/>
          <w:sz w:val="24"/>
          <w:szCs w:val="24"/>
        </w:rPr>
        <w:t>ívání zásad subsidiarity a proporcionality</w:t>
      </w:r>
      <w:r w:rsidR="00D82D60">
        <w:rPr>
          <w:rFonts w:ascii="Times New Roman" w:hAnsi="Times New Roman" w:cs="Times New Roman"/>
          <w:sz w:val="24"/>
          <w:szCs w:val="24"/>
        </w:rPr>
        <w:t xml:space="preserve"> (dále protokol č. 2), které byly přijaty LS,</w:t>
      </w:r>
      <w:r w:rsidR="007D26B4">
        <w:rPr>
          <w:rFonts w:ascii="Times New Roman" w:hAnsi="Times New Roman" w:cs="Times New Roman"/>
          <w:sz w:val="24"/>
          <w:szCs w:val="24"/>
        </w:rPr>
        <w:t xml:space="preserve"> bude </w:t>
      </w:r>
      <w:r w:rsidR="00D82D60" w:rsidRPr="00B51A2D">
        <w:rPr>
          <w:rFonts w:ascii="Times New Roman" w:hAnsi="Times New Roman" w:cs="Times New Roman"/>
          <w:sz w:val="24"/>
          <w:szCs w:val="24"/>
        </w:rPr>
        <w:t xml:space="preserve">věnován prostor. </w:t>
      </w:r>
    </w:p>
    <w:p w:rsidR="00C161C8" w:rsidRDefault="00B15D97" w:rsidP="00436B6A">
      <w:pPr>
        <w:pStyle w:val="Nadpis2"/>
      </w:pPr>
      <w:bookmarkStart w:id="5" w:name="_Toc478235152"/>
      <w:r>
        <w:lastRenderedPageBreak/>
        <w:t>1.3</w:t>
      </w:r>
      <w:r w:rsidR="00AA439C">
        <w:t xml:space="preserve"> </w:t>
      </w:r>
      <w:r w:rsidR="00874BDF">
        <w:t>P</w:t>
      </w:r>
      <w:r w:rsidR="00C161C8" w:rsidRPr="007736D3">
        <w:t>arlamenty jako příjemci informací</w:t>
      </w:r>
      <w:bookmarkEnd w:id="5"/>
    </w:p>
    <w:p w:rsidR="00436B6A" w:rsidRPr="00436B6A" w:rsidRDefault="00436B6A" w:rsidP="00436B6A"/>
    <w:p w:rsidR="00C161C8" w:rsidRPr="007736D3" w:rsidRDefault="00C161C8" w:rsidP="0015186F">
      <w:pPr>
        <w:spacing w:after="0" w:line="360" w:lineRule="auto"/>
        <w:ind w:firstLine="708"/>
        <w:jc w:val="both"/>
        <w:rPr>
          <w:rFonts w:ascii="Times New Roman" w:hAnsi="Times New Roman" w:cs="Times New Roman"/>
          <w:sz w:val="24"/>
        </w:rPr>
      </w:pPr>
      <w:r w:rsidRPr="007736D3">
        <w:rPr>
          <w:rFonts w:ascii="Times New Roman" w:hAnsi="Times New Roman" w:cs="Times New Roman"/>
          <w:sz w:val="24"/>
        </w:rPr>
        <w:t>Parlamenty „</w:t>
      </w:r>
      <w:r w:rsidRPr="007736D3">
        <w:rPr>
          <w:rFonts w:ascii="Times New Roman" w:hAnsi="Times New Roman" w:cs="Times New Roman"/>
          <w:i/>
          <w:sz w:val="24"/>
        </w:rPr>
        <w:t>jsou informovány orgány Unie a jsou jim postupovány návrhy legislativních aktů Unie v souladu s Protokolem o úloze vnitrostátních parlamentů v Evropské unii.“</w:t>
      </w:r>
      <w:r w:rsidRPr="007736D3">
        <w:rPr>
          <w:rStyle w:val="Znakapoznpodarou"/>
          <w:rFonts w:ascii="Times New Roman" w:hAnsi="Times New Roman" w:cs="Times New Roman"/>
          <w:i/>
          <w:sz w:val="24"/>
        </w:rPr>
        <w:footnoteReference w:id="25"/>
      </w:r>
      <w:r w:rsidRPr="007736D3">
        <w:rPr>
          <w:rFonts w:ascii="Times New Roman" w:hAnsi="Times New Roman" w:cs="Times New Roman"/>
          <w:sz w:val="24"/>
        </w:rPr>
        <w:t xml:space="preserve"> </w:t>
      </w:r>
    </w:p>
    <w:p w:rsidR="00C161C8" w:rsidRPr="007736D3" w:rsidRDefault="00C161C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Je</w:t>
      </w:r>
      <w:r w:rsidRPr="007736D3">
        <w:rPr>
          <w:rFonts w:ascii="Times New Roman" w:hAnsi="Times New Roman" w:cs="Times New Roman"/>
          <w:sz w:val="24"/>
        </w:rPr>
        <w:t xml:space="preserve"> jasné, že mají-li parlamenty v</w:t>
      </w:r>
      <w:r w:rsidR="008F00AE">
        <w:rPr>
          <w:rFonts w:ascii="Times New Roman" w:hAnsi="Times New Roman" w:cs="Times New Roman"/>
          <w:sz w:val="24"/>
        </w:rPr>
        <w:t> rámci EU plnit jakoukoli roli,</w:t>
      </w:r>
      <w:r w:rsidRPr="007736D3">
        <w:rPr>
          <w:rFonts w:ascii="Times New Roman" w:hAnsi="Times New Roman" w:cs="Times New Roman"/>
          <w:sz w:val="24"/>
        </w:rPr>
        <w:t xml:space="preserve"> musí být o evropských záležitostech dobře a včas informovány. V m</w:t>
      </w:r>
      <w:r>
        <w:rPr>
          <w:rFonts w:ascii="Times New Roman" w:hAnsi="Times New Roman" w:cs="Times New Roman"/>
          <w:sz w:val="24"/>
        </w:rPr>
        <w:t>inulosti poskytování</w:t>
      </w:r>
      <w:r w:rsidRPr="007736D3">
        <w:rPr>
          <w:rFonts w:ascii="Times New Roman" w:hAnsi="Times New Roman" w:cs="Times New Roman"/>
          <w:sz w:val="24"/>
        </w:rPr>
        <w:t xml:space="preserve"> informací rozhodně nebylo bez vad. I proto lze současné nastavení toku dokumentů a informací hodnotit pozitivně. Od nezávazného deklarování</w:t>
      </w:r>
      <w:r w:rsidRPr="007736D3">
        <w:rPr>
          <w:rStyle w:val="Znakapoznpodarou"/>
          <w:rFonts w:ascii="Times New Roman" w:hAnsi="Times New Roman" w:cs="Times New Roman"/>
          <w:sz w:val="24"/>
        </w:rPr>
        <w:footnoteReference w:id="26"/>
      </w:r>
      <w:r>
        <w:rPr>
          <w:rFonts w:ascii="Times New Roman" w:hAnsi="Times New Roman" w:cs="Times New Roman"/>
          <w:sz w:val="24"/>
        </w:rPr>
        <w:t xml:space="preserve"> a závislosti</w:t>
      </w:r>
      <w:r w:rsidRPr="007736D3">
        <w:rPr>
          <w:rFonts w:ascii="Times New Roman" w:hAnsi="Times New Roman" w:cs="Times New Roman"/>
          <w:sz w:val="24"/>
        </w:rPr>
        <w:t xml:space="preserve"> na svých vládách</w:t>
      </w:r>
      <w:r w:rsidRPr="007736D3">
        <w:rPr>
          <w:rStyle w:val="Znakapoznpodarou"/>
          <w:rFonts w:ascii="Times New Roman" w:hAnsi="Times New Roman" w:cs="Times New Roman"/>
          <w:sz w:val="24"/>
        </w:rPr>
        <w:footnoteReference w:id="27"/>
      </w:r>
      <w:r w:rsidR="0093284C">
        <w:rPr>
          <w:rFonts w:ascii="Times New Roman" w:hAnsi="Times New Roman" w:cs="Times New Roman"/>
          <w:sz w:val="24"/>
        </w:rPr>
        <w:t xml:space="preserve"> totiž věc dospěla ke</w:t>
      </w:r>
      <w:r w:rsidRPr="007736D3">
        <w:rPr>
          <w:rFonts w:ascii="Times New Roman" w:hAnsi="Times New Roman" w:cs="Times New Roman"/>
          <w:sz w:val="24"/>
        </w:rPr>
        <w:t xml:space="preserve"> stavu, kdy jsou parlamenty informovány přímo orgány EU v čele s Komisí.</w:t>
      </w:r>
      <w:r w:rsidR="00B43F9D">
        <w:rPr>
          <w:rStyle w:val="Znakapoznpodarou"/>
          <w:rFonts w:ascii="Times New Roman" w:hAnsi="Times New Roman" w:cs="Times New Roman"/>
          <w:sz w:val="24"/>
        </w:rPr>
        <w:footnoteReference w:id="28"/>
      </w:r>
    </w:p>
    <w:p w:rsidR="00C161C8" w:rsidRPr="007736D3" w:rsidRDefault="00C161C8" w:rsidP="0015186F">
      <w:pPr>
        <w:spacing w:after="0" w:line="360" w:lineRule="auto"/>
        <w:ind w:firstLine="708"/>
        <w:jc w:val="both"/>
        <w:rPr>
          <w:rFonts w:ascii="Times New Roman" w:hAnsi="Times New Roman" w:cs="Times New Roman"/>
          <w:sz w:val="24"/>
        </w:rPr>
      </w:pPr>
      <w:r w:rsidRPr="007736D3">
        <w:rPr>
          <w:rFonts w:ascii="Times New Roman" w:hAnsi="Times New Roman" w:cs="Times New Roman"/>
          <w:sz w:val="24"/>
        </w:rPr>
        <w:t xml:space="preserve">Protokol č. 1 </w:t>
      </w:r>
      <w:r w:rsidR="00FE7AFD">
        <w:rPr>
          <w:rFonts w:ascii="Times New Roman" w:hAnsi="Times New Roman" w:cs="Times New Roman"/>
          <w:sz w:val="24"/>
        </w:rPr>
        <w:t xml:space="preserve">předně </w:t>
      </w:r>
      <w:r w:rsidRPr="007736D3">
        <w:rPr>
          <w:rFonts w:ascii="Times New Roman" w:hAnsi="Times New Roman" w:cs="Times New Roman"/>
          <w:sz w:val="24"/>
        </w:rPr>
        <w:t>říká, že tím, kdo má předat podklady pro konzultace vydané Komisí parlamentům, je sama Komise.</w:t>
      </w:r>
      <w:r w:rsidRPr="007736D3">
        <w:rPr>
          <w:rStyle w:val="Znakapoznpodarou"/>
          <w:rFonts w:ascii="Times New Roman" w:hAnsi="Times New Roman" w:cs="Times New Roman"/>
          <w:sz w:val="24"/>
        </w:rPr>
        <w:footnoteReference w:id="29"/>
      </w:r>
      <w:r w:rsidR="005D3824">
        <w:rPr>
          <w:rFonts w:ascii="Times New Roman" w:hAnsi="Times New Roman" w:cs="Times New Roman"/>
          <w:sz w:val="24"/>
        </w:rPr>
        <w:t xml:space="preserve"> To</w:t>
      </w:r>
      <w:r w:rsidRPr="007736D3">
        <w:rPr>
          <w:rFonts w:ascii="Times New Roman" w:hAnsi="Times New Roman" w:cs="Times New Roman"/>
          <w:sz w:val="24"/>
        </w:rPr>
        <w:t xml:space="preserve"> z pře</w:t>
      </w:r>
      <w:r>
        <w:rPr>
          <w:rFonts w:ascii="Times New Roman" w:hAnsi="Times New Roman" w:cs="Times New Roman"/>
          <w:sz w:val="24"/>
        </w:rPr>
        <w:t>dchozího</w:t>
      </w:r>
      <w:r w:rsidRPr="007736D3">
        <w:rPr>
          <w:rFonts w:ascii="Times New Roman" w:hAnsi="Times New Roman" w:cs="Times New Roman"/>
          <w:sz w:val="24"/>
        </w:rPr>
        <w:t xml:space="preserve"> protokolu č. 9 nebylo zcela patrné.</w:t>
      </w:r>
      <w:r w:rsidRPr="007736D3">
        <w:rPr>
          <w:rStyle w:val="Znakapoznpodarou"/>
          <w:rFonts w:ascii="Times New Roman" w:hAnsi="Times New Roman" w:cs="Times New Roman"/>
          <w:sz w:val="24"/>
        </w:rPr>
        <w:footnoteReference w:id="30"/>
      </w:r>
      <w:r w:rsidR="00994D2C">
        <w:rPr>
          <w:rFonts w:ascii="Times New Roman" w:hAnsi="Times New Roman" w:cs="Times New Roman"/>
          <w:sz w:val="24"/>
        </w:rPr>
        <w:t xml:space="preserve"> J</w:t>
      </w:r>
      <w:r w:rsidRPr="007736D3">
        <w:rPr>
          <w:rFonts w:ascii="Times New Roman" w:hAnsi="Times New Roman" w:cs="Times New Roman"/>
          <w:sz w:val="24"/>
        </w:rPr>
        <w:t>e zpřesněno i před</w:t>
      </w:r>
      <w:r w:rsidR="008F7C2B">
        <w:rPr>
          <w:rFonts w:ascii="Times New Roman" w:hAnsi="Times New Roman" w:cs="Times New Roman"/>
          <w:sz w:val="24"/>
        </w:rPr>
        <w:t>ávání návrhů</w:t>
      </w:r>
      <w:r w:rsidR="004B6B3E">
        <w:rPr>
          <w:rFonts w:ascii="Times New Roman" w:hAnsi="Times New Roman" w:cs="Times New Roman"/>
          <w:sz w:val="24"/>
        </w:rPr>
        <w:t>. A to</w:t>
      </w:r>
      <w:r w:rsidRPr="007736D3">
        <w:rPr>
          <w:rFonts w:ascii="Times New Roman" w:hAnsi="Times New Roman" w:cs="Times New Roman"/>
          <w:sz w:val="24"/>
        </w:rPr>
        <w:t xml:space="preserve"> jak z hlediska toho, kdo tak má učinit, tak z hlediska toho, kdy.</w:t>
      </w:r>
      <w:r w:rsidRPr="007736D3">
        <w:rPr>
          <w:rStyle w:val="Znakapoznpodarou"/>
          <w:rFonts w:ascii="Times New Roman" w:hAnsi="Times New Roman" w:cs="Times New Roman"/>
          <w:sz w:val="24"/>
        </w:rPr>
        <w:footnoteReference w:id="31"/>
      </w:r>
      <w:r w:rsidRPr="007736D3">
        <w:rPr>
          <w:rFonts w:ascii="Times New Roman" w:hAnsi="Times New Roman" w:cs="Times New Roman"/>
          <w:sz w:val="24"/>
        </w:rPr>
        <w:t xml:space="preserve"> Nutno však pozn</w:t>
      </w:r>
      <w:r w:rsidR="00677DEB">
        <w:rPr>
          <w:rFonts w:ascii="Times New Roman" w:hAnsi="Times New Roman" w:cs="Times New Roman"/>
          <w:sz w:val="24"/>
        </w:rPr>
        <w:t>amenat, že již před přijetím LS</w:t>
      </w:r>
      <w:r w:rsidRPr="007736D3">
        <w:rPr>
          <w:rFonts w:ascii="Times New Roman" w:hAnsi="Times New Roman" w:cs="Times New Roman"/>
          <w:sz w:val="24"/>
        </w:rPr>
        <w:t xml:space="preserve"> došlo v tomto ohledu k určitému posunu. Mám</w:t>
      </w:r>
      <w:r w:rsidR="005D6251">
        <w:rPr>
          <w:rFonts w:ascii="Times New Roman" w:hAnsi="Times New Roman" w:cs="Times New Roman"/>
          <w:sz w:val="24"/>
        </w:rPr>
        <w:t>e</w:t>
      </w:r>
      <w:r w:rsidRPr="007736D3">
        <w:rPr>
          <w:rFonts w:ascii="Times New Roman" w:hAnsi="Times New Roman" w:cs="Times New Roman"/>
          <w:sz w:val="24"/>
        </w:rPr>
        <w:t xml:space="preserve"> na mysli tzv. </w:t>
      </w:r>
      <w:proofErr w:type="spellStart"/>
      <w:r w:rsidRPr="00896273">
        <w:rPr>
          <w:rFonts w:ascii="Times New Roman" w:hAnsi="Times New Roman" w:cs="Times New Roman"/>
          <w:sz w:val="24"/>
        </w:rPr>
        <w:t>Barrosovu</w:t>
      </w:r>
      <w:proofErr w:type="spellEnd"/>
      <w:r w:rsidRPr="00896273">
        <w:rPr>
          <w:rFonts w:ascii="Times New Roman" w:hAnsi="Times New Roman" w:cs="Times New Roman"/>
          <w:sz w:val="24"/>
        </w:rPr>
        <w:t xml:space="preserve"> iniciativu</w:t>
      </w:r>
      <w:r w:rsidR="00EB7014">
        <w:rPr>
          <w:rFonts w:ascii="Times New Roman" w:hAnsi="Times New Roman" w:cs="Times New Roman"/>
          <w:sz w:val="24"/>
        </w:rPr>
        <w:t>,</w:t>
      </w:r>
      <w:r w:rsidRPr="00896273">
        <w:rPr>
          <w:rStyle w:val="Znakapoznpodarou"/>
          <w:rFonts w:ascii="Times New Roman" w:hAnsi="Times New Roman" w:cs="Times New Roman"/>
          <w:sz w:val="24"/>
        </w:rPr>
        <w:footnoteReference w:id="32"/>
      </w:r>
      <w:r w:rsidRPr="007736D3">
        <w:rPr>
          <w:rFonts w:ascii="Times New Roman" w:hAnsi="Times New Roman" w:cs="Times New Roman"/>
          <w:sz w:val="24"/>
        </w:rPr>
        <w:t xml:space="preserve"> kdy Komise i bez jasného vymezení v primárním právu začala v roce </w:t>
      </w:r>
      <w:r>
        <w:rPr>
          <w:rFonts w:ascii="Times New Roman" w:hAnsi="Times New Roman" w:cs="Times New Roman"/>
          <w:sz w:val="24"/>
        </w:rPr>
        <w:t xml:space="preserve">2006 předávat návrhy </w:t>
      </w:r>
      <w:r w:rsidRPr="007736D3">
        <w:rPr>
          <w:rFonts w:ascii="Times New Roman" w:hAnsi="Times New Roman" w:cs="Times New Roman"/>
          <w:sz w:val="24"/>
        </w:rPr>
        <w:t xml:space="preserve">i dokumenty nelegislativní povahy </w:t>
      </w:r>
      <w:r w:rsidRPr="001174A9">
        <w:rPr>
          <w:rFonts w:ascii="Times New Roman" w:hAnsi="Times New Roman" w:cs="Times New Roman"/>
          <w:sz w:val="24"/>
        </w:rPr>
        <w:t>přímo parlamentům</w:t>
      </w:r>
      <w:r w:rsidR="00EB7014">
        <w:rPr>
          <w:rFonts w:ascii="Times New Roman" w:hAnsi="Times New Roman" w:cs="Times New Roman"/>
          <w:sz w:val="24"/>
        </w:rPr>
        <w:t>.</w:t>
      </w:r>
      <w:r w:rsidRPr="001174A9">
        <w:rPr>
          <w:rStyle w:val="Znakapoznpodarou"/>
          <w:rFonts w:ascii="Times New Roman" w:hAnsi="Times New Roman" w:cs="Times New Roman"/>
          <w:sz w:val="24"/>
        </w:rPr>
        <w:footnoteReference w:id="33"/>
      </w:r>
      <w:r w:rsidRPr="001174A9">
        <w:rPr>
          <w:rFonts w:ascii="Times New Roman" w:hAnsi="Times New Roman" w:cs="Times New Roman"/>
          <w:sz w:val="24"/>
        </w:rPr>
        <w:t xml:space="preserve"> Současný</w:t>
      </w:r>
      <w:r w:rsidRPr="007736D3">
        <w:rPr>
          <w:rFonts w:ascii="Times New Roman" w:hAnsi="Times New Roman" w:cs="Times New Roman"/>
          <w:sz w:val="24"/>
        </w:rPr>
        <w:t xml:space="preserve"> stav, kdy je tato prax</w:t>
      </w:r>
      <w:r w:rsidR="00EC3DCF">
        <w:rPr>
          <w:rFonts w:ascii="Times New Roman" w:hAnsi="Times New Roman" w:cs="Times New Roman"/>
          <w:sz w:val="24"/>
        </w:rPr>
        <w:t>e zakotvena přímo v LS, lze</w:t>
      </w:r>
      <w:r w:rsidRPr="007736D3">
        <w:rPr>
          <w:rFonts w:ascii="Times New Roman" w:hAnsi="Times New Roman" w:cs="Times New Roman"/>
          <w:sz w:val="24"/>
        </w:rPr>
        <w:t xml:space="preserve"> jedině kvitovat. </w:t>
      </w:r>
    </w:p>
    <w:p w:rsidR="0015186F" w:rsidRPr="009539A0" w:rsidRDefault="00C161C8" w:rsidP="00CE2F8E">
      <w:pPr>
        <w:spacing w:after="0" w:line="360" w:lineRule="auto"/>
        <w:ind w:firstLine="708"/>
        <w:jc w:val="both"/>
        <w:rPr>
          <w:rFonts w:ascii="Times New Roman" w:hAnsi="Times New Roman" w:cs="Times New Roman"/>
          <w:sz w:val="24"/>
        </w:rPr>
      </w:pPr>
      <w:r>
        <w:rPr>
          <w:rFonts w:ascii="Times New Roman" w:hAnsi="Times New Roman" w:cs="Times New Roman"/>
          <w:sz w:val="24"/>
        </w:rPr>
        <w:t>Zastavme</w:t>
      </w:r>
      <w:r w:rsidR="00C23E18">
        <w:rPr>
          <w:rFonts w:ascii="Times New Roman" w:hAnsi="Times New Roman" w:cs="Times New Roman"/>
          <w:sz w:val="24"/>
        </w:rPr>
        <w:t xml:space="preserve"> se ještě u čl.</w:t>
      </w:r>
      <w:r w:rsidRPr="007736D3">
        <w:rPr>
          <w:rFonts w:ascii="Times New Roman" w:hAnsi="Times New Roman" w:cs="Times New Roman"/>
          <w:sz w:val="24"/>
        </w:rPr>
        <w:t xml:space="preserve"> 4 protokolu č. 1. Ten obsahuje ustanovení o osmitýdenní lhůtě, která má uplynout mezi zpřístup</w:t>
      </w:r>
      <w:r>
        <w:rPr>
          <w:rFonts w:ascii="Times New Roman" w:hAnsi="Times New Roman" w:cs="Times New Roman"/>
          <w:sz w:val="24"/>
        </w:rPr>
        <w:t>něním návrhu</w:t>
      </w:r>
      <w:r w:rsidRPr="007736D3">
        <w:rPr>
          <w:rFonts w:ascii="Times New Roman" w:hAnsi="Times New Roman" w:cs="Times New Roman"/>
          <w:sz w:val="24"/>
        </w:rPr>
        <w:t xml:space="preserve"> parlamentům a </w:t>
      </w:r>
      <w:r>
        <w:rPr>
          <w:rFonts w:ascii="Times New Roman" w:hAnsi="Times New Roman" w:cs="Times New Roman"/>
          <w:sz w:val="24"/>
        </w:rPr>
        <w:t>jeho zařazením</w:t>
      </w:r>
      <w:r w:rsidRPr="007736D3">
        <w:rPr>
          <w:rFonts w:ascii="Times New Roman" w:hAnsi="Times New Roman" w:cs="Times New Roman"/>
          <w:sz w:val="24"/>
        </w:rPr>
        <w:t xml:space="preserve"> na předběžný pořad jednán</w:t>
      </w:r>
      <w:r>
        <w:rPr>
          <w:rFonts w:ascii="Times New Roman" w:hAnsi="Times New Roman" w:cs="Times New Roman"/>
          <w:sz w:val="24"/>
        </w:rPr>
        <w:t>í Rady, na němž má dojít k </w:t>
      </w:r>
      <w:r w:rsidRPr="007736D3">
        <w:rPr>
          <w:rFonts w:ascii="Times New Roman" w:hAnsi="Times New Roman" w:cs="Times New Roman"/>
          <w:sz w:val="24"/>
        </w:rPr>
        <w:t>přijetí</w:t>
      </w:r>
      <w:r>
        <w:rPr>
          <w:rFonts w:ascii="Times New Roman" w:hAnsi="Times New Roman" w:cs="Times New Roman"/>
          <w:sz w:val="24"/>
        </w:rPr>
        <w:t xml:space="preserve"> návrhu</w:t>
      </w:r>
      <w:r w:rsidRPr="007736D3">
        <w:rPr>
          <w:rFonts w:ascii="Times New Roman" w:hAnsi="Times New Roman" w:cs="Times New Roman"/>
          <w:sz w:val="24"/>
        </w:rPr>
        <w:t xml:space="preserve"> nebo k přijetí postoje v rámci legislativního postupu. Účelem je poskytnout parlamentům pros</w:t>
      </w:r>
      <w:r w:rsidR="00B73A02">
        <w:rPr>
          <w:rFonts w:ascii="Times New Roman" w:hAnsi="Times New Roman" w:cs="Times New Roman"/>
          <w:sz w:val="24"/>
        </w:rPr>
        <w:t>tor pro seznámení se s návrhy. L</w:t>
      </w:r>
      <w:r w:rsidRPr="007736D3">
        <w:rPr>
          <w:rFonts w:ascii="Times New Roman" w:hAnsi="Times New Roman" w:cs="Times New Roman"/>
          <w:sz w:val="24"/>
        </w:rPr>
        <w:t>hůtu</w:t>
      </w:r>
      <w:r>
        <w:rPr>
          <w:rFonts w:ascii="Times New Roman" w:hAnsi="Times New Roman" w:cs="Times New Roman"/>
          <w:sz w:val="24"/>
        </w:rPr>
        <w:t xml:space="preserve"> však</w:t>
      </w:r>
      <w:r w:rsidRPr="007736D3">
        <w:rPr>
          <w:rFonts w:ascii="Times New Roman" w:hAnsi="Times New Roman" w:cs="Times New Roman"/>
          <w:sz w:val="24"/>
        </w:rPr>
        <w:t xml:space="preserve"> lze zkrátit z na</w:t>
      </w:r>
      <w:r>
        <w:rPr>
          <w:rFonts w:ascii="Times New Roman" w:hAnsi="Times New Roman" w:cs="Times New Roman"/>
          <w:sz w:val="24"/>
        </w:rPr>
        <w:t>léhavých důvodů. Jde</w:t>
      </w:r>
      <w:r w:rsidRPr="007736D3">
        <w:rPr>
          <w:rFonts w:ascii="Times New Roman" w:hAnsi="Times New Roman" w:cs="Times New Roman"/>
          <w:sz w:val="24"/>
        </w:rPr>
        <w:t xml:space="preserve"> o zlepšení právní úpravy oproti předchozímu stavu, když článek operuje s okamžikem, kdy je návrh zpřístupněn přímo parlamentům. Přechozí úprava poskytovala pouze lhůtu šestitýdenní a nadto počátek jejího běhu spojovala s předáním návrhu</w:t>
      </w:r>
      <w:r>
        <w:rPr>
          <w:rFonts w:ascii="Times New Roman" w:hAnsi="Times New Roman" w:cs="Times New Roman"/>
          <w:sz w:val="24"/>
        </w:rPr>
        <w:t xml:space="preserve"> </w:t>
      </w:r>
      <w:r w:rsidRPr="007736D3">
        <w:rPr>
          <w:rFonts w:ascii="Times New Roman" w:hAnsi="Times New Roman" w:cs="Times New Roman"/>
          <w:sz w:val="24"/>
        </w:rPr>
        <w:t>Komise EP a Radě bez ohledu na to, kdy byly informovány parlamenty.</w:t>
      </w:r>
      <w:r w:rsidRPr="007736D3">
        <w:rPr>
          <w:rStyle w:val="Znakapoznpodarou"/>
          <w:rFonts w:ascii="Times New Roman" w:hAnsi="Times New Roman" w:cs="Times New Roman"/>
          <w:sz w:val="24"/>
        </w:rPr>
        <w:footnoteReference w:id="34"/>
      </w:r>
      <w:r w:rsidRPr="007736D3">
        <w:rPr>
          <w:rFonts w:ascii="Times New Roman" w:hAnsi="Times New Roman" w:cs="Times New Roman"/>
          <w:sz w:val="24"/>
        </w:rPr>
        <w:t xml:space="preserve"> </w:t>
      </w:r>
    </w:p>
    <w:p w:rsidR="00C161C8" w:rsidRDefault="009539A0" w:rsidP="00436B6A">
      <w:pPr>
        <w:pStyle w:val="Nadpis2"/>
      </w:pPr>
      <w:bookmarkStart w:id="6" w:name="_Toc478235153"/>
      <w:r>
        <w:lastRenderedPageBreak/>
        <w:t>1.4</w:t>
      </w:r>
      <w:r w:rsidR="00147A95">
        <w:t xml:space="preserve"> </w:t>
      </w:r>
      <w:r w:rsidR="00DF0247">
        <w:t>P</w:t>
      </w:r>
      <w:r w:rsidR="00C161C8" w:rsidRPr="00847C21">
        <w:t>arlamenty a prostor svobody, bezpečnosti a práva</w:t>
      </w:r>
      <w:bookmarkEnd w:id="6"/>
    </w:p>
    <w:p w:rsidR="00436B6A" w:rsidRPr="00436B6A" w:rsidRDefault="00436B6A" w:rsidP="00436B6A"/>
    <w:p w:rsidR="00C161C8" w:rsidRPr="00F557FB" w:rsidRDefault="00C161C8" w:rsidP="0015186F">
      <w:pPr>
        <w:spacing w:after="0" w:line="360" w:lineRule="auto"/>
        <w:ind w:firstLine="708"/>
        <w:jc w:val="both"/>
        <w:rPr>
          <w:rFonts w:ascii="Times New Roman" w:hAnsi="Times New Roman" w:cs="Times New Roman"/>
          <w:i/>
          <w:sz w:val="24"/>
          <w:szCs w:val="24"/>
        </w:rPr>
      </w:pPr>
      <w:r w:rsidRPr="00F557FB">
        <w:rPr>
          <w:rFonts w:ascii="Times New Roman" w:hAnsi="Times New Roman" w:cs="Times New Roman"/>
          <w:sz w:val="24"/>
          <w:szCs w:val="24"/>
        </w:rPr>
        <w:t>Pokud jde o prostor svobody, bezpečnosti a práva (dále PSBP), parlamenty</w:t>
      </w:r>
      <w:r w:rsidRPr="00F557FB">
        <w:rPr>
          <w:rFonts w:ascii="Times New Roman" w:hAnsi="Times New Roman" w:cs="Times New Roman"/>
          <w:color w:val="444444"/>
          <w:sz w:val="24"/>
          <w:szCs w:val="24"/>
        </w:rPr>
        <w:t xml:space="preserve"> „</w:t>
      </w:r>
      <w:r w:rsidRPr="00F557FB">
        <w:rPr>
          <w:rFonts w:ascii="Times New Roman" w:hAnsi="Times New Roman" w:cs="Times New Roman"/>
          <w:i/>
          <w:sz w:val="24"/>
          <w:szCs w:val="24"/>
        </w:rPr>
        <w:t xml:space="preserve">se podílejí na mechanismech hodnocení provádění politik Unie v této oblasti podle článku 70 Smlouvy o fungování Evropské unie a jsou zapojeny do politické kontroly činnosti </w:t>
      </w:r>
      <w:proofErr w:type="spellStart"/>
      <w:r w:rsidRPr="00F557FB">
        <w:rPr>
          <w:rFonts w:ascii="Times New Roman" w:hAnsi="Times New Roman" w:cs="Times New Roman"/>
          <w:i/>
          <w:sz w:val="24"/>
          <w:szCs w:val="24"/>
        </w:rPr>
        <w:t>Europolu</w:t>
      </w:r>
      <w:proofErr w:type="spellEnd"/>
      <w:r w:rsidRPr="00F557FB">
        <w:rPr>
          <w:rFonts w:ascii="Times New Roman" w:hAnsi="Times New Roman" w:cs="Times New Roman"/>
          <w:i/>
          <w:sz w:val="24"/>
          <w:szCs w:val="24"/>
        </w:rPr>
        <w:t xml:space="preserve"> a do hodnocení činnosti </w:t>
      </w:r>
      <w:proofErr w:type="spellStart"/>
      <w:r w:rsidRPr="00F557FB">
        <w:rPr>
          <w:rFonts w:ascii="Times New Roman" w:hAnsi="Times New Roman" w:cs="Times New Roman"/>
          <w:i/>
          <w:sz w:val="24"/>
          <w:szCs w:val="24"/>
        </w:rPr>
        <w:t>Eurojustu</w:t>
      </w:r>
      <w:proofErr w:type="spellEnd"/>
      <w:r w:rsidRPr="00F557FB">
        <w:rPr>
          <w:rFonts w:ascii="Times New Roman" w:hAnsi="Times New Roman" w:cs="Times New Roman"/>
          <w:i/>
          <w:sz w:val="24"/>
          <w:szCs w:val="24"/>
        </w:rPr>
        <w:t xml:space="preserve"> podle článků 88 a 85 uvedené smlouvy</w:t>
      </w:r>
      <w:r w:rsidR="00A25261">
        <w:rPr>
          <w:rFonts w:ascii="Times New Roman" w:hAnsi="Times New Roman" w:cs="Times New Roman"/>
          <w:i/>
          <w:sz w:val="24"/>
          <w:szCs w:val="24"/>
        </w:rPr>
        <w:t>.</w:t>
      </w:r>
      <w:r w:rsidRPr="00F557FB">
        <w:rPr>
          <w:rFonts w:ascii="Times New Roman" w:hAnsi="Times New Roman" w:cs="Times New Roman"/>
          <w:i/>
          <w:sz w:val="24"/>
          <w:szCs w:val="24"/>
        </w:rPr>
        <w:t>“</w:t>
      </w:r>
      <w:r w:rsidRPr="00F557FB">
        <w:rPr>
          <w:rStyle w:val="Znakapoznpodarou"/>
          <w:rFonts w:ascii="Times New Roman" w:hAnsi="Times New Roman" w:cs="Times New Roman"/>
          <w:i/>
          <w:sz w:val="24"/>
          <w:szCs w:val="24"/>
        </w:rPr>
        <w:footnoteReference w:id="35"/>
      </w:r>
    </w:p>
    <w:p w:rsidR="00C161C8" w:rsidRPr="00F557FB" w:rsidRDefault="00C161C8" w:rsidP="0015186F">
      <w:pPr>
        <w:spacing w:after="0" w:line="360" w:lineRule="auto"/>
        <w:ind w:firstLine="708"/>
        <w:jc w:val="both"/>
        <w:rPr>
          <w:rFonts w:ascii="Times New Roman" w:hAnsi="Times New Roman" w:cs="Times New Roman"/>
          <w:sz w:val="24"/>
          <w:szCs w:val="24"/>
        </w:rPr>
      </w:pPr>
      <w:r w:rsidRPr="00F557FB">
        <w:rPr>
          <w:rFonts w:ascii="Times New Roman" w:hAnsi="Times New Roman" w:cs="Times New Roman"/>
          <w:sz w:val="24"/>
          <w:szCs w:val="24"/>
        </w:rPr>
        <w:t>PS</w:t>
      </w:r>
      <w:r w:rsidR="00685177">
        <w:rPr>
          <w:rFonts w:ascii="Times New Roman" w:hAnsi="Times New Roman" w:cs="Times New Roman"/>
          <w:sz w:val="24"/>
          <w:szCs w:val="24"/>
        </w:rPr>
        <w:t>BP je citlivou oblastí integrace</w:t>
      </w:r>
      <w:r w:rsidRPr="00F557FB">
        <w:rPr>
          <w:rFonts w:ascii="Times New Roman" w:hAnsi="Times New Roman" w:cs="Times New Roman"/>
          <w:sz w:val="24"/>
          <w:szCs w:val="24"/>
        </w:rPr>
        <w:t xml:space="preserve">. LS navíc zrušila pilířovou strukturu a lze hovořit o </w:t>
      </w:r>
      <w:r>
        <w:rPr>
          <w:rFonts w:ascii="Times New Roman" w:hAnsi="Times New Roman" w:cs="Times New Roman"/>
          <w:sz w:val="24"/>
          <w:szCs w:val="24"/>
        </w:rPr>
        <w:t xml:space="preserve">dokončené </w:t>
      </w:r>
      <w:proofErr w:type="spellStart"/>
      <w:r w:rsidRPr="00F557FB">
        <w:rPr>
          <w:rFonts w:ascii="Times New Roman" w:hAnsi="Times New Roman" w:cs="Times New Roman"/>
          <w:sz w:val="24"/>
          <w:szCs w:val="24"/>
        </w:rPr>
        <w:t>komunitarizaci</w:t>
      </w:r>
      <w:proofErr w:type="spellEnd"/>
      <w:r w:rsidRPr="00F557FB">
        <w:rPr>
          <w:rFonts w:ascii="Times New Roman" w:hAnsi="Times New Roman" w:cs="Times New Roman"/>
          <w:sz w:val="24"/>
          <w:szCs w:val="24"/>
        </w:rPr>
        <w:t xml:space="preserve"> bývalého třetího pilíře. Došlo k „</w:t>
      </w:r>
      <w:r w:rsidRPr="00F557FB">
        <w:rPr>
          <w:rFonts w:ascii="Times New Roman" w:hAnsi="Times New Roman" w:cs="Times New Roman"/>
          <w:i/>
          <w:sz w:val="24"/>
          <w:szCs w:val="24"/>
        </w:rPr>
        <w:t>propojení dvou původně oddělených oblastí: volného pohybu osob, vízové, azylové a imigrační politiky a dalších (upravené v ex-hlavě IV SES) a policejní a justiční spolupráce v trestních věcech (třetí pilíř, upravené v ex-hlavě VI SEU)</w:t>
      </w:r>
      <w:r w:rsidR="00A25261">
        <w:rPr>
          <w:rFonts w:ascii="Times New Roman" w:hAnsi="Times New Roman" w:cs="Times New Roman"/>
          <w:i/>
          <w:sz w:val="24"/>
          <w:szCs w:val="24"/>
        </w:rPr>
        <w:t>.</w:t>
      </w:r>
      <w:r w:rsidRPr="00F557FB">
        <w:rPr>
          <w:rFonts w:ascii="Times New Roman" w:hAnsi="Times New Roman" w:cs="Times New Roman"/>
          <w:i/>
          <w:sz w:val="24"/>
          <w:szCs w:val="24"/>
        </w:rPr>
        <w:t>“</w:t>
      </w:r>
      <w:r w:rsidRPr="00F557FB">
        <w:rPr>
          <w:rStyle w:val="Znakapoznpodarou"/>
          <w:rFonts w:ascii="Times New Roman" w:hAnsi="Times New Roman" w:cs="Times New Roman"/>
          <w:i/>
          <w:sz w:val="24"/>
          <w:szCs w:val="24"/>
        </w:rPr>
        <w:footnoteReference w:id="36"/>
      </w:r>
      <w:r w:rsidRPr="00F557FB">
        <w:rPr>
          <w:rFonts w:ascii="Times New Roman" w:hAnsi="Times New Roman" w:cs="Times New Roman"/>
          <w:i/>
          <w:sz w:val="24"/>
          <w:szCs w:val="24"/>
        </w:rPr>
        <w:t xml:space="preserve"> </w:t>
      </w:r>
      <w:r w:rsidR="000E14F3">
        <w:rPr>
          <w:rFonts w:ascii="Times New Roman" w:hAnsi="Times New Roman" w:cs="Times New Roman"/>
          <w:sz w:val="24"/>
          <w:szCs w:val="24"/>
        </w:rPr>
        <w:t>Obecně to znamená mj</w:t>
      </w:r>
      <w:r w:rsidR="00797806">
        <w:rPr>
          <w:rFonts w:ascii="Times New Roman" w:hAnsi="Times New Roman" w:cs="Times New Roman"/>
          <w:sz w:val="24"/>
          <w:szCs w:val="24"/>
        </w:rPr>
        <w:t>.</w:t>
      </w:r>
      <w:r w:rsidRPr="00F557FB">
        <w:rPr>
          <w:rFonts w:ascii="Times New Roman" w:hAnsi="Times New Roman" w:cs="Times New Roman"/>
          <w:sz w:val="24"/>
          <w:szCs w:val="24"/>
        </w:rPr>
        <w:t xml:space="preserve"> rozšíření většinového hlasování nebo sjednocení forem vydávaných právních aktů.</w:t>
      </w:r>
      <w:r w:rsidRPr="00F557FB">
        <w:rPr>
          <w:rFonts w:ascii="Times New Roman" w:hAnsi="Times New Roman" w:cs="Times New Roman"/>
          <w:i/>
          <w:sz w:val="24"/>
          <w:szCs w:val="24"/>
        </w:rPr>
        <w:t xml:space="preserve"> </w:t>
      </w:r>
      <w:r>
        <w:rPr>
          <w:rFonts w:ascii="Times New Roman" w:hAnsi="Times New Roman" w:cs="Times New Roman"/>
          <w:sz w:val="24"/>
          <w:szCs w:val="24"/>
        </w:rPr>
        <w:t>Tyto změny</w:t>
      </w:r>
      <w:r w:rsidRPr="00F557FB">
        <w:rPr>
          <w:rFonts w:ascii="Times New Roman" w:hAnsi="Times New Roman" w:cs="Times New Roman"/>
          <w:sz w:val="24"/>
          <w:szCs w:val="24"/>
        </w:rPr>
        <w:t xml:space="preserve"> mají vliv i na postavení parlamentů.</w:t>
      </w:r>
      <w:r w:rsidR="000E14F3">
        <w:rPr>
          <w:rFonts w:ascii="Times New Roman" w:hAnsi="Times New Roman" w:cs="Times New Roman"/>
          <w:sz w:val="24"/>
          <w:szCs w:val="24"/>
        </w:rPr>
        <w:t xml:space="preserve"> Např.</w:t>
      </w:r>
      <w:r>
        <w:rPr>
          <w:rFonts w:ascii="Times New Roman" w:hAnsi="Times New Roman" w:cs="Times New Roman"/>
          <w:sz w:val="24"/>
          <w:szCs w:val="24"/>
        </w:rPr>
        <w:t xml:space="preserve"> v těch věcech, jež</w:t>
      </w:r>
      <w:r w:rsidRPr="00F557FB">
        <w:rPr>
          <w:rFonts w:ascii="Times New Roman" w:hAnsi="Times New Roman" w:cs="Times New Roman"/>
          <w:sz w:val="24"/>
          <w:szCs w:val="24"/>
        </w:rPr>
        <w:t xml:space="preserve"> dříve p</w:t>
      </w:r>
      <w:r>
        <w:rPr>
          <w:rFonts w:ascii="Times New Roman" w:hAnsi="Times New Roman" w:cs="Times New Roman"/>
          <w:sz w:val="24"/>
          <w:szCs w:val="24"/>
        </w:rPr>
        <w:t>odléhaly jednomyslnosti</w:t>
      </w:r>
      <w:r w:rsidRPr="00F557FB">
        <w:rPr>
          <w:rFonts w:ascii="Times New Roman" w:hAnsi="Times New Roman" w:cs="Times New Roman"/>
          <w:sz w:val="24"/>
          <w:szCs w:val="24"/>
        </w:rPr>
        <w:t>, mají nyní parlamenty slabší pozici z hlediska síly hlasu zástupce vlády účastnícího se jednání Rady, jehož mají možnost kontrolovat či ovlivnit. Rovněž již nebudou přijímány úmluvy dle třetího pilíře.</w:t>
      </w:r>
      <w:r w:rsidRPr="00F557FB">
        <w:rPr>
          <w:rStyle w:val="Znakapoznpodarou"/>
          <w:rFonts w:ascii="Times New Roman" w:hAnsi="Times New Roman" w:cs="Times New Roman"/>
          <w:sz w:val="24"/>
          <w:szCs w:val="24"/>
        </w:rPr>
        <w:footnoteReference w:id="37"/>
      </w:r>
    </w:p>
    <w:p w:rsidR="00C161C8" w:rsidRPr="00F557FB" w:rsidRDefault="00C161C8" w:rsidP="00200A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Jistá mezivládní specifika jsou však v rámci PSBP zachována a také</w:t>
      </w:r>
      <w:r w:rsidRPr="00F557FB">
        <w:rPr>
          <w:rFonts w:ascii="Times New Roman" w:hAnsi="Times New Roman" w:cs="Times New Roman"/>
          <w:sz w:val="24"/>
          <w:szCs w:val="24"/>
        </w:rPr>
        <w:t xml:space="preserve"> je na několika místech hlavy V </w:t>
      </w:r>
      <w:r w:rsidR="00DE5F86">
        <w:rPr>
          <w:rFonts w:ascii="Times New Roman" w:hAnsi="Times New Roman" w:cs="Times New Roman"/>
          <w:sz w:val="24"/>
        </w:rPr>
        <w:t xml:space="preserve">Smlouvy o fungování </w:t>
      </w:r>
      <w:r w:rsidR="006C339D">
        <w:rPr>
          <w:rFonts w:ascii="Times New Roman" w:hAnsi="Times New Roman" w:cs="Times New Roman"/>
          <w:sz w:val="24"/>
        </w:rPr>
        <w:t>Evropské unie</w:t>
      </w:r>
      <w:r w:rsidR="00DE5F86">
        <w:rPr>
          <w:rFonts w:ascii="Times New Roman" w:hAnsi="Times New Roman" w:cs="Times New Roman"/>
          <w:sz w:val="24"/>
        </w:rPr>
        <w:t xml:space="preserve"> </w:t>
      </w:r>
      <w:r w:rsidR="006C339D">
        <w:rPr>
          <w:rFonts w:ascii="Times New Roman" w:hAnsi="Times New Roman" w:cs="Times New Roman"/>
          <w:sz w:val="24"/>
        </w:rPr>
        <w:t xml:space="preserve">(dále </w:t>
      </w:r>
      <w:r w:rsidRPr="00F557FB">
        <w:rPr>
          <w:rFonts w:ascii="Times New Roman" w:hAnsi="Times New Roman" w:cs="Times New Roman"/>
          <w:sz w:val="24"/>
          <w:szCs w:val="24"/>
        </w:rPr>
        <w:t>SFEU</w:t>
      </w:r>
      <w:r w:rsidR="006C339D">
        <w:rPr>
          <w:rFonts w:ascii="Times New Roman" w:hAnsi="Times New Roman" w:cs="Times New Roman"/>
          <w:sz w:val="24"/>
          <w:szCs w:val="24"/>
        </w:rPr>
        <w:t>)</w:t>
      </w:r>
      <w:r w:rsidRPr="00F557FB">
        <w:rPr>
          <w:rFonts w:ascii="Times New Roman" w:hAnsi="Times New Roman" w:cs="Times New Roman"/>
          <w:sz w:val="24"/>
          <w:szCs w:val="24"/>
        </w:rPr>
        <w:t xml:space="preserve"> odkaz</w:t>
      </w:r>
      <w:r>
        <w:rPr>
          <w:rFonts w:ascii="Times New Roman" w:hAnsi="Times New Roman" w:cs="Times New Roman"/>
          <w:sz w:val="24"/>
          <w:szCs w:val="24"/>
        </w:rPr>
        <w:t>ováno právě na parlamenty. P</w:t>
      </w:r>
      <w:r w:rsidRPr="00F557FB">
        <w:rPr>
          <w:rFonts w:ascii="Times New Roman" w:hAnsi="Times New Roman" w:cs="Times New Roman"/>
          <w:sz w:val="24"/>
          <w:szCs w:val="24"/>
        </w:rPr>
        <w:t>ře</w:t>
      </w:r>
      <w:r>
        <w:rPr>
          <w:rFonts w:ascii="Times New Roman" w:hAnsi="Times New Roman" w:cs="Times New Roman"/>
          <w:sz w:val="24"/>
          <w:szCs w:val="24"/>
        </w:rPr>
        <w:t xml:space="preserve">dně v čl. 69 SFEU je, </w:t>
      </w:r>
      <w:r w:rsidRPr="00F557FB">
        <w:rPr>
          <w:rFonts w:ascii="Times New Roman" w:hAnsi="Times New Roman" w:cs="Times New Roman"/>
          <w:sz w:val="24"/>
          <w:szCs w:val="24"/>
        </w:rPr>
        <w:t xml:space="preserve">navíc k obecné úpravě v čl. 5 SEU a protokolu </w:t>
      </w:r>
      <w:r w:rsidR="00B17148">
        <w:rPr>
          <w:rFonts w:ascii="Times New Roman" w:hAnsi="Times New Roman" w:cs="Times New Roman"/>
          <w:sz w:val="24"/>
          <w:szCs w:val="24"/>
        </w:rPr>
        <w:t>č. 2, jmenována kontrola dodržování zásady subsidiarity</w:t>
      </w:r>
      <w:r w:rsidRPr="00F557FB">
        <w:rPr>
          <w:rFonts w:ascii="Times New Roman" w:hAnsi="Times New Roman" w:cs="Times New Roman"/>
          <w:sz w:val="24"/>
          <w:szCs w:val="24"/>
        </w:rPr>
        <w:t>. Dále mají být parlamenty informovány ve specifických vě</w:t>
      </w:r>
      <w:r w:rsidR="00A25261">
        <w:rPr>
          <w:rFonts w:ascii="Times New Roman" w:hAnsi="Times New Roman" w:cs="Times New Roman"/>
          <w:sz w:val="24"/>
          <w:szCs w:val="24"/>
        </w:rPr>
        <w:t>cech dle čl. 70 a čl. 71 SFEU. M</w:t>
      </w:r>
      <w:r w:rsidRPr="00F557FB">
        <w:rPr>
          <w:rFonts w:ascii="Times New Roman" w:hAnsi="Times New Roman" w:cs="Times New Roman"/>
          <w:sz w:val="24"/>
          <w:szCs w:val="24"/>
        </w:rPr>
        <w:t xml:space="preserve">ají být rovněž zapojeny do hodnocení činnosti </w:t>
      </w:r>
      <w:proofErr w:type="spellStart"/>
      <w:r w:rsidRPr="00F557FB">
        <w:rPr>
          <w:rFonts w:ascii="Times New Roman" w:hAnsi="Times New Roman" w:cs="Times New Roman"/>
          <w:sz w:val="24"/>
          <w:szCs w:val="24"/>
        </w:rPr>
        <w:t>Eurojustu</w:t>
      </w:r>
      <w:proofErr w:type="spellEnd"/>
      <w:r w:rsidRPr="00F557FB">
        <w:rPr>
          <w:rStyle w:val="Znakapoznpodarou"/>
          <w:rFonts w:ascii="Times New Roman" w:hAnsi="Times New Roman" w:cs="Times New Roman"/>
          <w:sz w:val="24"/>
          <w:szCs w:val="24"/>
        </w:rPr>
        <w:footnoteReference w:id="38"/>
      </w:r>
      <w:r w:rsidRPr="00F557FB">
        <w:rPr>
          <w:rFonts w:ascii="Times New Roman" w:hAnsi="Times New Roman" w:cs="Times New Roman"/>
          <w:sz w:val="24"/>
          <w:szCs w:val="24"/>
        </w:rPr>
        <w:t xml:space="preserve"> a také do kontroly činností </w:t>
      </w:r>
      <w:proofErr w:type="spellStart"/>
      <w:r w:rsidRPr="00F557FB">
        <w:rPr>
          <w:rFonts w:ascii="Times New Roman" w:hAnsi="Times New Roman" w:cs="Times New Roman"/>
          <w:sz w:val="24"/>
          <w:szCs w:val="24"/>
        </w:rPr>
        <w:t>Europolu</w:t>
      </w:r>
      <w:proofErr w:type="spellEnd"/>
      <w:r w:rsidR="004F5111">
        <w:rPr>
          <w:rFonts w:ascii="Times New Roman" w:hAnsi="Times New Roman" w:cs="Times New Roman"/>
          <w:sz w:val="24"/>
          <w:szCs w:val="24"/>
        </w:rPr>
        <w:t>.</w:t>
      </w:r>
      <w:r w:rsidRPr="00F557FB">
        <w:rPr>
          <w:rStyle w:val="Znakapoznpodarou"/>
          <w:rFonts w:ascii="Times New Roman" w:hAnsi="Times New Roman" w:cs="Times New Roman"/>
          <w:sz w:val="24"/>
          <w:szCs w:val="24"/>
        </w:rPr>
        <w:footnoteReference w:id="39"/>
      </w:r>
      <w:r w:rsidRPr="00F557FB">
        <w:rPr>
          <w:rFonts w:ascii="Times New Roman" w:hAnsi="Times New Roman" w:cs="Times New Roman"/>
          <w:sz w:val="24"/>
          <w:szCs w:val="24"/>
        </w:rPr>
        <w:t xml:space="preserve"> </w:t>
      </w:r>
    </w:p>
    <w:p w:rsidR="00C161C8" w:rsidRDefault="00C161C8" w:rsidP="00200A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Jde-li o </w:t>
      </w:r>
      <w:r w:rsidRPr="00F557FB">
        <w:rPr>
          <w:rFonts w:ascii="Times New Roman" w:hAnsi="Times New Roman" w:cs="Times New Roman"/>
          <w:sz w:val="24"/>
          <w:szCs w:val="24"/>
        </w:rPr>
        <w:t>specifika</w:t>
      </w:r>
      <w:r>
        <w:rPr>
          <w:rFonts w:ascii="Times New Roman" w:hAnsi="Times New Roman" w:cs="Times New Roman"/>
          <w:sz w:val="24"/>
          <w:szCs w:val="24"/>
        </w:rPr>
        <w:t xml:space="preserve"> mezivládního charakteru, zmiňme zde</w:t>
      </w:r>
      <w:r w:rsidRPr="00F557FB">
        <w:rPr>
          <w:rFonts w:ascii="Times New Roman" w:hAnsi="Times New Roman" w:cs="Times New Roman"/>
          <w:sz w:val="24"/>
          <w:szCs w:val="24"/>
        </w:rPr>
        <w:t xml:space="preserve"> ještě tzv. záchranné brzdy</w:t>
      </w:r>
      <w:r w:rsidR="004F5111">
        <w:rPr>
          <w:rFonts w:ascii="Times New Roman" w:hAnsi="Times New Roman" w:cs="Times New Roman"/>
          <w:sz w:val="24"/>
          <w:szCs w:val="24"/>
        </w:rPr>
        <w:t>.</w:t>
      </w:r>
      <w:r w:rsidRPr="00F557FB">
        <w:rPr>
          <w:rStyle w:val="Znakapoznpodarou"/>
          <w:rFonts w:ascii="Times New Roman" w:hAnsi="Times New Roman" w:cs="Times New Roman"/>
          <w:sz w:val="24"/>
          <w:szCs w:val="24"/>
        </w:rPr>
        <w:footnoteReference w:id="40"/>
      </w:r>
      <w:r w:rsidRPr="00F557FB">
        <w:rPr>
          <w:rFonts w:ascii="Times New Roman" w:hAnsi="Times New Roman" w:cs="Times New Roman"/>
          <w:sz w:val="24"/>
          <w:szCs w:val="24"/>
        </w:rPr>
        <w:t xml:space="preserve"> Ty se týkají citlivých otázek vnitrostátních systémů sociálního zabezpečení</w:t>
      </w:r>
      <w:r w:rsidRPr="00F557FB">
        <w:rPr>
          <w:rStyle w:val="Znakapoznpodarou"/>
          <w:rFonts w:ascii="Times New Roman" w:hAnsi="Times New Roman" w:cs="Times New Roman"/>
          <w:sz w:val="24"/>
          <w:szCs w:val="24"/>
        </w:rPr>
        <w:footnoteReference w:id="41"/>
      </w:r>
      <w:r w:rsidRPr="00F557FB">
        <w:rPr>
          <w:rFonts w:ascii="Times New Roman" w:hAnsi="Times New Roman" w:cs="Times New Roman"/>
          <w:sz w:val="24"/>
          <w:szCs w:val="24"/>
        </w:rPr>
        <w:t xml:space="preserve"> a trestního soudnictví</w:t>
      </w:r>
      <w:r w:rsidR="003D311C">
        <w:rPr>
          <w:rFonts w:ascii="Times New Roman" w:hAnsi="Times New Roman" w:cs="Times New Roman"/>
          <w:sz w:val="24"/>
          <w:szCs w:val="24"/>
        </w:rPr>
        <w:t>.</w:t>
      </w:r>
      <w:r w:rsidRPr="00F557FB">
        <w:rPr>
          <w:rStyle w:val="Znakapoznpodarou"/>
          <w:rFonts w:ascii="Times New Roman" w:hAnsi="Times New Roman" w:cs="Times New Roman"/>
          <w:sz w:val="24"/>
          <w:szCs w:val="24"/>
        </w:rPr>
        <w:footnoteReference w:id="42"/>
      </w:r>
      <w:r w:rsidRPr="00F557FB">
        <w:rPr>
          <w:rFonts w:ascii="Times New Roman" w:hAnsi="Times New Roman" w:cs="Times New Roman"/>
          <w:sz w:val="24"/>
          <w:szCs w:val="24"/>
        </w:rPr>
        <w:t xml:space="preserve"> SFEU sice v těchto případech roli parlamentů přímo neuvádí, „</w:t>
      </w:r>
      <w:r w:rsidRPr="00F557FB">
        <w:rPr>
          <w:rFonts w:ascii="Times New Roman" w:hAnsi="Times New Roman" w:cs="Times New Roman"/>
          <w:i/>
          <w:sz w:val="24"/>
          <w:szCs w:val="24"/>
        </w:rPr>
        <w:t>lze však vnitrostátně stanovit povinnost člena Rady využít této možnosti, rozhodne-li tak parlament</w:t>
      </w:r>
      <w:r w:rsidR="003D311C">
        <w:rPr>
          <w:rFonts w:ascii="Times New Roman" w:hAnsi="Times New Roman" w:cs="Times New Roman"/>
          <w:i/>
          <w:sz w:val="24"/>
          <w:szCs w:val="24"/>
        </w:rPr>
        <w:t>.</w:t>
      </w:r>
      <w:r w:rsidRPr="00F557FB">
        <w:rPr>
          <w:rFonts w:ascii="Times New Roman" w:hAnsi="Times New Roman" w:cs="Times New Roman"/>
          <w:sz w:val="24"/>
          <w:szCs w:val="24"/>
        </w:rPr>
        <w:t>“</w:t>
      </w:r>
      <w:r w:rsidRPr="00F557FB">
        <w:rPr>
          <w:rStyle w:val="Znakapoznpodarou"/>
          <w:rFonts w:ascii="Times New Roman" w:hAnsi="Times New Roman" w:cs="Times New Roman"/>
          <w:sz w:val="24"/>
          <w:szCs w:val="24"/>
        </w:rPr>
        <w:footnoteReference w:id="43"/>
      </w:r>
      <w:r w:rsidRPr="00F557FB">
        <w:rPr>
          <w:rFonts w:ascii="Times New Roman" w:hAnsi="Times New Roman" w:cs="Times New Roman"/>
          <w:sz w:val="24"/>
          <w:szCs w:val="24"/>
        </w:rPr>
        <w:t xml:space="preserve"> </w:t>
      </w:r>
    </w:p>
    <w:p w:rsidR="006E5159" w:rsidRPr="00956613" w:rsidRDefault="006E5159" w:rsidP="00200ABE">
      <w:pPr>
        <w:spacing w:after="0" w:line="360" w:lineRule="auto"/>
        <w:ind w:firstLine="708"/>
        <w:jc w:val="both"/>
        <w:rPr>
          <w:rFonts w:ascii="Times New Roman" w:hAnsi="Times New Roman" w:cs="Times New Roman"/>
          <w:sz w:val="24"/>
          <w:szCs w:val="24"/>
        </w:rPr>
      </w:pPr>
      <w:bookmarkStart w:id="7" w:name="_GoBack"/>
      <w:bookmarkEnd w:id="7"/>
    </w:p>
    <w:p w:rsidR="00C161C8" w:rsidRDefault="0066302B" w:rsidP="0071206C">
      <w:pPr>
        <w:pStyle w:val="Nadpis2"/>
      </w:pPr>
      <w:bookmarkStart w:id="8" w:name="_Toc478235154"/>
      <w:r>
        <w:lastRenderedPageBreak/>
        <w:t>1.5</w:t>
      </w:r>
      <w:r w:rsidR="00B32B76">
        <w:t xml:space="preserve"> </w:t>
      </w:r>
      <w:r w:rsidR="00C161C8" w:rsidRPr="005E3321">
        <w:t>Parlamenty a změny primárního práva</w:t>
      </w:r>
      <w:bookmarkEnd w:id="8"/>
    </w:p>
    <w:p w:rsidR="0071206C" w:rsidRPr="0071206C" w:rsidRDefault="0071206C" w:rsidP="0071206C"/>
    <w:p w:rsidR="00C161C8" w:rsidRPr="005E3321" w:rsidRDefault="00C161C8" w:rsidP="00C161C8">
      <w:pPr>
        <w:spacing w:line="360" w:lineRule="auto"/>
        <w:ind w:firstLine="708"/>
        <w:jc w:val="both"/>
        <w:rPr>
          <w:rFonts w:ascii="Times New Roman" w:hAnsi="Times New Roman" w:cs="Times New Roman"/>
          <w:i/>
          <w:sz w:val="24"/>
        </w:rPr>
      </w:pPr>
      <w:r w:rsidRPr="005E3321">
        <w:rPr>
          <w:rFonts w:ascii="Times New Roman" w:hAnsi="Times New Roman" w:cs="Times New Roman"/>
          <w:sz w:val="24"/>
        </w:rPr>
        <w:t>Parlamenty participují „</w:t>
      </w:r>
      <w:r w:rsidRPr="005E3321">
        <w:rPr>
          <w:rFonts w:ascii="Times New Roman" w:hAnsi="Times New Roman" w:cs="Times New Roman"/>
          <w:i/>
          <w:sz w:val="24"/>
        </w:rPr>
        <w:t>na postupech pro přijímání změn Smluv podle článku 48 této smlouvy“</w:t>
      </w:r>
      <w:r w:rsidRPr="005E3321">
        <w:rPr>
          <w:rStyle w:val="Znakapoznpodarou"/>
          <w:rFonts w:ascii="Times New Roman" w:hAnsi="Times New Roman" w:cs="Times New Roman"/>
          <w:i/>
          <w:sz w:val="24"/>
        </w:rPr>
        <w:footnoteReference w:id="44"/>
      </w:r>
      <w:r w:rsidRPr="005E3321">
        <w:rPr>
          <w:rFonts w:ascii="Times New Roman" w:hAnsi="Times New Roman" w:cs="Times New Roman"/>
          <w:sz w:val="24"/>
        </w:rPr>
        <w:t xml:space="preserve"> a „</w:t>
      </w:r>
      <w:r w:rsidRPr="005E3321">
        <w:rPr>
          <w:rFonts w:ascii="Times New Roman" w:hAnsi="Times New Roman" w:cs="Times New Roman"/>
          <w:i/>
          <w:sz w:val="24"/>
        </w:rPr>
        <w:t>jsou jim oznamovány žádosti o přistoupení k Unii podle článku 49 této smlouvy.“</w:t>
      </w:r>
      <w:r w:rsidRPr="005E3321">
        <w:rPr>
          <w:rStyle w:val="Znakapoznpodarou"/>
          <w:rFonts w:ascii="Times New Roman" w:hAnsi="Times New Roman" w:cs="Times New Roman"/>
          <w:i/>
          <w:sz w:val="24"/>
        </w:rPr>
        <w:footnoteReference w:id="45"/>
      </w:r>
      <w:r w:rsidRPr="005E3321">
        <w:rPr>
          <w:rFonts w:ascii="Times New Roman" w:hAnsi="Times New Roman" w:cs="Times New Roman"/>
          <w:i/>
          <w:sz w:val="24"/>
        </w:rPr>
        <w:t xml:space="preserve"> </w:t>
      </w:r>
    </w:p>
    <w:p w:rsidR="00C161C8" w:rsidRDefault="00C70D2E" w:rsidP="0071206C">
      <w:pPr>
        <w:pStyle w:val="Nadpis3"/>
      </w:pPr>
      <w:bookmarkStart w:id="9" w:name="_Toc478235155"/>
      <w:r>
        <w:t>1.5</w:t>
      </w:r>
      <w:r w:rsidR="00130FB8">
        <w:t xml:space="preserve">.1 </w:t>
      </w:r>
      <w:r w:rsidR="00C161C8" w:rsidRPr="005E3321">
        <w:t>Smlouvy o přistoupení</w:t>
      </w:r>
      <w:bookmarkEnd w:id="9"/>
    </w:p>
    <w:p w:rsidR="0071206C" w:rsidRPr="0071206C" w:rsidRDefault="0071206C" w:rsidP="0071206C"/>
    <w:p w:rsidR="00C161C8" w:rsidRPr="005E3321" w:rsidRDefault="00C161C8" w:rsidP="00C161C8">
      <w:pPr>
        <w:spacing w:line="360" w:lineRule="auto"/>
        <w:jc w:val="both"/>
        <w:rPr>
          <w:rFonts w:ascii="Times New Roman" w:hAnsi="Times New Roman" w:cs="Times New Roman"/>
          <w:sz w:val="24"/>
        </w:rPr>
      </w:pPr>
      <w:r w:rsidRPr="005E3321">
        <w:rPr>
          <w:rFonts w:ascii="Times New Roman" w:hAnsi="Times New Roman" w:cs="Times New Roman"/>
          <w:b/>
          <w:sz w:val="24"/>
        </w:rPr>
        <w:tab/>
      </w:r>
      <w:r w:rsidRPr="005E3321">
        <w:rPr>
          <w:rFonts w:ascii="Times New Roman" w:hAnsi="Times New Roman" w:cs="Times New Roman"/>
          <w:sz w:val="24"/>
        </w:rPr>
        <w:t>Není třeba se dlouze zab</w:t>
      </w:r>
      <w:r>
        <w:rPr>
          <w:rFonts w:ascii="Times New Roman" w:hAnsi="Times New Roman" w:cs="Times New Roman"/>
          <w:sz w:val="24"/>
        </w:rPr>
        <w:t>ývat úlohou parlamentů při</w:t>
      </w:r>
      <w:r w:rsidRPr="005E3321">
        <w:rPr>
          <w:rFonts w:ascii="Times New Roman" w:hAnsi="Times New Roman" w:cs="Times New Roman"/>
          <w:sz w:val="24"/>
        </w:rPr>
        <w:t xml:space="preserve"> př</w:t>
      </w:r>
      <w:r>
        <w:rPr>
          <w:rFonts w:ascii="Times New Roman" w:hAnsi="Times New Roman" w:cs="Times New Roman"/>
          <w:sz w:val="24"/>
        </w:rPr>
        <w:t>istoupení nového ČS</w:t>
      </w:r>
      <w:r w:rsidRPr="005E3321">
        <w:rPr>
          <w:rFonts w:ascii="Times New Roman" w:hAnsi="Times New Roman" w:cs="Times New Roman"/>
          <w:sz w:val="24"/>
        </w:rPr>
        <w:t>, ale držíce s</w:t>
      </w:r>
      <w:r>
        <w:rPr>
          <w:rFonts w:ascii="Times New Roman" w:hAnsi="Times New Roman" w:cs="Times New Roman"/>
          <w:sz w:val="24"/>
        </w:rPr>
        <w:t>e struktury čl. 12 SEU uveďme, že p</w:t>
      </w:r>
      <w:r w:rsidRPr="005E3321">
        <w:rPr>
          <w:rFonts w:ascii="Times New Roman" w:hAnsi="Times New Roman" w:cs="Times New Roman"/>
          <w:sz w:val="24"/>
        </w:rPr>
        <w:t xml:space="preserve">odstatnou je v tomto ohledu zejména poslední věta čl. 49 SEU. </w:t>
      </w:r>
      <w:r w:rsidRPr="005E3321">
        <w:rPr>
          <w:rFonts w:ascii="Times New Roman" w:hAnsi="Times New Roman" w:cs="Times New Roman"/>
          <w:i/>
          <w:sz w:val="24"/>
        </w:rPr>
        <w:t>„Tato dohoda vyžaduje ratifikaci všemi smluvními státy v souladu s jejich ústavními předpisy.“</w:t>
      </w:r>
      <w:r w:rsidR="00920F68">
        <w:rPr>
          <w:rStyle w:val="Znakapoznpodarou"/>
          <w:rFonts w:ascii="Times New Roman" w:hAnsi="Times New Roman" w:cs="Times New Roman"/>
          <w:i/>
          <w:sz w:val="24"/>
        </w:rPr>
        <w:footnoteReference w:id="46"/>
      </w:r>
      <w:r w:rsidRPr="005E3321">
        <w:rPr>
          <w:rFonts w:ascii="Times New Roman" w:hAnsi="Times New Roman" w:cs="Times New Roman"/>
          <w:i/>
          <w:sz w:val="24"/>
        </w:rPr>
        <w:t xml:space="preserve"> </w:t>
      </w:r>
      <w:r>
        <w:rPr>
          <w:rFonts w:ascii="Times New Roman" w:hAnsi="Times New Roman" w:cs="Times New Roman"/>
          <w:sz w:val="24"/>
        </w:rPr>
        <w:t>Parlamenty</w:t>
      </w:r>
      <w:r w:rsidRPr="005E3321">
        <w:rPr>
          <w:rFonts w:ascii="Times New Roman" w:hAnsi="Times New Roman" w:cs="Times New Roman"/>
          <w:sz w:val="24"/>
        </w:rPr>
        <w:t xml:space="preserve"> běžně sehrávají svou roli právě ve vnitrost</w:t>
      </w:r>
      <w:r>
        <w:rPr>
          <w:rFonts w:ascii="Times New Roman" w:hAnsi="Times New Roman" w:cs="Times New Roman"/>
          <w:sz w:val="24"/>
        </w:rPr>
        <w:t>átním procesu vedoucím k</w:t>
      </w:r>
      <w:r w:rsidRPr="005E3321">
        <w:rPr>
          <w:rFonts w:ascii="Times New Roman" w:hAnsi="Times New Roman" w:cs="Times New Roman"/>
          <w:sz w:val="24"/>
        </w:rPr>
        <w:t xml:space="preserve"> ratifikaci dohody</w:t>
      </w:r>
      <w:r w:rsidR="002D55E7">
        <w:rPr>
          <w:rFonts w:ascii="Times New Roman" w:hAnsi="Times New Roman" w:cs="Times New Roman"/>
          <w:sz w:val="24"/>
        </w:rPr>
        <w:t>.</w:t>
      </w:r>
      <w:r w:rsidR="00E84D60">
        <w:rPr>
          <w:rFonts w:ascii="Times New Roman" w:hAnsi="Times New Roman" w:cs="Times New Roman"/>
          <w:sz w:val="24"/>
        </w:rPr>
        <w:t xml:space="preserve"> </w:t>
      </w:r>
      <w:r w:rsidR="002D55E7">
        <w:rPr>
          <w:rFonts w:ascii="Times New Roman" w:hAnsi="Times New Roman" w:cs="Times New Roman"/>
          <w:sz w:val="24"/>
        </w:rPr>
        <w:t>Z</w:t>
      </w:r>
      <w:r w:rsidRPr="005E3321">
        <w:rPr>
          <w:rFonts w:ascii="Times New Roman" w:hAnsi="Times New Roman" w:cs="Times New Roman"/>
          <w:sz w:val="24"/>
        </w:rPr>
        <w:t>ejména v př</w:t>
      </w:r>
      <w:r>
        <w:rPr>
          <w:rFonts w:ascii="Times New Roman" w:hAnsi="Times New Roman" w:cs="Times New Roman"/>
          <w:sz w:val="24"/>
        </w:rPr>
        <w:t>istupujícím státě je</w:t>
      </w:r>
      <w:r w:rsidRPr="005E3321">
        <w:rPr>
          <w:rFonts w:ascii="Times New Roman" w:hAnsi="Times New Roman" w:cs="Times New Roman"/>
          <w:sz w:val="24"/>
        </w:rPr>
        <w:t xml:space="preserve"> běžné uspořádání referenda</w:t>
      </w:r>
      <w:r w:rsidR="002E40C7">
        <w:rPr>
          <w:rFonts w:ascii="Times New Roman" w:hAnsi="Times New Roman" w:cs="Times New Roman"/>
          <w:sz w:val="24"/>
        </w:rPr>
        <w:t>.</w:t>
      </w:r>
      <w:r w:rsidRPr="005E3321">
        <w:rPr>
          <w:rStyle w:val="Znakapoznpodarou"/>
          <w:rFonts w:ascii="Times New Roman" w:hAnsi="Times New Roman" w:cs="Times New Roman"/>
          <w:sz w:val="24"/>
        </w:rPr>
        <w:footnoteReference w:id="47"/>
      </w:r>
      <w:r w:rsidRPr="005E3321">
        <w:rPr>
          <w:rFonts w:ascii="Times New Roman" w:hAnsi="Times New Roman" w:cs="Times New Roman"/>
          <w:sz w:val="24"/>
        </w:rPr>
        <w:t xml:space="preserve"> </w:t>
      </w:r>
    </w:p>
    <w:p w:rsidR="00C161C8" w:rsidRDefault="009259A5" w:rsidP="0071206C">
      <w:pPr>
        <w:pStyle w:val="Nadpis3"/>
      </w:pPr>
      <w:bookmarkStart w:id="10" w:name="_Toc478235156"/>
      <w:r>
        <w:t>1.5</w:t>
      </w:r>
      <w:r w:rsidR="00C03CC2">
        <w:t xml:space="preserve">.2 </w:t>
      </w:r>
      <w:r w:rsidR="00C161C8" w:rsidRPr="005E3321">
        <w:t>Změny smluv – řádný postup</w:t>
      </w:r>
      <w:bookmarkEnd w:id="10"/>
    </w:p>
    <w:p w:rsidR="0071206C" w:rsidRPr="0071206C" w:rsidRDefault="0071206C" w:rsidP="0071206C"/>
    <w:p w:rsidR="00C161C8" w:rsidRPr="00453BB5" w:rsidRDefault="00C161C8" w:rsidP="00C161C8">
      <w:pPr>
        <w:spacing w:line="360" w:lineRule="auto"/>
        <w:ind w:firstLine="708"/>
        <w:jc w:val="both"/>
        <w:rPr>
          <w:rFonts w:ascii="Times New Roman" w:hAnsi="Times New Roman" w:cs="Times New Roman"/>
          <w:sz w:val="24"/>
        </w:rPr>
      </w:pPr>
      <w:r w:rsidRPr="005E3321">
        <w:rPr>
          <w:rFonts w:ascii="Times New Roman" w:hAnsi="Times New Roman" w:cs="Times New Roman"/>
          <w:sz w:val="24"/>
        </w:rPr>
        <w:t>Státy jsou pány smluv</w:t>
      </w:r>
      <w:r w:rsidR="00382DB2">
        <w:rPr>
          <w:rFonts w:ascii="Times New Roman" w:hAnsi="Times New Roman" w:cs="Times New Roman"/>
          <w:sz w:val="24"/>
        </w:rPr>
        <w:t>,</w:t>
      </w:r>
      <w:r w:rsidRPr="005E3321">
        <w:rPr>
          <w:rStyle w:val="Znakapoznpodarou"/>
          <w:rFonts w:ascii="Times New Roman" w:hAnsi="Times New Roman" w:cs="Times New Roman"/>
          <w:sz w:val="24"/>
        </w:rPr>
        <w:footnoteReference w:id="48"/>
      </w:r>
      <w:r>
        <w:rPr>
          <w:rFonts w:ascii="Times New Roman" w:hAnsi="Times New Roman" w:cs="Times New Roman"/>
          <w:sz w:val="24"/>
        </w:rPr>
        <w:t xml:space="preserve"> což se </w:t>
      </w:r>
      <w:r w:rsidRPr="005E3321">
        <w:rPr>
          <w:rFonts w:ascii="Times New Roman" w:hAnsi="Times New Roman" w:cs="Times New Roman"/>
          <w:sz w:val="24"/>
        </w:rPr>
        <w:t xml:space="preserve">nemění ani existencí možnosti zjednodušeného postupu pro přijímání změn. Lze zvažovat názor Krále, že </w:t>
      </w:r>
      <w:r w:rsidRPr="005E3321">
        <w:rPr>
          <w:rFonts w:ascii="Times New Roman" w:hAnsi="Times New Roman" w:cs="Times New Roman"/>
          <w:i/>
          <w:sz w:val="24"/>
        </w:rPr>
        <w:t>„souhlas parlamentu se změnami primárního evropského práva je doposud nejsilnější pravomocí parlamentu v evropských otázkách</w:t>
      </w:r>
      <w:r w:rsidR="007D244C">
        <w:rPr>
          <w:rFonts w:ascii="Times New Roman" w:hAnsi="Times New Roman" w:cs="Times New Roman"/>
          <w:i/>
          <w:sz w:val="24"/>
        </w:rPr>
        <w:t>.</w:t>
      </w:r>
      <w:r w:rsidRPr="005E3321">
        <w:rPr>
          <w:rFonts w:ascii="Times New Roman" w:hAnsi="Times New Roman" w:cs="Times New Roman"/>
          <w:i/>
          <w:sz w:val="24"/>
        </w:rPr>
        <w:t>“</w:t>
      </w:r>
      <w:r w:rsidRPr="005E3321">
        <w:rPr>
          <w:rStyle w:val="Znakapoznpodarou"/>
          <w:rFonts w:ascii="Times New Roman" w:hAnsi="Times New Roman" w:cs="Times New Roman"/>
          <w:i/>
          <w:sz w:val="24"/>
        </w:rPr>
        <w:footnoteReference w:id="49"/>
      </w:r>
      <w:r w:rsidRPr="005E3321">
        <w:rPr>
          <w:rFonts w:ascii="Times New Roman" w:hAnsi="Times New Roman" w:cs="Times New Roman"/>
          <w:i/>
          <w:sz w:val="24"/>
        </w:rPr>
        <w:t xml:space="preserve"> </w:t>
      </w:r>
      <w:r>
        <w:rPr>
          <w:rFonts w:ascii="Times New Roman" w:hAnsi="Times New Roman" w:cs="Times New Roman"/>
          <w:sz w:val="24"/>
        </w:rPr>
        <w:t>Rozumí se souhlas v procesu vedoucím</w:t>
      </w:r>
      <w:r w:rsidRPr="005E3321">
        <w:rPr>
          <w:rFonts w:ascii="Times New Roman" w:hAnsi="Times New Roman" w:cs="Times New Roman"/>
          <w:sz w:val="24"/>
        </w:rPr>
        <w:t xml:space="preserve"> k ra</w:t>
      </w:r>
      <w:r>
        <w:rPr>
          <w:rFonts w:ascii="Times New Roman" w:hAnsi="Times New Roman" w:cs="Times New Roman"/>
          <w:sz w:val="24"/>
        </w:rPr>
        <w:t>tifikaci. V tomto ohledu se ale</w:t>
      </w:r>
      <w:r w:rsidRPr="005E3321">
        <w:rPr>
          <w:rFonts w:ascii="Times New Roman" w:hAnsi="Times New Roman" w:cs="Times New Roman"/>
          <w:sz w:val="24"/>
        </w:rPr>
        <w:t xml:space="preserve"> zapojení parlamentů nevyhnulo kritice, když připomínky směřovaly především k nemožnosti parlamentů ovlivnit text smluv.</w:t>
      </w:r>
      <w:r w:rsidRPr="005E3321">
        <w:rPr>
          <w:rStyle w:val="Znakapoznpodarou"/>
          <w:rFonts w:ascii="Times New Roman" w:hAnsi="Times New Roman" w:cs="Times New Roman"/>
          <w:sz w:val="24"/>
        </w:rPr>
        <w:footnoteReference w:id="50"/>
      </w:r>
      <w:r>
        <w:rPr>
          <w:rFonts w:ascii="Times New Roman" w:hAnsi="Times New Roman" w:cs="Times New Roman"/>
          <w:sz w:val="24"/>
        </w:rPr>
        <w:t xml:space="preserve"> Na druhou stranu je</w:t>
      </w:r>
      <w:r w:rsidRPr="005E3321">
        <w:rPr>
          <w:rFonts w:ascii="Times New Roman" w:hAnsi="Times New Roman" w:cs="Times New Roman"/>
          <w:sz w:val="24"/>
        </w:rPr>
        <w:t xml:space="preserve"> do jisté míry standardní, že se do sjednávání mezinárodních smluv přímo nezapojují.</w:t>
      </w:r>
      <w:r w:rsidRPr="005E3321">
        <w:rPr>
          <w:rStyle w:val="Znakapoznpodarou"/>
          <w:rFonts w:ascii="Times New Roman" w:hAnsi="Times New Roman" w:cs="Times New Roman"/>
          <w:sz w:val="24"/>
        </w:rPr>
        <w:footnoteReference w:id="51"/>
      </w:r>
      <w:r w:rsidRPr="005E3321">
        <w:rPr>
          <w:rFonts w:ascii="Times New Roman" w:hAnsi="Times New Roman" w:cs="Times New Roman"/>
          <w:sz w:val="24"/>
        </w:rPr>
        <w:t xml:space="preserve"> O to zajímavější je v případě řádného postupu přijímání změn prim</w:t>
      </w:r>
      <w:r w:rsidR="003C52E9">
        <w:rPr>
          <w:rFonts w:ascii="Times New Roman" w:hAnsi="Times New Roman" w:cs="Times New Roman"/>
          <w:sz w:val="24"/>
        </w:rPr>
        <w:t>árního práva svolání</w:t>
      </w:r>
      <w:r w:rsidRPr="005E3321">
        <w:rPr>
          <w:rFonts w:ascii="Times New Roman" w:hAnsi="Times New Roman" w:cs="Times New Roman"/>
          <w:sz w:val="24"/>
        </w:rPr>
        <w:t xml:space="preserve"> konventu, kterého se účastní právě i zástupci parlamentů. </w:t>
      </w:r>
      <w:r w:rsidR="003C52E9">
        <w:rPr>
          <w:rFonts w:ascii="Times New Roman" w:hAnsi="Times New Roman" w:cs="Times New Roman"/>
          <w:sz w:val="24"/>
        </w:rPr>
        <w:t xml:space="preserve">Ten je v LS nově smluvně zakotven. </w:t>
      </w:r>
      <w:r w:rsidRPr="005E3321">
        <w:rPr>
          <w:rFonts w:ascii="Times New Roman" w:hAnsi="Times New Roman" w:cs="Times New Roman"/>
          <w:sz w:val="24"/>
        </w:rPr>
        <w:t xml:space="preserve">Není ale na místě úlohu konventu či zástupců parlamentů přeceňovat. Jednak připomeňme, že konání </w:t>
      </w:r>
      <w:r>
        <w:rPr>
          <w:rFonts w:ascii="Times New Roman" w:hAnsi="Times New Roman" w:cs="Times New Roman"/>
          <w:sz w:val="24"/>
        </w:rPr>
        <w:t>konventu není vždy</w:t>
      </w:r>
      <w:r w:rsidRPr="005E3321">
        <w:rPr>
          <w:rFonts w:ascii="Times New Roman" w:hAnsi="Times New Roman" w:cs="Times New Roman"/>
          <w:sz w:val="24"/>
        </w:rPr>
        <w:t xml:space="preserve"> obligatorní, jednak mějme na paměti, že </w:t>
      </w:r>
      <w:r w:rsidRPr="005E3321">
        <w:rPr>
          <w:rFonts w:ascii="Times New Roman" w:hAnsi="Times New Roman" w:cs="Times New Roman"/>
          <w:sz w:val="24"/>
        </w:rPr>
        <w:lastRenderedPageBreak/>
        <w:t>jeho výsledkem je konsensem přijaté do</w:t>
      </w:r>
      <w:r>
        <w:rPr>
          <w:rFonts w:ascii="Times New Roman" w:hAnsi="Times New Roman" w:cs="Times New Roman"/>
          <w:sz w:val="24"/>
        </w:rPr>
        <w:t xml:space="preserve">poručení, nikoli závazný pokyn </w:t>
      </w:r>
      <w:r w:rsidRPr="005E3321">
        <w:rPr>
          <w:rFonts w:ascii="Times New Roman" w:hAnsi="Times New Roman" w:cs="Times New Roman"/>
          <w:sz w:val="24"/>
        </w:rPr>
        <w:t>pro mezivládní konferenci.</w:t>
      </w:r>
      <w:r w:rsidRPr="005E3321">
        <w:rPr>
          <w:rStyle w:val="Znakapoznpodarou"/>
          <w:rFonts w:ascii="Times New Roman" w:hAnsi="Times New Roman" w:cs="Times New Roman"/>
          <w:sz w:val="24"/>
        </w:rPr>
        <w:footnoteReference w:id="52"/>
      </w:r>
    </w:p>
    <w:p w:rsidR="00C161C8" w:rsidRDefault="009259A5" w:rsidP="0071206C">
      <w:pPr>
        <w:pStyle w:val="Nadpis3"/>
      </w:pPr>
      <w:bookmarkStart w:id="11" w:name="_Toc478235157"/>
      <w:r>
        <w:t>1.5</w:t>
      </w:r>
      <w:r w:rsidR="009613C3">
        <w:t xml:space="preserve">.3 </w:t>
      </w:r>
      <w:r w:rsidR="00C161C8" w:rsidRPr="005E3321">
        <w:t>Změny smluv – zjednodušený postup</w:t>
      </w:r>
      <w:bookmarkEnd w:id="11"/>
    </w:p>
    <w:p w:rsidR="0071206C" w:rsidRPr="0071206C" w:rsidRDefault="0071206C" w:rsidP="0071206C"/>
    <w:p w:rsidR="00C161C8" w:rsidRPr="005E3321" w:rsidRDefault="00C161C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U zjednodušeného</w:t>
      </w:r>
      <w:r w:rsidRPr="005E3321">
        <w:rPr>
          <w:rFonts w:ascii="Times New Roman" w:hAnsi="Times New Roman" w:cs="Times New Roman"/>
          <w:sz w:val="24"/>
        </w:rPr>
        <w:t xml:space="preserve"> postup</w:t>
      </w:r>
      <w:r>
        <w:rPr>
          <w:rFonts w:ascii="Times New Roman" w:hAnsi="Times New Roman" w:cs="Times New Roman"/>
          <w:sz w:val="24"/>
        </w:rPr>
        <w:t>u</w:t>
      </w:r>
      <w:r w:rsidR="007D244C">
        <w:rPr>
          <w:rFonts w:ascii="Times New Roman" w:hAnsi="Times New Roman" w:cs="Times New Roman"/>
          <w:sz w:val="24"/>
        </w:rPr>
        <w:t xml:space="preserve"> lze podle struktury</w:t>
      </w:r>
      <w:r>
        <w:rPr>
          <w:rFonts w:ascii="Times New Roman" w:hAnsi="Times New Roman" w:cs="Times New Roman"/>
          <w:sz w:val="24"/>
        </w:rPr>
        <w:t xml:space="preserve"> čl. 48 SEU od</w:t>
      </w:r>
      <w:r w:rsidRPr="005E3321">
        <w:rPr>
          <w:rFonts w:ascii="Times New Roman" w:hAnsi="Times New Roman" w:cs="Times New Roman"/>
          <w:sz w:val="24"/>
        </w:rPr>
        <w:t>liš</w:t>
      </w:r>
      <w:r>
        <w:rPr>
          <w:rFonts w:ascii="Times New Roman" w:hAnsi="Times New Roman" w:cs="Times New Roman"/>
          <w:sz w:val="24"/>
        </w:rPr>
        <w:t xml:space="preserve">ovat postup dle odst. 6 a </w:t>
      </w:r>
      <w:r w:rsidRPr="005E3321">
        <w:rPr>
          <w:rFonts w:ascii="Times New Roman" w:hAnsi="Times New Roman" w:cs="Times New Roman"/>
          <w:sz w:val="24"/>
        </w:rPr>
        <w:t>dle o</w:t>
      </w:r>
      <w:r w:rsidR="00060907">
        <w:rPr>
          <w:rFonts w:ascii="Times New Roman" w:hAnsi="Times New Roman" w:cs="Times New Roman"/>
          <w:sz w:val="24"/>
        </w:rPr>
        <w:t>dst. 7. U obou poukažme</w:t>
      </w:r>
      <w:r w:rsidR="00B166A8">
        <w:rPr>
          <w:rFonts w:ascii="Times New Roman" w:hAnsi="Times New Roman" w:cs="Times New Roman"/>
          <w:sz w:val="24"/>
        </w:rPr>
        <w:t xml:space="preserve"> na potřebu jednomyslnosti v Evropské radě</w:t>
      </w:r>
      <w:r w:rsidR="002F6614">
        <w:rPr>
          <w:rFonts w:ascii="Times New Roman" w:hAnsi="Times New Roman" w:cs="Times New Roman"/>
          <w:sz w:val="24"/>
        </w:rPr>
        <w:t xml:space="preserve"> (dále ER)</w:t>
      </w:r>
      <w:r w:rsidRPr="005E3321">
        <w:rPr>
          <w:rFonts w:ascii="Times New Roman" w:hAnsi="Times New Roman" w:cs="Times New Roman"/>
          <w:sz w:val="24"/>
        </w:rPr>
        <w:t>. V prvním případě jde o změny v části třetí SFEU věnované vnitřním politikám a činnostem EU. Tyto změny nesmí rozšířit pravomoci EU svěřené.</w:t>
      </w:r>
      <w:r w:rsidRPr="005E3321">
        <w:rPr>
          <w:rStyle w:val="Znakapoznpodarou"/>
          <w:rFonts w:ascii="Times New Roman" w:hAnsi="Times New Roman" w:cs="Times New Roman"/>
          <w:sz w:val="24"/>
        </w:rPr>
        <w:footnoteReference w:id="53"/>
      </w:r>
      <w:r w:rsidRPr="005E3321">
        <w:rPr>
          <w:rFonts w:ascii="Times New Roman" w:hAnsi="Times New Roman" w:cs="Times New Roman"/>
          <w:sz w:val="24"/>
        </w:rPr>
        <w:t xml:space="preserve"> </w:t>
      </w:r>
      <w:r w:rsidRPr="005E3321">
        <w:rPr>
          <w:rFonts w:ascii="Times New Roman" w:hAnsi="Times New Roman" w:cs="Times New Roman"/>
          <w:i/>
          <w:sz w:val="24"/>
        </w:rPr>
        <w:t>„Obsah pojmu „rozšíření pravomocí“ není jednoznačný. Zdá se však být nesporné, že rozšířením pravomoci nejsou např. změny rozhodovací procedury orgánů EU, (…), změny cílů politik či zmenšení pravomocí EU.“</w:t>
      </w:r>
      <w:r w:rsidRPr="005E3321">
        <w:rPr>
          <w:rStyle w:val="Znakapoznpodarou"/>
          <w:rFonts w:ascii="Times New Roman" w:hAnsi="Times New Roman" w:cs="Times New Roman"/>
          <w:i/>
          <w:sz w:val="24"/>
        </w:rPr>
        <w:footnoteReference w:id="54"/>
      </w:r>
      <w:r w:rsidRPr="005E3321">
        <w:rPr>
          <w:rFonts w:ascii="Times New Roman" w:hAnsi="Times New Roman" w:cs="Times New Roman"/>
          <w:sz w:val="24"/>
        </w:rPr>
        <w:t xml:space="preserve"> Vyc</w:t>
      </w:r>
      <w:r w:rsidR="00FD6D85">
        <w:rPr>
          <w:rFonts w:ascii="Times New Roman" w:hAnsi="Times New Roman" w:cs="Times New Roman"/>
          <w:sz w:val="24"/>
        </w:rPr>
        <w:t>házejíce</w:t>
      </w:r>
      <w:r w:rsidRPr="005E3321">
        <w:rPr>
          <w:rFonts w:ascii="Times New Roman" w:hAnsi="Times New Roman" w:cs="Times New Roman"/>
          <w:sz w:val="24"/>
        </w:rPr>
        <w:t xml:space="preserve"> z výše uvedeného a také z toho, že i zdánlivě malé změny právní úpravy někdy mo</w:t>
      </w:r>
      <w:r>
        <w:rPr>
          <w:rFonts w:ascii="Times New Roman" w:hAnsi="Times New Roman" w:cs="Times New Roman"/>
          <w:sz w:val="24"/>
        </w:rPr>
        <w:t>hou mít velké praktické dopady, sledujme</w:t>
      </w:r>
      <w:r w:rsidRPr="005E3321">
        <w:rPr>
          <w:rFonts w:ascii="Times New Roman" w:hAnsi="Times New Roman" w:cs="Times New Roman"/>
          <w:sz w:val="24"/>
        </w:rPr>
        <w:t xml:space="preserve"> úlohu parlamentů při těchto změnách. </w:t>
      </w:r>
      <w:r w:rsidR="002C1F9C">
        <w:rPr>
          <w:rFonts w:ascii="Times New Roman" w:hAnsi="Times New Roman" w:cs="Times New Roman"/>
          <w:sz w:val="24"/>
        </w:rPr>
        <w:t>Podle</w:t>
      </w:r>
      <w:r w:rsidRPr="005E3321">
        <w:rPr>
          <w:rFonts w:ascii="Times New Roman" w:hAnsi="Times New Roman" w:cs="Times New Roman"/>
          <w:sz w:val="24"/>
        </w:rPr>
        <w:t xml:space="preserve"> text</w:t>
      </w:r>
      <w:r w:rsidR="002C1F9C">
        <w:rPr>
          <w:rFonts w:ascii="Times New Roman" w:hAnsi="Times New Roman" w:cs="Times New Roman"/>
          <w:sz w:val="24"/>
        </w:rPr>
        <w:t>u</w:t>
      </w:r>
      <w:r w:rsidRPr="005E3321">
        <w:rPr>
          <w:rFonts w:ascii="Times New Roman" w:hAnsi="Times New Roman" w:cs="Times New Roman"/>
          <w:sz w:val="24"/>
        </w:rPr>
        <w:t xml:space="preserve"> čl. 48 odst. 6 SEU by zde role parlament</w:t>
      </w:r>
      <w:r w:rsidR="0013309E">
        <w:rPr>
          <w:rFonts w:ascii="Times New Roman" w:hAnsi="Times New Roman" w:cs="Times New Roman"/>
          <w:sz w:val="24"/>
        </w:rPr>
        <w:t>ů ve finální fázi</w:t>
      </w:r>
      <w:r w:rsidRPr="005E3321">
        <w:rPr>
          <w:rFonts w:ascii="Times New Roman" w:hAnsi="Times New Roman" w:cs="Times New Roman"/>
          <w:sz w:val="24"/>
        </w:rPr>
        <w:t xml:space="preserve"> i přes nahrazení slova </w:t>
      </w:r>
      <w:r w:rsidR="0013309E">
        <w:rPr>
          <w:rFonts w:ascii="Times New Roman" w:hAnsi="Times New Roman" w:cs="Times New Roman"/>
          <w:sz w:val="24"/>
        </w:rPr>
        <w:t>„ratifikace“ slovem „schválení“</w:t>
      </w:r>
      <w:r w:rsidRPr="005E3321">
        <w:rPr>
          <w:rFonts w:ascii="Times New Roman" w:hAnsi="Times New Roman" w:cs="Times New Roman"/>
          <w:sz w:val="24"/>
        </w:rPr>
        <w:t xml:space="preserve"> měla být podobná jako u řádného postupu.</w:t>
      </w:r>
      <w:r w:rsidRPr="005E3321">
        <w:rPr>
          <w:rStyle w:val="Znakapoznpodarou"/>
          <w:rFonts w:ascii="Times New Roman" w:hAnsi="Times New Roman" w:cs="Times New Roman"/>
          <w:sz w:val="24"/>
        </w:rPr>
        <w:footnoteReference w:id="55"/>
      </w:r>
      <w:r>
        <w:rPr>
          <w:rFonts w:ascii="Times New Roman" w:hAnsi="Times New Roman" w:cs="Times New Roman"/>
          <w:sz w:val="24"/>
        </w:rPr>
        <w:t xml:space="preserve"> Někde</w:t>
      </w:r>
      <w:r w:rsidRPr="005E3321">
        <w:rPr>
          <w:rFonts w:ascii="Times New Roman" w:hAnsi="Times New Roman" w:cs="Times New Roman"/>
          <w:sz w:val="24"/>
        </w:rPr>
        <w:t xml:space="preserve"> </w:t>
      </w:r>
      <w:r>
        <w:rPr>
          <w:rFonts w:ascii="Times New Roman" w:hAnsi="Times New Roman" w:cs="Times New Roman"/>
          <w:sz w:val="24"/>
        </w:rPr>
        <w:t>byla přijata</w:t>
      </w:r>
      <w:r w:rsidRPr="005E3321">
        <w:rPr>
          <w:rFonts w:ascii="Times New Roman" w:hAnsi="Times New Roman" w:cs="Times New Roman"/>
          <w:sz w:val="24"/>
        </w:rPr>
        <w:t xml:space="preserve"> ještě upřesňující či</w:t>
      </w:r>
      <w:r>
        <w:rPr>
          <w:rFonts w:ascii="Times New Roman" w:hAnsi="Times New Roman" w:cs="Times New Roman"/>
          <w:sz w:val="24"/>
        </w:rPr>
        <w:t xml:space="preserve"> zpřísňující vnitrostátní úprava</w:t>
      </w:r>
      <w:r w:rsidRPr="005E3321">
        <w:rPr>
          <w:rFonts w:ascii="Times New Roman" w:hAnsi="Times New Roman" w:cs="Times New Roman"/>
          <w:sz w:val="24"/>
        </w:rPr>
        <w:t>.</w:t>
      </w:r>
      <w:r w:rsidRPr="005E3321">
        <w:rPr>
          <w:rStyle w:val="Znakapoznpodarou"/>
          <w:rFonts w:ascii="Times New Roman" w:hAnsi="Times New Roman" w:cs="Times New Roman"/>
          <w:sz w:val="24"/>
        </w:rPr>
        <w:footnoteReference w:id="56"/>
      </w:r>
      <w:r w:rsidRPr="005E3321">
        <w:rPr>
          <w:rFonts w:ascii="Times New Roman" w:hAnsi="Times New Roman" w:cs="Times New Roman"/>
          <w:sz w:val="24"/>
        </w:rPr>
        <w:t xml:space="preserve"> Ke zjednodušení tak dochází s</w:t>
      </w:r>
      <w:r w:rsidR="008D663E">
        <w:rPr>
          <w:rFonts w:ascii="Times New Roman" w:hAnsi="Times New Roman" w:cs="Times New Roman"/>
          <w:sz w:val="24"/>
        </w:rPr>
        <w:t xml:space="preserve">píše na unijní úrovni, </w:t>
      </w:r>
      <w:r w:rsidR="0013309E">
        <w:rPr>
          <w:rFonts w:ascii="Times New Roman" w:hAnsi="Times New Roman" w:cs="Times New Roman"/>
          <w:sz w:val="24"/>
        </w:rPr>
        <w:t xml:space="preserve">když se </w:t>
      </w:r>
      <w:r w:rsidR="008D663E">
        <w:rPr>
          <w:rFonts w:ascii="Times New Roman" w:hAnsi="Times New Roman" w:cs="Times New Roman"/>
          <w:sz w:val="24"/>
        </w:rPr>
        <w:t>např.</w:t>
      </w:r>
      <w:r w:rsidRPr="005E3321">
        <w:rPr>
          <w:rFonts w:ascii="Times New Roman" w:hAnsi="Times New Roman" w:cs="Times New Roman"/>
          <w:sz w:val="24"/>
        </w:rPr>
        <w:t xml:space="preserve"> nemusí konat mezivládní konference.</w:t>
      </w:r>
    </w:p>
    <w:p w:rsidR="00C161C8" w:rsidRPr="005E3321" w:rsidRDefault="00C161C8" w:rsidP="0015186F">
      <w:pPr>
        <w:spacing w:after="0" w:line="360" w:lineRule="auto"/>
        <w:ind w:firstLine="708"/>
        <w:jc w:val="both"/>
        <w:rPr>
          <w:rFonts w:ascii="Times New Roman" w:hAnsi="Times New Roman" w:cs="Times New Roman"/>
          <w:sz w:val="24"/>
        </w:rPr>
      </w:pPr>
      <w:r w:rsidRPr="005E3321">
        <w:rPr>
          <w:rFonts w:ascii="Times New Roman" w:hAnsi="Times New Roman" w:cs="Times New Roman"/>
          <w:sz w:val="24"/>
        </w:rPr>
        <w:t>Přesuňme pozornost k čl. 48 odst. 7</w:t>
      </w:r>
      <w:r>
        <w:rPr>
          <w:rFonts w:ascii="Times New Roman" w:hAnsi="Times New Roman" w:cs="Times New Roman"/>
          <w:sz w:val="24"/>
        </w:rPr>
        <w:t xml:space="preserve"> SEU</w:t>
      </w:r>
      <w:r w:rsidR="002F04DA">
        <w:rPr>
          <w:rFonts w:ascii="Times New Roman" w:hAnsi="Times New Roman" w:cs="Times New Roman"/>
          <w:sz w:val="24"/>
        </w:rPr>
        <w:t>, tedy k</w:t>
      </w:r>
      <w:r w:rsidRPr="005E3321">
        <w:rPr>
          <w:rFonts w:ascii="Times New Roman" w:hAnsi="Times New Roman" w:cs="Times New Roman"/>
          <w:sz w:val="24"/>
        </w:rPr>
        <w:t xml:space="preserve"> obecné </w:t>
      </w:r>
      <w:proofErr w:type="spellStart"/>
      <w:r w:rsidRPr="005E3321">
        <w:rPr>
          <w:rFonts w:ascii="Times New Roman" w:hAnsi="Times New Roman" w:cs="Times New Roman"/>
          <w:sz w:val="24"/>
        </w:rPr>
        <w:t>passerelle</w:t>
      </w:r>
      <w:proofErr w:type="spellEnd"/>
      <w:r w:rsidRPr="005E3321">
        <w:rPr>
          <w:rFonts w:ascii="Times New Roman" w:hAnsi="Times New Roman" w:cs="Times New Roman"/>
          <w:sz w:val="24"/>
        </w:rPr>
        <w:t xml:space="preserve"> či obecné přechodové klauzuli. Skrze toto ustanovení může dojít k procedurálním změnám, a sice k přechodu od jednomyslného rozhodování Rady k ro</w:t>
      </w:r>
      <w:r w:rsidR="00C31FBD">
        <w:rPr>
          <w:rFonts w:ascii="Times New Roman" w:hAnsi="Times New Roman" w:cs="Times New Roman"/>
          <w:sz w:val="24"/>
        </w:rPr>
        <w:t>zhodování kvalifikovanou většinou</w:t>
      </w:r>
      <w:r w:rsidRPr="005E3321">
        <w:rPr>
          <w:rFonts w:ascii="Times New Roman" w:hAnsi="Times New Roman" w:cs="Times New Roman"/>
          <w:sz w:val="24"/>
        </w:rPr>
        <w:t xml:space="preserve"> či k přechodu od zvláštního legislativního postupu k řádnému.</w:t>
      </w:r>
      <w:r w:rsidRPr="005E3321">
        <w:rPr>
          <w:rStyle w:val="Znakapoznpodarou"/>
          <w:rFonts w:ascii="Times New Roman" w:hAnsi="Times New Roman" w:cs="Times New Roman"/>
          <w:sz w:val="24"/>
        </w:rPr>
        <w:footnoteReference w:id="57"/>
      </w:r>
      <w:r w:rsidR="008A445D">
        <w:rPr>
          <w:rFonts w:ascii="Times New Roman" w:hAnsi="Times New Roman" w:cs="Times New Roman"/>
          <w:sz w:val="24"/>
        </w:rPr>
        <w:t xml:space="preserve"> Uvažujeme-li např.</w:t>
      </w:r>
      <w:r w:rsidRPr="005E3321">
        <w:rPr>
          <w:rFonts w:ascii="Times New Roman" w:hAnsi="Times New Roman" w:cs="Times New Roman"/>
          <w:sz w:val="24"/>
        </w:rPr>
        <w:t xml:space="preserve"> nad prvně jmenovanou změnou, může tato mít velké důsledky pro kontrolní působení parlamentů při následném přijímání sekundárního </w:t>
      </w:r>
      <w:r w:rsidR="00A42402">
        <w:rPr>
          <w:rFonts w:ascii="Times New Roman" w:hAnsi="Times New Roman" w:cs="Times New Roman"/>
          <w:sz w:val="24"/>
        </w:rPr>
        <w:t xml:space="preserve">práva. </w:t>
      </w:r>
      <w:r w:rsidR="00426B6B">
        <w:rPr>
          <w:rFonts w:ascii="Times New Roman" w:hAnsi="Times New Roman" w:cs="Times New Roman"/>
          <w:sz w:val="24"/>
        </w:rPr>
        <w:t>Jejich postavení</w:t>
      </w:r>
      <w:r w:rsidRPr="005E3321">
        <w:rPr>
          <w:rFonts w:ascii="Times New Roman" w:hAnsi="Times New Roman" w:cs="Times New Roman"/>
          <w:sz w:val="24"/>
        </w:rPr>
        <w:t xml:space="preserve"> je silnější při jednomy</w:t>
      </w:r>
      <w:r>
        <w:rPr>
          <w:rFonts w:ascii="Times New Roman" w:hAnsi="Times New Roman" w:cs="Times New Roman"/>
          <w:sz w:val="24"/>
        </w:rPr>
        <w:t>slném rozhodování. Úloha parlamentů při těchto změnách</w:t>
      </w:r>
      <w:r w:rsidR="007F1C7B">
        <w:rPr>
          <w:rFonts w:ascii="Times New Roman" w:hAnsi="Times New Roman" w:cs="Times New Roman"/>
          <w:sz w:val="24"/>
        </w:rPr>
        <w:t xml:space="preserve"> smluv</w:t>
      </w:r>
      <w:r w:rsidR="00B5579E">
        <w:rPr>
          <w:rFonts w:ascii="Times New Roman" w:hAnsi="Times New Roman" w:cs="Times New Roman"/>
          <w:sz w:val="24"/>
        </w:rPr>
        <w:t xml:space="preserve"> spočívá </w:t>
      </w:r>
      <w:r>
        <w:rPr>
          <w:rFonts w:ascii="Times New Roman" w:hAnsi="Times New Roman" w:cs="Times New Roman"/>
          <w:sz w:val="24"/>
        </w:rPr>
        <w:t>v jakési tiché proceduře</w:t>
      </w:r>
      <w:r w:rsidRPr="005E3321">
        <w:rPr>
          <w:rFonts w:ascii="Times New Roman" w:hAnsi="Times New Roman" w:cs="Times New Roman"/>
          <w:sz w:val="24"/>
        </w:rPr>
        <w:t>.</w:t>
      </w:r>
      <w:r w:rsidRPr="005E3321">
        <w:rPr>
          <w:rStyle w:val="Znakapoznpodarou"/>
          <w:rFonts w:ascii="Times New Roman" w:hAnsi="Times New Roman" w:cs="Times New Roman"/>
          <w:sz w:val="24"/>
        </w:rPr>
        <w:footnoteReference w:id="58"/>
      </w:r>
      <w:r w:rsidRPr="005E3321">
        <w:rPr>
          <w:rFonts w:ascii="Times New Roman" w:hAnsi="Times New Roman" w:cs="Times New Roman"/>
          <w:sz w:val="24"/>
        </w:rPr>
        <w:t xml:space="preserve"> Poté, co je parlamentům ze strany ER oznámena iniciativa </w:t>
      </w:r>
      <w:r>
        <w:rPr>
          <w:rFonts w:ascii="Times New Roman" w:hAnsi="Times New Roman" w:cs="Times New Roman"/>
          <w:sz w:val="24"/>
        </w:rPr>
        <w:t xml:space="preserve">změny </w:t>
      </w:r>
      <w:r w:rsidRPr="005E3321">
        <w:rPr>
          <w:rFonts w:ascii="Times New Roman" w:hAnsi="Times New Roman" w:cs="Times New Roman"/>
          <w:sz w:val="24"/>
        </w:rPr>
        <w:t>pro</w:t>
      </w:r>
      <w:r>
        <w:rPr>
          <w:rFonts w:ascii="Times New Roman" w:hAnsi="Times New Roman" w:cs="Times New Roman"/>
          <w:sz w:val="24"/>
        </w:rPr>
        <w:t>vést</w:t>
      </w:r>
      <w:r w:rsidR="00007748">
        <w:rPr>
          <w:rFonts w:ascii="Times New Roman" w:hAnsi="Times New Roman" w:cs="Times New Roman"/>
          <w:sz w:val="24"/>
        </w:rPr>
        <w:t>, mají šest</w:t>
      </w:r>
      <w:r w:rsidRPr="005E3321">
        <w:rPr>
          <w:rFonts w:ascii="Times New Roman" w:hAnsi="Times New Roman" w:cs="Times New Roman"/>
          <w:sz w:val="24"/>
        </w:rPr>
        <w:t xml:space="preserve"> měsíců</w:t>
      </w:r>
      <w:r w:rsidR="006A123D">
        <w:rPr>
          <w:rFonts w:ascii="Times New Roman" w:hAnsi="Times New Roman" w:cs="Times New Roman"/>
          <w:sz w:val="24"/>
        </w:rPr>
        <w:t>,</w:t>
      </w:r>
      <w:r w:rsidRPr="005E3321">
        <w:rPr>
          <w:rStyle w:val="Znakapoznpodarou"/>
          <w:rFonts w:ascii="Times New Roman" w:hAnsi="Times New Roman" w:cs="Times New Roman"/>
          <w:sz w:val="24"/>
        </w:rPr>
        <w:footnoteReference w:id="59"/>
      </w:r>
      <w:r w:rsidRPr="005E3321">
        <w:rPr>
          <w:rFonts w:ascii="Times New Roman" w:hAnsi="Times New Roman" w:cs="Times New Roman"/>
          <w:sz w:val="24"/>
        </w:rPr>
        <w:t xml:space="preserve"> aby vyjádřily nesouhlas. Nejde o nesouhlas kolektivní. Každý z parlamentů disponuje právem veta, </w:t>
      </w:r>
      <w:r w:rsidRPr="005E3321">
        <w:rPr>
          <w:rFonts w:ascii="Times New Roman" w:hAnsi="Times New Roman" w:cs="Times New Roman"/>
          <w:sz w:val="24"/>
        </w:rPr>
        <w:lastRenderedPageBreak/>
        <w:t>„červenou kartou“</w:t>
      </w:r>
      <w:r w:rsidR="007F3BBD">
        <w:rPr>
          <w:rFonts w:ascii="Times New Roman" w:hAnsi="Times New Roman" w:cs="Times New Roman"/>
          <w:sz w:val="24"/>
        </w:rPr>
        <w:t>,</w:t>
      </w:r>
      <w:r w:rsidRPr="005E3321">
        <w:rPr>
          <w:rStyle w:val="Znakapoznpodarou"/>
          <w:rFonts w:ascii="Times New Roman" w:hAnsi="Times New Roman" w:cs="Times New Roman"/>
          <w:sz w:val="24"/>
        </w:rPr>
        <w:footnoteReference w:id="60"/>
      </w:r>
      <w:r w:rsidRPr="005E3321">
        <w:rPr>
          <w:rFonts w:ascii="Times New Roman" w:hAnsi="Times New Roman" w:cs="Times New Roman"/>
          <w:sz w:val="24"/>
        </w:rPr>
        <w:t xml:space="preserve"> a vysloví-li nesouhlas, změna se neuskuteční. </w:t>
      </w:r>
      <w:r w:rsidRPr="005E3321">
        <w:rPr>
          <w:rFonts w:ascii="Times New Roman" w:hAnsi="Times New Roman" w:cs="Times New Roman"/>
          <w:i/>
          <w:sz w:val="24"/>
        </w:rPr>
        <w:t>„Záleží na každém členském státu, jak a kterým orgánem bude vnitrostátní parlament nesouhlas umožněný odst. 7 přijímat.“</w:t>
      </w:r>
      <w:r w:rsidRPr="005E3321">
        <w:rPr>
          <w:rStyle w:val="Znakapoznpodarou"/>
          <w:rFonts w:ascii="Times New Roman" w:hAnsi="Times New Roman" w:cs="Times New Roman"/>
          <w:i/>
          <w:sz w:val="24"/>
        </w:rPr>
        <w:footnoteReference w:id="61"/>
      </w:r>
      <w:r w:rsidRPr="005E3321">
        <w:rPr>
          <w:rFonts w:ascii="Times New Roman" w:hAnsi="Times New Roman" w:cs="Times New Roman"/>
          <w:i/>
          <w:sz w:val="24"/>
        </w:rPr>
        <w:t xml:space="preserve"> </w:t>
      </w:r>
    </w:p>
    <w:p w:rsidR="00056064" w:rsidRPr="00BA343A" w:rsidRDefault="00C161C8" w:rsidP="00BA343A">
      <w:pPr>
        <w:spacing w:line="360" w:lineRule="auto"/>
        <w:ind w:firstLine="708"/>
        <w:jc w:val="both"/>
        <w:rPr>
          <w:rFonts w:ascii="Times New Roman" w:hAnsi="Times New Roman" w:cs="Times New Roman"/>
          <w:sz w:val="24"/>
        </w:rPr>
      </w:pPr>
      <w:r w:rsidRPr="005E3321">
        <w:rPr>
          <w:rFonts w:ascii="Times New Roman" w:hAnsi="Times New Roman" w:cs="Times New Roman"/>
          <w:sz w:val="24"/>
        </w:rPr>
        <w:t>Kromě obecné přechodové klauzul</w:t>
      </w:r>
      <w:r w:rsidR="00185659">
        <w:rPr>
          <w:rFonts w:ascii="Times New Roman" w:hAnsi="Times New Roman" w:cs="Times New Roman"/>
          <w:sz w:val="24"/>
        </w:rPr>
        <w:t>e</w:t>
      </w:r>
      <w:r>
        <w:rPr>
          <w:rFonts w:ascii="Times New Roman" w:hAnsi="Times New Roman" w:cs="Times New Roman"/>
          <w:sz w:val="24"/>
        </w:rPr>
        <w:t xml:space="preserve"> lze identifikovat ještě </w:t>
      </w:r>
      <w:r w:rsidRPr="005E3321">
        <w:rPr>
          <w:rFonts w:ascii="Times New Roman" w:hAnsi="Times New Roman" w:cs="Times New Roman"/>
          <w:sz w:val="24"/>
        </w:rPr>
        <w:t>zvláštní přechodové klauzule.</w:t>
      </w:r>
      <w:r w:rsidRPr="005E3321">
        <w:rPr>
          <w:rStyle w:val="Znakapoznpodarou"/>
          <w:rFonts w:ascii="Times New Roman" w:hAnsi="Times New Roman" w:cs="Times New Roman"/>
          <w:sz w:val="24"/>
        </w:rPr>
        <w:footnoteReference w:id="62"/>
      </w:r>
      <w:r w:rsidRPr="005E3321">
        <w:rPr>
          <w:rFonts w:ascii="Times New Roman" w:hAnsi="Times New Roman" w:cs="Times New Roman"/>
          <w:sz w:val="24"/>
        </w:rPr>
        <w:t xml:space="preserve"> Pouze u té v čl. 81 odst. 3 SFEU je však přímo primárním právem definována role parlamentů. U těch zbýva</w:t>
      </w:r>
      <w:r w:rsidR="004E52A0">
        <w:rPr>
          <w:rFonts w:ascii="Times New Roman" w:hAnsi="Times New Roman" w:cs="Times New Roman"/>
          <w:sz w:val="24"/>
        </w:rPr>
        <w:t>jících tomu tak není. Je</w:t>
      </w:r>
      <w:r w:rsidRPr="005E3321">
        <w:rPr>
          <w:rFonts w:ascii="Times New Roman" w:hAnsi="Times New Roman" w:cs="Times New Roman"/>
          <w:sz w:val="24"/>
        </w:rPr>
        <w:t xml:space="preserve"> </w:t>
      </w:r>
      <w:r w:rsidR="004E52A0">
        <w:rPr>
          <w:rFonts w:ascii="Times New Roman" w:hAnsi="Times New Roman" w:cs="Times New Roman"/>
          <w:sz w:val="24"/>
        </w:rPr>
        <w:t>však opět možné</w:t>
      </w:r>
      <w:r w:rsidRPr="005E3321">
        <w:rPr>
          <w:rFonts w:ascii="Times New Roman" w:hAnsi="Times New Roman" w:cs="Times New Roman"/>
          <w:sz w:val="24"/>
        </w:rPr>
        <w:t xml:space="preserve"> reagovat vnitrostát</w:t>
      </w:r>
      <w:r w:rsidR="00E23E56">
        <w:rPr>
          <w:rFonts w:ascii="Times New Roman" w:hAnsi="Times New Roman" w:cs="Times New Roman"/>
          <w:sz w:val="24"/>
        </w:rPr>
        <w:t>n</w:t>
      </w:r>
      <w:r w:rsidR="008A445D">
        <w:rPr>
          <w:rFonts w:ascii="Times New Roman" w:hAnsi="Times New Roman" w:cs="Times New Roman"/>
          <w:sz w:val="24"/>
        </w:rPr>
        <w:t xml:space="preserve">í úpravou, </w:t>
      </w:r>
      <w:r w:rsidR="000007E5">
        <w:rPr>
          <w:rFonts w:ascii="Times New Roman" w:hAnsi="Times New Roman" w:cs="Times New Roman"/>
          <w:sz w:val="24"/>
        </w:rPr>
        <w:t xml:space="preserve">a to </w:t>
      </w:r>
      <w:r w:rsidR="008A445D">
        <w:rPr>
          <w:rFonts w:ascii="Times New Roman" w:hAnsi="Times New Roman" w:cs="Times New Roman"/>
          <w:sz w:val="24"/>
        </w:rPr>
        <w:t>např.</w:t>
      </w:r>
      <w:r w:rsidR="00E23E56">
        <w:rPr>
          <w:rFonts w:ascii="Times New Roman" w:hAnsi="Times New Roman" w:cs="Times New Roman"/>
          <w:sz w:val="24"/>
        </w:rPr>
        <w:t xml:space="preserve"> v podobě</w:t>
      </w:r>
      <w:r w:rsidRPr="005E3321">
        <w:rPr>
          <w:rFonts w:ascii="Times New Roman" w:hAnsi="Times New Roman" w:cs="Times New Roman"/>
          <w:sz w:val="24"/>
        </w:rPr>
        <w:t xml:space="preserve"> podmínky předchozího souhlas</w:t>
      </w:r>
      <w:r w:rsidR="00BD43F8">
        <w:rPr>
          <w:rFonts w:ascii="Times New Roman" w:hAnsi="Times New Roman" w:cs="Times New Roman"/>
          <w:sz w:val="24"/>
        </w:rPr>
        <w:t>u</w:t>
      </w:r>
      <w:r w:rsidRPr="005E3321">
        <w:rPr>
          <w:rFonts w:ascii="Times New Roman" w:hAnsi="Times New Roman" w:cs="Times New Roman"/>
          <w:sz w:val="24"/>
        </w:rPr>
        <w:t>.</w:t>
      </w:r>
      <w:r w:rsidRPr="005E3321">
        <w:rPr>
          <w:rStyle w:val="Znakapoznpodarou"/>
          <w:rFonts w:ascii="Times New Roman" w:hAnsi="Times New Roman" w:cs="Times New Roman"/>
          <w:sz w:val="24"/>
        </w:rPr>
        <w:footnoteReference w:id="63"/>
      </w:r>
    </w:p>
    <w:p w:rsidR="00C161C8" w:rsidRDefault="009259A5" w:rsidP="00406F4C">
      <w:pPr>
        <w:pStyle w:val="Nadpis2"/>
      </w:pPr>
      <w:bookmarkStart w:id="12" w:name="_Toc478235158"/>
      <w:r>
        <w:t>1.6</w:t>
      </w:r>
      <w:r w:rsidR="00BA1AC8">
        <w:t xml:space="preserve"> </w:t>
      </w:r>
      <w:r w:rsidR="00C161C8" w:rsidRPr="00291045">
        <w:t>Meziparlamentní spolupráce</w:t>
      </w:r>
      <w:bookmarkEnd w:id="12"/>
    </w:p>
    <w:p w:rsidR="00406F4C" w:rsidRPr="00406F4C" w:rsidRDefault="00406F4C" w:rsidP="00406F4C"/>
    <w:p w:rsidR="00C161C8" w:rsidRDefault="00C161C8" w:rsidP="0015186F">
      <w:pPr>
        <w:spacing w:after="0" w:line="360" w:lineRule="auto"/>
        <w:ind w:firstLine="708"/>
        <w:jc w:val="both"/>
        <w:rPr>
          <w:rFonts w:ascii="Times New Roman" w:hAnsi="Times New Roman" w:cs="Times New Roman"/>
          <w:i/>
          <w:sz w:val="24"/>
        </w:rPr>
      </w:pPr>
      <w:r w:rsidRPr="00BE4B89">
        <w:rPr>
          <w:rFonts w:ascii="Times New Roman" w:hAnsi="Times New Roman" w:cs="Times New Roman"/>
          <w:sz w:val="24"/>
        </w:rPr>
        <w:t>Parlamenty participují „</w:t>
      </w:r>
      <w:r w:rsidRPr="00BE4B89">
        <w:rPr>
          <w:rFonts w:ascii="Times New Roman" w:hAnsi="Times New Roman" w:cs="Times New Roman"/>
          <w:i/>
          <w:sz w:val="24"/>
        </w:rPr>
        <w:t>na meziparlamentní spolupráci mezi vnitrostátními parlamenty a Evropským parlamentem v souladu s Protokolem o úloze vnitrostátních parlamentů v Evropské unii.“</w:t>
      </w:r>
      <w:r>
        <w:rPr>
          <w:rStyle w:val="Znakapoznpodarou"/>
          <w:rFonts w:ascii="Times New Roman" w:hAnsi="Times New Roman" w:cs="Times New Roman"/>
          <w:i/>
          <w:sz w:val="24"/>
        </w:rPr>
        <w:footnoteReference w:id="64"/>
      </w:r>
    </w:p>
    <w:p w:rsidR="00C161C8" w:rsidRDefault="00C161C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Meziparlamentní spolupráce může mít </w:t>
      </w:r>
      <w:r w:rsidR="002F3739">
        <w:rPr>
          <w:rFonts w:ascii="Times New Roman" w:hAnsi="Times New Roman" w:cs="Times New Roman"/>
          <w:sz w:val="24"/>
        </w:rPr>
        <w:t xml:space="preserve">zásadní vliv </w:t>
      </w:r>
      <w:r>
        <w:rPr>
          <w:rFonts w:ascii="Times New Roman" w:hAnsi="Times New Roman" w:cs="Times New Roman"/>
          <w:sz w:val="24"/>
        </w:rPr>
        <w:t xml:space="preserve">na fungování </w:t>
      </w:r>
      <w:r w:rsidR="001C4FE1">
        <w:rPr>
          <w:rFonts w:ascii="Times New Roman" w:hAnsi="Times New Roman" w:cs="Times New Roman"/>
          <w:sz w:val="24"/>
        </w:rPr>
        <w:t>systému včasného varování</w:t>
      </w:r>
      <w:r>
        <w:rPr>
          <w:rFonts w:ascii="Times New Roman" w:hAnsi="Times New Roman" w:cs="Times New Roman"/>
          <w:sz w:val="24"/>
        </w:rPr>
        <w:t xml:space="preserve">. Z forem spolupráce zmiňme Konferenci předsedů parlamentů EU, Konferenci parlamentních výborů pro evropské záležitosti (dále COSAC), Společná parlamentní </w:t>
      </w:r>
      <w:r w:rsidRPr="002844FD">
        <w:rPr>
          <w:rFonts w:ascii="Times New Roman" w:hAnsi="Times New Roman" w:cs="Times New Roman"/>
          <w:sz w:val="24"/>
        </w:rPr>
        <w:t>setkání</w:t>
      </w:r>
      <w:r>
        <w:rPr>
          <w:rFonts w:ascii="Times New Roman" w:hAnsi="Times New Roman" w:cs="Times New Roman"/>
          <w:sz w:val="24"/>
        </w:rPr>
        <w:t xml:space="preserve">. </w:t>
      </w:r>
      <w:r w:rsidR="009D0429">
        <w:rPr>
          <w:rFonts w:ascii="Times New Roman" w:hAnsi="Times New Roman" w:cs="Times New Roman"/>
          <w:sz w:val="24"/>
        </w:rPr>
        <w:t>Existují i další</w:t>
      </w:r>
      <w:r w:rsidR="003F1A50">
        <w:rPr>
          <w:rFonts w:ascii="Times New Roman" w:hAnsi="Times New Roman" w:cs="Times New Roman"/>
          <w:sz w:val="24"/>
        </w:rPr>
        <w:t>.</w:t>
      </w:r>
      <w:r w:rsidR="00196EF5">
        <w:rPr>
          <w:rStyle w:val="Znakapoznpodarou"/>
          <w:rFonts w:ascii="Times New Roman" w:hAnsi="Times New Roman" w:cs="Times New Roman"/>
          <w:sz w:val="24"/>
        </w:rPr>
        <w:footnoteReference w:id="65"/>
      </w:r>
      <w:r w:rsidR="009F2DD8">
        <w:rPr>
          <w:rFonts w:ascii="Times New Roman" w:hAnsi="Times New Roman" w:cs="Times New Roman"/>
          <w:sz w:val="24"/>
        </w:rPr>
        <w:t xml:space="preserve"> </w:t>
      </w:r>
      <w:r w:rsidR="003F1A50">
        <w:rPr>
          <w:rFonts w:ascii="Times New Roman" w:hAnsi="Times New Roman" w:cs="Times New Roman"/>
          <w:sz w:val="24"/>
        </w:rPr>
        <w:t>V</w:t>
      </w:r>
      <w:r w:rsidR="00445528">
        <w:rPr>
          <w:rFonts w:ascii="Times New Roman" w:hAnsi="Times New Roman" w:cs="Times New Roman"/>
          <w:sz w:val="24"/>
        </w:rPr>
        <w:t> poslední době</w:t>
      </w:r>
      <w:r w:rsidR="005E5303">
        <w:rPr>
          <w:rFonts w:ascii="Times New Roman" w:hAnsi="Times New Roman" w:cs="Times New Roman"/>
          <w:sz w:val="24"/>
        </w:rPr>
        <w:t xml:space="preserve"> pak</w:t>
      </w:r>
      <w:r w:rsidR="00445528">
        <w:rPr>
          <w:rFonts w:ascii="Times New Roman" w:hAnsi="Times New Roman" w:cs="Times New Roman"/>
          <w:sz w:val="24"/>
        </w:rPr>
        <w:t xml:space="preserve"> roste význam kooperace stálých zástupců parlamentů v Bruselu.</w:t>
      </w:r>
      <w:r w:rsidR="00E44F19">
        <w:rPr>
          <w:rFonts w:ascii="Times New Roman" w:hAnsi="Times New Roman" w:cs="Times New Roman"/>
          <w:sz w:val="24"/>
        </w:rPr>
        <w:t xml:space="preserve"> U</w:t>
      </w:r>
      <w:r>
        <w:rPr>
          <w:rFonts w:ascii="Times New Roman" w:hAnsi="Times New Roman" w:cs="Times New Roman"/>
          <w:sz w:val="24"/>
        </w:rPr>
        <w:t xml:space="preserve">veďme </w:t>
      </w:r>
      <w:r w:rsidR="00E44F19">
        <w:rPr>
          <w:rFonts w:ascii="Times New Roman" w:hAnsi="Times New Roman" w:cs="Times New Roman"/>
          <w:sz w:val="24"/>
        </w:rPr>
        <w:t>ještě</w:t>
      </w:r>
      <w:r>
        <w:rPr>
          <w:rFonts w:ascii="Times New Roman" w:hAnsi="Times New Roman" w:cs="Times New Roman"/>
          <w:sz w:val="24"/>
        </w:rPr>
        <w:t xml:space="preserve"> nást</w:t>
      </w:r>
      <w:r w:rsidR="00661D55">
        <w:rPr>
          <w:rFonts w:ascii="Times New Roman" w:hAnsi="Times New Roman" w:cs="Times New Roman"/>
          <w:sz w:val="24"/>
        </w:rPr>
        <w:t>roj</w:t>
      </w:r>
      <w:r w:rsidR="000154A9">
        <w:rPr>
          <w:rFonts w:ascii="Times New Roman" w:hAnsi="Times New Roman" w:cs="Times New Roman"/>
          <w:sz w:val="24"/>
        </w:rPr>
        <w:t xml:space="preserve"> spolupráce</w:t>
      </w:r>
      <w:r w:rsidR="00661D55">
        <w:rPr>
          <w:rFonts w:ascii="Times New Roman" w:hAnsi="Times New Roman" w:cs="Times New Roman"/>
          <w:sz w:val="24"/>
        </w:rPr>
        <w:t xml:space="preserve"> v podobě databáze IPEX,</w:t>
      </w:r>
      <w:r>
        <w:rPr>
          <w:rFonts w:ascii="Times New Roman" w:hAnsi="Times New Roman" w:cs="Times New Roman"/>
          <w:sz w:val="24"/>
        </w:rPr>
        <w:t xml:space="preserve"> platformy pro meziparlamentní výměnu informací. Poskytuje</w:t>
      </w:r>
      <w:r w:rsidR="005F5044">
        <w:rPr>
          <w:rFonts w:ascii="Times New Roman" w:hAnsi="Times New Roman" w:cs="Times New Roman"/>
          <w:sz w:val="24"/>
        </w:rPr>
        <w:t xml:space="preserve"> mj.</w:t>
      </w:r>
      <w:r>
        <w:rPr>
          <w:rFonts w:ascii="Times New Roman" w:hAnsi="Times New Roman" w:cs="Times New Roman"/>
          <w:sz w:val="24"/>
        </w:rPr>
        <w:t xml:space="preserve"> informace o aktuálním stavu projednávání návrhů v jednotlivých p</w:t>
      </w:r>
      <w:r w:rsidR="00BD1718">
        <w:rPr>
          <w:rFonts w:ascii="Times New Roman" w:hAnsi="Times New Roman" w:cs="Times New Roman"/>
          <w:sz w:val="24"/>
        </w:rPr>
        <w:t>arlamentech a také znění odůvodněných stanovisek</w:t>
      </w:r>
      <w:r>
        <w:rPr>
          <w:rFonts w:ascii="Times New Roman" w:hAnsi="Times New Roman" w:cs="Times New Roman"/>
          <w:sz w:val="24"/>
        </w:rPr>
        <w:t>.</w:t>
      </w:r>
    </w:p>
    <w:p w:rsidR="005F0AB3" w:rsidRDefault="00F75FD3" w:rsidP="00FA2FB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COSAC </w:t>
      </w:r>
      <w:r w:rsidR="00015B25">
        <w:rPr>
          <w:rFonts w:ascii="Times New Roman" w:hAnsi="Times New Roman" w:cs="Times New Roman"/>
          <w:sz w:val="24"/>
        </w:rPr>
        <w:t>je</w:t>
      </w:r>
      <w:r w:rsidR="00C161C8">
        <w:rPr>
          <w:rFonts w:ascii="Times New Roman" w:hAnsi="Times New Roman" w:cs="Times New Roman"/>
          <w:sz w:val="24"/>
        </w:rPr>
        <w:t xml:space="preserve"> jediná konk</w:t>
      </w:r>
      <w:r w:rsidR="007953F4">
        <w:rPr>
          <w:rFonts w:ascii="Times New Roman" w:hAnsi="Times New Roman" w:cs="Times New Roman"/>
          <w:sz w:val="24"/>
        </w:rPr>
        <w:t>rétní forma spolupráce zakotvená</w:t>
      </w:r>
      <w:r w:rsidR="00C161C8">
        <w:rPr>
          <w:rFonts w:ascii="Times New Roman" w:hAnsi="Times New Roman" w:cs="Times New Roman"/>
          <w:sz w:val="24"/>
        </w:rPr>
        <w:t xml:space="preserve"> v p</w:t>
      </w:r>
      <w:r w:rsidR="003D1ADD">
        <w:rPr>
          <w:rFonts w:ascii="Times New Roman" w:hAnsi="Times New Roman" w:cs="Times New Roman"/>
          <w:sz w:val="24"/>
        </w:rPr>
        <w:t>rimárním právu</w:t>
      </w:r>
      <w:r w:rsidR="008028EF">
        <w:rPr>
          <w:rFonts w:ascii="Times New Roman" w:hAnsi="Times New Roman" w:cs="Times New Roman"/>
          <w:sz w:val="24"/>
        </w:rPr>
        <w:t>.</w:t>
      </w:r>
      <w:r w:rsidR="00C161C8">
        <w:rPr>
          <w:rStyle w:val="Znakapoznpodarou"/>
          <w:rFonts w:ascii="Times New Roman" w:hAnsi="Times New Roman" w:cs="Times New Roman"/>
          <w:sz w:val="24"/>
        </w:rPr>
        <w:footnoteReference w:id="66"/>
      </w:r>
      <w:r w:rsidR="008028EF">
        <w:rPr>
          <w:rFonts w:ascii="Times New Roman" w:hAnsi="Times New Roman" w:cs="Times New Roman"/>
          <w:sz w:val="24"/>
        </w:rPr>
        <w:t xml:space="preserve"> V</w:t>
      </w:r>
      <w:r w:rsidR="00C161C8">
        <w:rPr>
          <w:rFonts w:ascii="Times New Roman" w:hAnsi="Times New Roman" w:cs="Times New Roman"/>
          <w:sz w:val="24"/>
        </w:rPr>
        <w:t xml:space="preserve">znikla jako fórum pro výměnu informací mezi předmětnými parlamentními výbory, vyvinula se však v jakousi servisní instituci, která </w:t>
      </w:r>
      <w:r w:rsidR="00EC62ED">
        <w:rPr>
          <w:rFonts w:ascii="Times New Roman" w:hAnsi="Times New Roman" w:cs="Times New Roman"/>
          <w:sz w:val="24"/>
        </w:rPr>
        <w:t xml:space="preserve">má </w:t>
      </w:r>
      <w:r w:rsidR="00C161C8">
        <w:rPr>
          <w:rFonts w:ascii="Times New Roman" w:hAnsi="Times New Roman" w:cs="Times New Roman"/>
          <w:sz w:val="24"/>
        </w:rPr>
        <w:t>parlamentům napomáhat k zefektivnění jejich činností.</w:t>
      </w:r>
      <w:r w:rsidR="00C161C8">
        <w:rPr>
          <w:rStyle w:val="Znakapoznpodarou"/>
          <w:rFonts w:ascii="Times New Roman" w:hAnsi="Times New Roman" w:cs="Times New Roman"/>
          <w:sz w:val="24"/>
        </w:rPr>
        <w:footnoteReference w:id="67"/>
      </w:r>
      <w:r w:rsidR="00C161C8">
        <w:rPr>
          <w:rFonts w:ascii="Times New Roman" w:hAnsi="Times New Roman" w:cs="Times New Roman"/>
          <w:sz w:val="24"/>
        </w:rPr>
        <w:t xml:space="preserve"> V souvislosti s COSAC zmiňme ještě pololetní zprávy, které jsou založeny na tematických </w:t>
      </w:r>
      <w:r w:rsidR="00C161C8">
        <w:rPr>
          <w:rFonts w:ascii="Times New Roman" w:hAnsi="Times New Roman" w:cs="Times New Roman"/>
          <w:sz w:val="24"/>
        </w:rPr>
        <w:lastRenderedPageBreak/>
        <w:t>dotaznící</w:t>
      </w:r>
      <w:r w:rsidR="007C5326">
        <w:rPr>
          <w:rFonts w:ascii="Times New Roman" w:hAnsi="Times New Roman" w:cs="Times New Roman"/>
          <w:sz w:val="24"/>
        </w:rPr>
        <w:t>ch, na něž odpovídají</w:t>
      </w:r>
      <w:r w:rsidR="008452F0">
        <w:rPr>
          <w:rFonts w:ascii="Times New Roman" w:hAnsi="Times New Roman" w:cs="Times New Roman"/>
          <w:sz w:val="24"/>
        </w:rPr>
        <w:t xml:space="preserve"> parlamenty. Systém včasného varování</w:t>
      </w:r>
      <w:r w:rsidR="00C161C8">
        <w:rPr>
          <w:rFonts w:ascii="Times New Roman" w:hAnsi="Times New Roman" w:cs="Times New Roman"/>
          <w:sz w:val="24"/>
        </w:rPr>
        <w:t xml:space="preserve"> je </w:t>
      </w:r>
      <w:r w:rsidR="00BD45B8">
        <w:rPr>
          <w:rFonts w:ascii="Times New Roman" w:hAnsi="Times New Roman" w:cs="Times New Roman"/>
          <w:sz w:val="24"/>
        </w:rPr>
        <w:t>jejich častým tématem</w:t>
      </w:r>
      <w:r w:rsidR="00C161C8">
        <w:rPr>
          <w:rFonts w:ascii="Times New Roman" w:hAnsi="Times New Roman" w:cs="Times New Roman"/>
          <w:sz w:val="24"/>
        </w:rPr>
        <w:t>. Obecně jsou výstupy COSAC nezávazné, a to jak pro parlamenty, tak pro instituce EU.</w:t>
      </w:r>
      <w:r w:rsidR="00C161C8">
        <w:rPr>
          <w:rStyle w:val="Znakapoznpodarou"/>
          <w:rFonts w:ascii="Times New Roman" w:hAnsi="Times New Roman" w:cs="Times New Roman"/>
          <w:sz w:val="24"/>
        </w:rPr>
        <w:footnoteReference w:id="68"/>
      </w:r>
      <w:r w:rsidR="00587E7B">
        <w:rPr>
          <w:rFonts w:ascii="Times New Roman" w:hAnsi="Times New Roman" w:cs="Times New Roman"/>
          <w:sz w:val="24"/>
        </w:rPr>
        <w:t xml:space="preserve"> I přesto</w:t>
      </w:r>
      <w:r w:rsidR="00C161C8">
        <w:rPr>
          <w:rFonts w:ascii="Times New Roman" w:hAnsi="Times New Roman" w:cs="Times New Roman"/>
          <w:sz w:val="24"/>
        </w:rPr>
        <w:t xml:space="preserve"> </w:t>
      </w:r>
      <w:r w:rsidR="00831AED">
        <w:rPr>
          <w:rFonts w:ascii="Times New Roman" w:hAnsi="Times New Roman" w:cs="Times New Roman"/>
          <w:sz w:val="24"/>
        </w:rPr>
        <w:t xml:space="preserve">je možné konstatovat, že COSAC se svou </w:t>
      </w:r>
      <w:r w:rsidR="00C161C8">
        <w:rPr>
          <w:rFonts w:ascii="Times New Roman" w:hAnsi="Times New Roman" w:cs="Times New Roman"/>
          <w:sz w:val="24"/>
        </w:rPr>
        <w:t>konzultativní či poradní rol</w:t>
      </w:r>
      <w:r w:rsidR="00831AED">
        <w:rPr>
          <w:rFonts w:ascii="Times New Roman" w:hAnsi="Times New Roman" w:cs="Times New Roman"/>
          <w:sz w:val="24"/>
        </w:rPr>
        <w:t>í</w:t>
      </w:r>
      <w:r w:rsidR="00C161C8">
        <w:rPr>
          <w:rFonts w:ascii="Times New Roman" w:hAnsi="Times New Roman" w:cs="Times New Roman"/>
          <w:sz w:val="24"/>
        </w:rPr>
        <w:t xml:space="preserve"> přinesla a stále přináší určitou přidanou hodnotu, pokud jde o sdílení informací, zkušeností a osvědčených postupů</w:t>
      </w:r>
      <w:r w:rsidR="00C47822">
        <w:rPr>
          <w:rFonts w:ascii="Times New Roman" w:hAnsi="Times New Roman" w:cs="Times New Roman"/>
          <w:sz w:val="24"/>
        </w:rPr>
        <w:t xml:space="preserve">. </w:t>
      </w:r>
    </w:p>
    <w:p w:rsidR="00C161C8" w:rsidRDefault="00136186" w:rsidP="00117DDC">
      <w:pPr>
        <w:pStyle w:val="Nadpis2"/>
      </w:pPr>
      <w:bookmarkStart w:id="13" w:name="_Toc478235159"/>
      <w:r>
        <w:t>1.7</w:t>
      </w:r>
      <w:r w:rsidR="00A34756">
        <w:t xml:space="preserve"> </w:t>
      </w:r>
      <w:r w:rsidR="0003298F">
        <w:t>P</w:t>
      </w:r>
      <w:r w:rsidR="00C161C8" w:rsidRPr="003251D3">
        <w:t>arlamenty a transpozice směrnic</w:t>
      </w:r>
      <w:bookmarkEnd w:id="13"/>
    </w:p>
    <w:p w:rsidR="00117DDC" w:rsidRPr="003251D3" w:rsidRDefault="00117DDC" w:rsidP="00C161C8">
      <w:pPr>
        <w:jc w:val="both"/>
        <w:rPr>
          <w:rFonts w:ascii="Times New Roman" w:hAnsi="Times New Roman" w:cs="Times New Roman"/>
          <w:b/>
          <w:sz w:val="24"/>
        </w:rPr>
      </w:pPr>
    </w:p>
    <w:p w:rsidR="00C161C8" w:rsidRDefault="00C161C8" w:rsidP="0015186F">
      <w:pPr>
        <w:spacing w:after="0" w:line="360" w:lineRule="auto"/>
        <w:ind w:firstLine="708"/>
        <w:jc w:val="both"/>
      </w:pPr>
      <w:r w:rsidRPr="008E121F">
        <w:rPr>
          <w:rFonts w:ascii="Times New Roman" w:hAnsi="Times New Roman" w:cs="Times New Roman"/>
          <w:sz w:val="24"/>
        </w:rPr>
        <w:t>Zde se j</w:t>
      </w:r>
      <w:r w:rsidR="00EF2AE4">
        <w:rPr>
          <w:rFonts w:ascii="Times New Roman" w:hAnsi="Times New Roman" w:cs="Times New Roman"/>
          <w:sz w:val="24"/>
        </w:rPr>
        <w:t>iž</w:t>
      </w:r>
      <w:r w:rsidRPr="008E121F">
        <w:rPr>
          <w:rFonts w:ascii="Times New Roman" w:hAnsi="Times New Roman" w:cs="Times New Roman"/>
          <w:sz w:val="24"/>
        </w:rPr>
        <w:t xml:space="preserve"> dostáváme mimo str</w:t>
      </w:r>
      <w:r w:rsidR="009F3064">
        <w:rPr>
          <w:rFonts w:ascii="Times New Roman" w:hAnsi="Times New Roman" w:cs="Times New Roman"/>
          <w:sz w:val="24"/>
        </w:rPr>
        <w:t>ukturu čl. 12 SEU. Rovněž čl.</w:t>
      </w:r>
      <w:r w:rsidRPr="008E121F">
        <w:rPr>
          <w:rFonts w:ascii="Times New Roman" w:hAnsi="Times New Roman" w:cs="Times New Roman"/>
          <w:sz w:val="24"/>
        </w:rPr>
        <w:t xml:space="preserve"> 288 SFEU v souvislosti se směrnicemi výslovně nezmiňuje parlamenty, ale hovoří o závaznosti pro každý stát, jemuž je tento akt na cíl určen. Záleží tedy na národní právní úpravě a parlamenty se tak mnohdy do samotné</w:t>
      </w:r>
      <w:r w:rsidR="00C37696">
        <w:rPr>
          <w:rFonts w:ascii="Times New Roman" w:hAnsi="Times New Roman" w:cs="Times New Roman"/>
          <w:sz w:val="24"/>
        </w:rPr>
        <w:t xml:space="preserve"> transpozice ani nemusí zapojit. T</w:t>
      </w:r>
      <w:r w:rsidRPr="008E121F">
        <w:rPr>
          <w:rFonts w:ascii="Times New Roman" w:hAnsi="Times New Roman" w:cs="Times New Roman"/>
          <w:sz w:val="24"/>
        </w:rPr>
        <w:t xml:space="preserve">a </w:t>
      </w:r>
      <w:r w:rsidR="00576EFC">
        <w:rPr>
          <w:rFonts w:ascii="Times New Roman" w:hAnsi="Times New Roman" w:cs="Times New Roman"/>
          <w:sz w:val="24"/>
        </w:rPr>
        <w:t>může proběhnout</w:t>
      </w:r>
      <w:r w:rsidRPr="008E121F">
        <w:rPr>
          <w:rFonts w:ascii="Times New Roman" w:hAnsi="Times New Roman" w:cs="Times New Roman"/>
          <w:sz w:val="24"/>
        </w:rPr>
        <w:t xml:space="preserve"> podzákonným předpisem.</w:t>
      </w:r>
      <w:r w:rsidRPr="008E121F">
        <w:rPr>
          <w:rStyle w:val="Znakapoznpodarou"/>
          <w:rFonts w:ascii="Times New Roman" w:hAnsi="Times New Roman" w:cs="Times New Roman"/>
          <w:sz w:val="24"/>
        </w:rPr>
        <w:footnoteReference w:id="69"/>
      </w:r>
      <w:r w:rsidRPr="008E121F">
        <w:rPr>
          <w:rFonts w:ascii="Times New Roman" w:hAnsi="Times New Roman" w:cs="Times New Roman"/>
          <w:sz w:val="24"/>
        </w:rPr>
        <w:t xml:space="preserve"> </w:t>
      </w:r>
    </w:p>
    <w:p w:rsidR="00C161C8" w:rsidRDefault="00C161C8" w:rsidP="0015186F">
      <w:pPr>
        <w:spacing w:after="0" w:line="360" w:lineRule="auto"/>
        <w:ind w:firstLine="708"/>
        <w:jc w:val="both"/>
      </w:pPr>
      <w:r w:rsidRPr="00C6180D">
        <w:rPr>
          <w:rFonts w:ascii="Times New Roman" w:hAnsi="Times New Roman" w:cs="Times New Roman"/>
          <w:sz w:val="24"/>
        </w:rPr>
        <w:t>Pokud s</w:t>
      </w:r>
      <w:r>
        <w:rPr>
          <w:rFonts w:ascii="Times New Roman" w:hAnsi="Times New Roman" w:cs="Times New Roman"/>
          <w:sz w:val="24"/>
        </w:rPr>
        <w:t>e již parlamenty</w:t>
      </w:r>
      <w:r w:rsidRPr="00C6180D">
        <w:rPr>
          <w:rFonts w:ascii="Times New Roman" w:hAnsi="Times New Roman" w:cs="Times New Roman"/>
          <w:sz w:val="24"/>
        </w:rPr>
        <w:t xml:space="preserve"> do transpozice směrnic zapojí, lze se setkat s tvrzeními, že právě ony jsou zdrojem nesprávné či pozdní transpozice.</w:t>
      </w:r>
      <w:r w:rsidRPr="00C6180D">
        <w:rPr>
          <w:rStyle w:val="Znakapoznpodarou"/>
          <w:rFonts w:ascii="Times New Roman" w:hAnsi="Times New Roman" w:cs="Times New Roman"/>
          <w:sz w:val="24"/>
        </w:rPr>
        <w:footnoteReference w:id="70"/>
      </w:r>
      <w:r w:rsidRPr="00C6180D">
        <w:rPr>
          <w:rFonts w:ascii="Times New Roman" w:hAnsi="Times New Roman" w:cs="Times New Roman"/>
          <w:sz w:val="24"/>
        </w:rPr>
        <w:t xml:space="preserve"> Pokud jde o druhý jmenovaný jev, </w:t>
      </w:r>
      <w:r w:rsidR="00206866">
        <w:rPr>
          <w:rFonts w:ascii="Times New Roman" w:hAnsi="Times New Roman" w:cs="Times New Roman"/>
          <w:sz w:val="24"/>
        </w:rPr>
        <w:t>ukazuje se</w:t>
      </w:r>
      <w:r w:rsidRPr="00C6180D">
        <w:rPr>
          <w:rFonts w:ascii="Times New Roman" w:hAnsi="Times New Roman" w:cs="Times New Roman"/>
          <w:sz w:val="24"/>
        </w:rPr>
        <w:t xml:space="preserve">, že parlamenty nutně nejsou zdrojem zpoždění a je dobré se zaměřit na kvalitu a rychlost předcházející činnosti exekutiv. Pravděpodobnost zpoždění se ale může zvyšovat </w:t>
      </w:r>
      <w:r w:rsidR="00AF0A31">
        <w:rPr>
          <w:rFonts w:ascii="Times New Roman" w:hAnsi="Times New Roman" w:cs="Times New Roman"/>
          <w:sz w:val="24"/>
        </w:rPr>
        <w:t xml:space="preserve">se zapojením druhých komor či </w:t>
      </w:r>
      <w:r w:rsidRPr="00C6180D">
        <w:rPr>
          <w:rFonts w:ascii="Times New Roman" w:hAnsi="Times New Roman" w:cs="Times New Roman"/>
          <w:sz w:val="24"/>
        </w:rPr>
        <w:t>u témat, která přitahují více politického i společenského zájmu.</w:t>
      </w:r>
      <w:r>
        <w:rPr>
          <w:rStyle w:val="Znakapoznpodarou"/>
        </w:rPr>
        <w:footnoteReference w:id="71"/>
      </w:r>
    </w:p>
    <w:p w:rsidR="00C161C8" w:rsidRDefault="006B1233" w:rsidP="00260747">
      <w:pPr>
        <w:spacing w:line="360" w:lineRule="auto"/>
        <w:ind w:firstLine="708"/>
        <w:jc w:val="both"/>
        <w:rPr>
          <w:rFonts w:ascii="Times New Roman" w:hAnsi="Times New Roman" w:cs="Times New Roman"/>
          <w:sz w:val="24"/>
        </w:rPr>
      </w:pPr>
      <w:r>
        <w:rPr>
          <w:rFonts w:ascii="Times New Roman" w:hAnsi="Times New Roman" w:cs="Times New Roman"/>
          <w:sz w:val="24"/>
        </w:rPr>
        <w:t>P</w:t>
      </w:r>
      <w:r w:rsidR="00C161C8">
        <w:rPr>
          <w:rFonts w:ascii="Times New Roman" w:hAnsi="Times New Roman" w:cs="Times New Roman"/>
          <w:sz w:val="24"/>
        </w:rPr>
        <w:t>odkapitolu uzavřeme</w:t>
      </w:r>
      <w:r w:rsidR="00C161C8" w:rsidRPr="000A3FF3">
        <w:rPr>
          <w:rFonts w:ascii="Times New Roman" w:hAnsi="Times New Roman" w:cs="Times New Roman"/>
          <w:sz w:val="24"/>
        </w:rPr>
        <w:t xml:space="preserve"> konstatováním, že i přes existenci směrnic, které nejsou podrobné a jsou aktem na cíl v ryzím slova smyslu, je třeba tuto činnost parlamentů chápat v první řadě jako povinnos</w:t>
      </w:r>
      <w:r w:rsidR="00C161C8">
        <w:rPr>
          <w:rFonts w:ascii="Times New Roman" w:hAnsi="Times New Roman" w:cs="Times New Roman"/>
          <w:sz w:val="24"/>
        </w:rPr>
        <w:t>t vyhovět unijnímu právu v</w:t>
      </w:r>
      <w:r w:rsidR="00C161C8" w:rsidRPr="000A3FF3">
        <w:rPr>
          <w:rFonts w:ascii="Times New Roman" w:hAnsi="Times New Roman" w:cs="Times New Roman"/>
          <w:sz w:val="24"/>
        </w:rPr>
        <w:t xml:space="preserve"> daných limitech. O to více je třeba soustředit se na aktivity, kdy parlamenty nejsou jedním z posledních článků, ale mohou unijní legislativní proces </w:t>
      </w:r>
      <w:r w:rsidR="00C161C8">
        <w:rPr>
          <w:rFonts w:ascii="Times New Roman" w:hAnsi="Times New Roman" w:cs="Times New Roman"/>
          <w:sz w:val="24"/>
        </w:rPr>
        <w:t xml:space="preserve">ovlivnit </w:t>
      </w:r>
      <w:r w:rsidR="00010C8A">
        <w:rPr>
          <w:rFonts w:ascii="Times New Roman" w:hAnsi="Times New Roman" w:cs="Times New Roman"/>
          <w:sz w:val="24"/>
        </w:rPr>
        <w:t>dříve.</w:t>
      </w:r>
    </w:p>
    <w:p w:rsidR="00553AB4" w:rsidRDefault="00553AB4" w:rsidP="00260747">
      <w:pPr>
        <w:spacing w:line="360" w:lineRule="auto"/>
        <w:ind w:firstLine="708"/>
        <w:jc w:val="both"/>
        <w:rPr>
          <w:rFonts w:ascii="Times New Roman" w:hAnsi="Times New Roman" w:cs="Times New Roman"/>
          <w:sz w:val="24"/>
        </w:rPr>
      </w:pPr>
    </w:p>
    <w:p w:rsidR="00553AB4" w:rsidRDefault="00553AB4" w:rsidP="00260747">
      <w:pPr>
        <w:spacing w:line="360" w:lineRule="auto"/>
        <w:ind w:firstLine="708"/>
        <w:jc w:val="both"/>
        <w:rPr>
          <w:rFonts w:ascii="Times New Roman" w:hAnsi="Times New Roman" w:cs="Times New Roman"/>
          <w:sz w:val="24"/>
        </w:rPr>
      </w:pPr>
    </w:p>
    <w:p w:rsidR="00553AB4" w:rsidRDefault="00553AB4" w:rsidP="00260747">
      <w:pPr>
        <w:spacing w:line="360" w:lineRule="auto"/>
        <w:ind w:firstLine="708"/>
        <w:jc w:val="both"/>
        <w:rPr>
          <w:rFonts w:ascii="Times New Roman" w:hAnsi="Times New Roman" w:cs="Times New Roman"/>
          <w:sz w:val="24"/>
        </w:rPr>
      </w:pPr>
    </w:p>
    <w:p w:rsidR="00913430" w:rsidRPr="00260747" w:rsidRDefault="00913430" w:rsidP="00260747">
      <w:pPr>
        <w:spacing w:line="360" w:lineRule="auto"/>
        <w:ind w:firstLine="708"/>
        <w:jc w:val="both"/>
        <w:rPr>
          <w:rFonts w:ascii="Times New Roman" w:hAnsi="Times New Roman" w:cs="Times New Roman"/>
          <w:sz w:val="24"/>
        </w:rPr>
      </w:pPr>
    </w:p>
    <w:p w:rsidR="00C161C8" w:rsidRDefault="00F33B73" w:rsidP="00117DDC">
      <w:pPr>
        <w:pStyle w:val="Nadpis2"/>
      </w:pPr>
      <w:bookmarkStart w:id="14" w:name="_Toc478235160"/>
      <w:r>
        <w:lastRenderedPageBreak/>
        <w:t>1.8</w:t>
      </w:r>
      <w:r w:rsidR="00902F1B">
        <w:t xml:space="preserve"> </w:t>
      </w:r>
      <w:r w:rsidR="002B0EFB">
        <w:t>P</w:t>
      </w:r>
      <w:r w:rsidR="00C161C8">
        <w:t>arlamenty a kontrola</w:t>
      </w:r>
      <w:r w:rsidR="00C161C8" w:rsidRPr="00A17B3F">
        <w:t xml:space="preserve"> vlád</w:t>
      </w:r>
      <w:r w:rsidR="00C161C8">
        <w:t xml:space="preserve"> a jejich členů</w:t>
      </w:r>
      <w:bookmarkEnd w:id="14"/>
    </w:p>
    <w:p w:rsidR="00117DDC" w:rsidRDefault="00117DDC" w:rsidP="00C161C8">
      <w:pPr>
        <w:jc w:val="both"/>
        <w:rPr>
          <w:rFonts w:ascii="Times New Roman" w:hAnsi="Times New Roman" w:cs="Times New Roman"/>
          <w:b/>
          <w:sz w:val="24"/>
        </w:rPr>
      </w:pPr>
    </w:p>
    <w:p w:rsidR="00C161C8" w:rsidRDefault="00C161C8" w:rsidP="0015186F">
      <w:pPr>
        <w:spacing w:after="0" w:line="360" w:lineRule="auto"/>
        <w:ind w:firstLine="708"/>
        <w:jc w:val="both"/>
        <w:rPr>
          <w:rFonts w:ascii="Times New Roman" w:hAnsi="Times New Roman" w:cs="Times New Roman"/>
          <w:i/>
          <w:sz w:val="24"/>
        </w:rPr>
      </w:pPr>
      <w:r w:rsidRPr="00560182">
        <w:rPr>
          <w:rFonts w:ascii="Times New Roman" w:hAnsi="Times New Roman" w:cs="Times New Roman"/>
          <w:i/>
          <w:sz w:val="24"/>
        </w:rPr>
        <w:t>„Členské státy jsou zastoupeny v Evropské radě svými hlavami států nebo předsedy vlád a v Radě svými vládami, kteří jsou demokraticky odpovědni buď svým vnitrostátním parlamentům, nebo svým občanům.“</w:t>
      </w:r>
      <w:r>
        <w:rPr>
          <w:rStyle w:val="Znakapoznpodarou"/>
          <w:rFonts w:ascii="Times New Roman" w:hAnsi="Times New Roman" w:cs="Times New Roman"/>
          <w:i/>
          <w:sz w:val="24"/>
        </w:rPr>
        <w:footnoteReference w:id="72"/>
      </w:r>
    </w:p>
    <w:p w:rsidR="00C161C8" w:rsidRDefault="00C161C8" w:rsidP="0015186F">
      <w:pPr>
        <w:spacing w:after="0" w:line="360" w:lineRule="auto"/>
        <w:ind w:firstLine="708"/>
        <w:jc w:val="both"/>
        <w:rPr>
          <w:rFonts w:ascii="Times New Roman" w:hAnsi="Times New Roman" w:cs="Times New Roman"/>
          <w:i/>
          <w:sz w:val="24"/>
        </w:rPr>
      </w:pPr>
      <w:r w:rsidRPr="002D479C">
        <w:rPr>
          <w:rFonts w:ascii="Times New Roman" w:hAnsi="Times New Roman" w:cs="Times New Roman"/>
          <w:sz w:val="24"/>
        </w:rPr>
        <w:t>Zatímco v</w:t>
      </w:r>
      <w:r>
        <w:rPr>
          <w:rFonts w:ascii="Times New Roman" w:hAnsi="Times New Roman" w:cs="Times New Roman"/>
          <w:sz w:val="24"/>
        </w:rPr>
        <w:t> </w:t>
      </w:r>
      <w:r w:rsidRPr="002D479C">
        <w:rPr>
          <w:rFonts w:ascii="Times New Roman" w:hAnsi="Times New Roman" w:cs="Times New Roman"/>
          <w:sz w:val="24"/>
        </w:rPr>
        <w:t>příp</w:t>
      </w:r>
      <w:r w:rsidR="0072495E">
        <w:rPr>
          <w:rFonts w:ascii="Times New Roman" w:hAnsi="Times New Roman" w:cs="Times New Roman"/>
          <w:sz w:val="24"/>
        </w:rPr>
        <w:t>adě systému včasného varování</w:t>
      </w:r>
      <w:r w:rsidRPr="002D479C">
        <w:rPr>
          <w:rFonts w:ascii="Times New Roman" w:hAnsi="Times New Roman" w:cs="Times New Roman"/>
          <w:sz w:val="24"/>
        </w:rPr>
        <w:t xml:space="preserve"> jde o kontrolu kolektivní</w:t>
      </w:r>
      <w:r>
        <w:rPr>
          <w:rFonts w:ascii="Times New Roman" w:hAnsi="Times New Roman" w:cs="Times New Roman"/>
          <w:sz w:val="24"/>
        </w:rPr>
        <w:t xml:space="preserve">, </w:t>
      </w:r>
      <w:r w:rsidR="00740C5A">
        <w:rPr>
          <w:rFonts w:ascii="Times New Roman" w:hAnsi="Times New Roman" w:cs="Times New Roman"/>
          <w:sz w:val="24"/>
        </w:rPr>
        <w:t>zde pojednáváme</w:t>
      </w:r>
      <w:r>
        <w:rPr>
          <w:rFonts w:ascii="Times New Roman" w:hAnsi="Times New Roman" w:cs="Times New Roman"/>
          <w:sz w:val="24"/>
        </w:rPr>
        <w:t xml:space="preserve"> o té individuální, někde nazývané jako vnitřní. Ta vychází ze vztahu závislosti vlády na důvěře či toleranci ze strany parlamentu. Obecně parlamenty mohou, pokud jde o evropské záležitosti, využít běžné kontrolní pravomoci, jež mají k dispozici i pro jiné oblasti. V preambuli protok</w:t>
      </w:r>
      <w:r w:rsidR="009E7DB0">
        <w:rPr>
          <w:rFonts w:ascii="Times New Roman" w:hAnsi="Times New Roman" w:cs="Times New Roman"/>
          <w:sz w:val="24"/>
        </w:rPr>
        <w:t>olu č. 1 je pak</w:t>
      </w:r>
      <w:r>
        <w:rPr>
          <w:rFonts w:ascii="Times New Roman" w:hAnsi="Times New Roman" w:cs="Times New Roman"/>
          <w:sz w:val="24"/>
        </w:rPr>
        <w:t xml:space="preserve"> řečeno, „</w:t>
      </w:r>
      <w:r w:rsidRPr="00052FBC">
        <w:rPr>
          <w:rFonts w:ascii="Times New Roman" w:hAnsi="Times New Roman" w:cs="Times New Roman"/>
          <w:i/>
          <w:sz w:val="24"/>
        </w:rPr>
        <w:t>že způsob kontroly vlád vnitrostátními parlamenty, pokud jde o činnosti Evropské unie, je záležitostí ústavního uspořádání a praxe každého členského státu</w:t>
      </w:r>
      <w:r w:rsidR="00B82F30">
        <w:rPr>
          <w:rFonts w:ascii="Times New Roman" w:hAnsi="Times New Roman" w:cs="Times New Roman"/>
          <w:i/>
          <w:sz w:val="24"/>
        </w:rPr>
        <w:t>.“</w:t>
      </w:r>
      <w:r>
        <w:rPr>
          <w:rStyle w:val="Znakapoznpodarou"/>
          <w:rFonts w:ascii="Times New Roman" w:hAnsi="Times New Roman" w:cs="Times New Roman"/>
          <w:i/>
          <w:sz w:val="24"/>
        </w:rPr>
        <w:footnoteReference w:id="73"/>
      </w:r>
      <w:r w:rsidRPr="00052FBC">
        <w:rPr>
          <w:rFonts w:ascii="Times New Roman" w:hAnsi="Times New Roman" w:cs="Times New Roman"/>
          <w:i/>
          <w:sz w:val="24"/>
        </w:rPr>
        <w:t xml:space="preserve"> </w:t>
      </w:r>
    </w:p>
    <w:p w:rsidR="00C161C8" w:rsidRDefault="00C161C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Přes</w:t>
      </w:r>
      <w:r w:rsidR="00D7446D">
        <w:rPr>
          <w:rFonts w:ascii="Times New Roman" w:hAnsi="Times New Roman" w:cs="Times New Roman"/>
          <w:sz w:val="24"/>
        </w:rPr>
        <w:t>tože</w:t>
      </w:r>
      <w:r>
        <w:rPr>
          <w:rFonts w:ascii="Times New Roman" w:hAnsi="Times New Roman" w:cs="Times New Roman"/>
          <w:sz w:val="24"/>
        </w:rPr>
        <w:t xml:space="preserve"> jakékoli rozhodnutí vlády týkající se záležitostí spojených s EU může být předmětem parlamentní kontroly</w:t>
      </w:r>
      <w:r w:rsidR="00156133">
        <w:rPr>
          <w:rFonts w:ascii="Times New Roman" w:hAnsi="Times New Roman" w:cs="Times New Roman"/>
          <w:sz w:val="24"/>
        </w:rPr>
        <w:t>,</w:t>
      </w:r>
      <w:r>
        <w:rPr>
          <w:rStyle w:val="Znakapoznpodarou"/>
          <w:rFonts w:ascii="Times New Roman" w:hAnsi="Times New Roman" w:cs="Times New Roman"/>
          <w:sz w:val="24"/>
        </w:rPr>
        <w:footnoteReference w:id="74"/>
      </w:r>
      <w:r>
        <w:rPr>
          <w:rFonts w:ascii="Times New Roman" w:hAnsi="Times New Roman" w:cs="Times New Roman"/>
          <w:sz w:val="24"/>
        </w:rPr>
        <w:t xml:space="preserve"> je největší pozornost obvykle věnována kontrole členů vlády účastnících se jednání a hlasování v Radě.</w:t>
      </w:r>
      <w:r>
        <w:rPr>
          <w:rStyle w:val="Znakapoznpodarou"/>
          <w:rFonts w:ascii="Times New Roman" w:hAnsi="Times New Roman" w:cs="Times New Roman"/>
          <w:sz w:val="24"/>
        </w:rPr>
        <w:footnoteReference w:id="75"/>
      </w:r>
      <w:r>
        <w:rPr>
          <w:rFonts w:ascii="Times New Roman" w:hAnsi="Times New Roman" w:cs="Times New Roman"/>
          <w:sz w:val="24"/>
        </w:rPr>
        <w:t xml:space="preserve"> </w:t>
      </w:r>
      <w:r w:rsidR="00FC6421">
        <w:rPr>
          <w:rFonts w:ascii="Times New Roman" w:hAnsi="Times New Roman" w:cs="Times New Roman"/>
          <w:sz w:val="24"/>
        </w:rPr>
        <w:t>Právě tato kontrola</w:t>
      </w:r>
      <w:r>
        <w:rPr>
          <w:rFonts w:ascii="Times New Roman" w:hAnsi="Times New Roman" w:cs="Times New Roman"/>
          <w:sz w:val="24"/>
        </w:rPr>
        <w:t xml:space="preserve"> byla před přijetím LS označována jako prim</w:t>
      </w:r>
      <w:r w:rsidR="006D3722">
        <w:rPr>
          <w:rFonts w:ascii="Times New Roman" w:hAnsi="Times New Roman" w:cs="Times New Roman"/>
          <w:sz w:val="24"/>
        </w:rPr>
        <w:t>ární role parlamentů. A přesto</w:t>
      </w:r>
      <w:r>
        <w:rPr>
          <w:rFonts w:ascii="Times New Roman" w:hAnsi="Times New Roman" w:cs="Times New Roman"/>
          <w:sz w:val="24"/>
        </w:rPr>
        <w:t>že LS naznačuje, že nově by nejdůležitější úlohou parlamentů</w:t>
      </w:r>
      <w:r w:rsidR="00676399">
        <w:rPr>
          <w:rFonts w:ascii="Times New Roman" w:hAnsi="Times New Roman" w:cs="Times New Roman"/>
          <w:sz w:val="24"/>
        </w:rPr>
        <w:t xml:space="preserve"> měla být ko</w:t>
      </w:r>
      <w:r w:rsidR="000C5432">
        <w:rPr>
          <w:rFonts w:ascii="Times New Roman" w:hAnsi="Times New Roman" w:cs="Times New Roman"/>
          <w:sz w:val="24"/>
        </w:rPr>
        <w:t>lektivní kontrola v rámci systému včasného varování,</w:t>
      </w:r>
      <w:r>
        <w:rPr>
          <w:rStyle w:val="Znakapoznpodarou"/>
          <w:rFonts w:ascii="Times New Roman" w:hAnsi="Times New Roman" w:cs="Times New Roman"/>
          <w:sz w:val="24"/>
        </w:rPr>
        <w:footnoteReference w:id="76"/>
      </w:r>
      <w:r>
        <w:rPr>
          <w:rFonts w:ascii="Times New Roman" w:hAnsi="Times New Roman" w:cs="Times New Roman"/>
          <w:sz w:val="24"/>
        </w:rPr>
        <w:t xml:space="preserve"> neznamená to automaticky změnu priorit jednotlivých parlamentů.</w:t>
      </w:r>
      <w:r>
        <w:rPr>
          <w:rStyle w:val="Znakapoznpodarou"/>
          <w:rFonts w:ascii="Times New Roman" w:hAnsi="Times New Roman" w:cs="Times New Roman"/>
          <w:sz w:val="24"/>
        </w:rPr>
        <w:footnoteReference w:id="77"/>
      </w:r>
      <w:r>
        <w:rPr>
          <w:rFonts w:ascii="Times New Roman" w:hAnsi="Times New Roman" w:cs="Times New Roman"/>
          <w:sz w:val="24"/>
        </w:rPr>
        <w:t xml:space="preserve"> Ty patrně stále přiklá</w:t>
      </w:r>
      <w:r w:rsidR="008D4002">
        <w:rPr>
          <w:rFonts w:ascii="Times New Roman" w:hAnsi="Times New Roman" w:cs="Times New Roman"/>
          <w:sz w:val="24"/>
        </w:rPr>
        <w:t>dají větší význam kontrole vlád, respektive jeji</w:t>
      </w:r>
      <w:r>
        <w:rPr>
          <w:rFonts w:ascii="Times New Roman" w:hAnsi="Times New Roman" w:cs="Times New Roman"/>
          <w:sz w:val="24"/>
        </w:rPr>
        <w:t>ch členů.</w:t>
      </w:r>
      <w:r>
        <w:rPr>
          <w:rStyle w:val="Znakapoznpodarou"/>
          <w:rFonts w:ascii="Times New Roman" w:hAnsi="Times New Roman" w:cs="Times New Roman"/>
          <w:sz w:val="24"/>
        </w:rPr>
        <w:footnoteReference w:id="78"/>
      </w:r>
    </w:p>
    <w:p w:rsidR="00C161C8" w:rsidRDefault="00C161C8" w:rsidP="0015186F">
      <w:pPr>
        <w:spacing w:after="0" w:line="360" w:lineRule="auto"/>
        <w:ind w:firstLine="708"/>
        <w:jc w:val="both"/>
        <w:rPr>
          <w:rFonts w:ascii="Times New Roman" w:hAnsi="Times New Roman" w:cs="Times New Roman"/>
          <w:sz w:val="24"/>
        </w:rPr>
      </w:pPr>
      <w:r>
        <w:rPr>
          <w:rFonts w:ascii="Times New Roman" w:hAnsi="Times New Roman" w:cs="Times New Roman"/>
          <w:sz w:val="24"/>
        </w:rPr>
        <w:t>Pok</w:t>
      </w:r>
      <w:r w:rsidR="006D3722">
        <w:rPr>
          <w:rFonts w:ascii="Times New Roman" w:hAnsi="Times New Roman" w:cs="Times New Roman"/>
          <w:sz w:val="24"/>
        </w:rPr>
        <w:t>ud jde o konkrétní praktiky, které</w:t>
      </w:r>
      <w:r>
        <w:rPr>
          <w:rFonts w:ascii="Times New Roman" w:hAnsi="Times New Roman" w:cs="Times New Roman"/>
          <w:sz w:val="24"/>
        </w:rPr>
        <w:t xml:space="preserve"> parlamenty využívají, lze v zásadě identifikovat dvě hlavní. První je snaha o ovlivnění pozice pro jednání v Radě, druhou je využití institutu parlamentní výhrady. V prvním případě některé parlamenty či typicky jejich výbory pro evropské zál</w:t>
      </w:r>
      <w:r w:rsidR="001C03B9">
        <w:rPr>
          <w:rFonts w:ascii="Times New Roman" w:hAnsi="Times New Roman" w:cs="Times New Roman"/>
          <w:sz w:val="24"/>
        </w:rPr>
        <w:t>ežitosti předávají vládě</w:t>
      </w:r>
      <w:r>
        <w:rPr>
          <w:rFonts w:ascii="Times New Roman" w:hAnsi="Times New Roman" w:cs="Times New Roman"/>
          <w:sz w:val="24"/>
        </w:rPr>
        <w:t xml:space="preserve"> stanoviska, </w:t>
      </w:r>
      <w:r w:rsidR="001C03B9">
        <w:rPr>
          <w:rFonts w:ascii="Times New Roman" w:hAnsi="Times New Roman" w:cs="Times New Roman"/>
          <w:sz w:val="24"/>
        </w:rPr>
        <w:t xml:space="preserve">která se </w:t>
      </w:r>
      <w:r w:rsidR="00D31D04">
        <w:rPr>
          <w:rFonts w:ascii="Times New Roman" w:hAnsi="Times New Roman" w:cs="Times New Roman"/>
          <w:sz w:val="24"/>
        </w:rPr>
        <w:t>vztahují</w:t>
      </w:r>
      <w:r>
        <w:rPr>
          <w:rFonts w:ascii="Times New Roman" w:hAnsi="Times New Roman" w:cs="Times New Roman"/>
          <w:sz w:val="24"/>
        </w:rPr>
        <w:t xml:space="preserve"> k pr</w:t>
      </w:r>
      <w:r w:rsidR="00EE4C4B">
        <w:rPr>
          <w:rFonts w:ascii="Times New Roman" w:hAnsi="Times New Roman" w:cs="Times New Roman"/>
          <w:sz w:val="24"/>
        </w:rPr>
        <w:t xml:space="preserve">ojednávaným unijním dokumentům nebo přímo k </w:t>
      </w:r>
      <w:r>
        <w:rPr>
          <w:rFonts w:ascii="Times New Roman" w:hAnsi="Times New Roman" w:cs="Times New Roman"/>
          <w:sz w:val="24"/>
        </w:rPr>
        <w:t>poz</w:t>
      </w:r>
      <w:r w:rsidR="00976481">
        <w:rPr>
          <w:rFonts w:ascii="Times New Roman" w:hAnsi="Times New Roman" w:cs="Times New Roman"/>
          <w:sz w:val="24"/>
        </w:rPr>
        <w:t>ici vlády. Rozdíly lze nalézt,</w:t>
      </w:r>
      <w:r>
        <w:rPr>
          <w:rFonts w:ascii="Times New Roman" w:hAnsi="Times New Roman" w:cs="Times New Roman"/>
          <w:sz w:val="24"/>
        </w:rPr>
        <w:t xml:space="preserve"> pokud</w:t>
      </w:r>
      <w:r w:rsidR="00226CA9">
        <w:rPr>
          <w:rFonts w:ascii="Times New Roman" w:hAnsi="Times New Roman" w:cs="Times New Roman"/>
          <w:sz w:val="24"/>
        </w:rPr>
        <w:t xml:space="preserve"> jde o závaznost.</w:t>
      </w:r>
      <w:r>
        <w:rPr>
          <w:rFonts w:ascii="Times New Roman" w:hAnsi="Times New Roman" w:cs="Times New Roman"/>
          <w:sz w:val="24"/>
        </w:rPr>
        <w:t xml:space="preserve"> Zatímco někde je vláda názorem parlamentu právně či z hlediska politické praxe vázána, jinde tomu tak není a jde spíše o nezávaznou konzultaci či doporučení. V případě parlamentní výhrady pak jde obecně o nemožnost člena vlády hlasovat v Radě před tím, než je dokončeno projednávání </w:t>
      </w:r>
      <w:r>
        <w:rPr>
          <w:rFonts w:ascii="Times New Roman" w:hAnsi="Times New Roman" w:cs="Times New Roman"/>
          <w:sz w:val="24"/>
        </w:rPr>
        <w:lastRenderedPageBreak/>
        <w:t>záležitosti v parlamentu.</w:t>
      </w:r>
      <w:r>
        <w:rPr>
          <w:rStyle w:val="Znakapoznpodarou"/>
          <w:rFonts w:ascii="Times New Roman" w:hAnsi="Times New Roman" w:cs="Times New Roman"/>
          <w:sz w:val="24"/>
        </w:rPr>
        <w:footnoteReference w:id="79"/>
      </w:r>
      <w:r>
        <w:rPr>
          <w:rFonts w:ascii="Times New Roman" w:hAnsi="Times New Roman" w:cs="Times New Roman"/>
          <w:sz w:val="24"/>
        </w:rPr>
        <w:t xml:space="preserve"> V jednotlivých parlamentech se objevují různé kombi</w:t>
      </w:r>
      <w:r w:rsidR="00B6238F">
        <w:rPr>
          <w:rFonts w:ascii="Times New Roman" w:hAnsi="Times New Roman" w:cs="Times New Roman"/>
          <w:sz w:val="24"/>
        </w:rPr>
        <w:t xml:space="preserve">nace </w:t>
      </w:r>
      <w:r w:rsidR="001669E6">
        <w:rPr>
          <w:rFonts w:ascii="Times New Roman" w:hAnsi="Times New Roman" w:cs="Times New Roman"/>
          <w:sz w:val="24"/>
        </w:rPr>
        <w:t>uvedených</w:t>
      </w:r>
      <w:r>
        <w:rPr>
          <w:rFonts w:ascii="Times New Roman" w:hAnsi="Times New Roman" w:cs="Times New Roman"/>
          <w:sz w:val="24"/>
        </w:rPr>
        <w:t>. Na základě těchto kombinací a reálného fungování lze pak dle rozmanitých kritérií provádět klasifikace parlamentů a označovat je za silné či slabé v řešené kontrole.</w:t>
      </w:r>
      <w:r>
        <w:rPr>
          <w:rStyle w:val="Znakapoznpodarou"/>
          <w:rFonts w:ascii="Times New Roman" w:hAnsi="Times New Roman" w:cs="Times New Roman"/>
          <w:sz w:val="24"/>
        </w:rPr>
        <w:footnoteReference w:id="80"/>
      </w:r>
      <w:r>
        <w:rPr>
          <w:rFonts w:ascii="Times New Roman" w:hAnsi="Times New Roman" w:cs="Times New Roman"/>
          <w:sz w:val="24"/>
        </w:rPr>
        <w:t xml:space="preserve"> </w:t>
      </w:r>
    </w:p>
    <w:p w:rsidR="00C161C8" w:rsidRPr="006E3449" w:rsidRDefault="003E298A" w:rsidP="00277154">
      <w:pPr>
        <w:spacing w:line="360" w:lineRule="auto"/>
        <w:ind w:firstLine="708"/>
        <w:jc w:val="both"/>
        <w:rPr>
          <w:rFonts w:ascii="Times New Roman" w:hAnsi="Times New Roman" w:cs="Times New Roman"/>
          <w:sz w:val="24"/>
        </w:rPr>
      </w:pPr>
      <w:r>
        <w:rPr>
          <w:rFonts w:ascii="Times New Roman" w:hAnsi="Times New Roman" w:cs="Times New Roman"/>
          <w:sz w:val="24"/>
        </w:rPr>
        <w:t>V oblastech</w:t>
      </w:r>
      <w:r w:rsidR="00C161C8">
        <w:rPr>
          <w:rFonts w:ascii="Times New Roman" w:hAnsi="Times New Roman" w:cs="Times New Roman"/>
          <w:sz w:val="24"/>
        </w:rPr>
        <w:t>, kde je rozhodováno většinově, nemusí mít</w:t>
      </w:r>
      <w:r w:rsidR="008C47A8">
        <w:rPr>
          <w:rFonts w:ascii="Times New Roman" w:hAnsi="Times New Roman" w:cs="Times New Roman"/>
          <w:sz w:val="24"/>
        </w:rPr>
        <w:t xml:space="preserve"> ani parlamenty s nejsilnější </w:t>
      </w:r>
      <w:r w:rsidR="00C161C8">
        <w:rPr>
          <w:rFonts w:ascii="Times New Roman" w:hAnsi="Times New Roman" w:cs="Times New Roman"/>
          <w:sz w:val="24"/>
        </w:rPr>
        <w:t>individuální kontrolou na konečný výsledek na unijní úrovni žádný vliv. Lze tak souhlasit s </w:t>
      </w:r>
      <w:proofErr w:type="spellStart"/>
      <w:r w:rsidR="00C161C8">
        <w:rPr>
          <w:rFonts w:ascii="Times New Roman" w:hAnsi="Times New Roman" w:cs="Times New Roman"/>
          <w:sz w:val="24"/>
        </w:rPr>
        <w:t>Cyganem</w:t>
      </w:r>
      <w:proofErr w:type="spellEnd"/>
      <w:r w:rsidR="00C161C8">
        <w:rPr>
          <w:rFonts w:ascii="Times New Roman" w:hAnsi="Times New Roman" w:cs="Times New Roman"/>
          <w:sz w:val="24"/>
        </w:rPr>
        <w:t xml:space="preserve">, že na parlamenty lze mnohdy nahlížet </w:t>
      </w:r>
      <w:r w:rsidR="00FF6A56">
        <w:rPr>
          <w:rFonts w:ascii="Times New Roman" w:hAnsi="Times New Roman" w:cs="Times New Roman"/>
          <w:sz w:val="24"/>
        </w:rPr>
        <w:t>jen jako</w:t>
      </w:r>
      <w:r w:rsidR="00C161C8">
        <w:rPr>
          <w:rFonts w:ascii="Times New Roman" w:hAnsi="Times New Roman" w:cs="Times New Roman"/>
          <w:sz w:val="24"/>
        </w:rPr>
        <w:t xml:space="preserve"> pouhé lobbisty.</w:t>
      </w:r>
      <w:r w:rsidR="00C161C8">
        <w:rPr>
          <w:rStyle w:val="Znakapoznpodarou"/>
          <w:rFonts w:ascii="Times New Roman" w:hAnsi="Times New Roman" w:cs="Times New Roman"/>
          <w:sz w:val="24"/>
        </w:rPr>
        <w:footnoteReference w:id="81"/>
      </w:r>
      <w:r w:rsidR="00C161C8">
        <w:rPr>
          <w:rFonts w:ascii="Times New Roman" w:hAnsi="Times New Roman" w:cs="Times New Roman"/>
          <w:sz w:val="24"/>
        </w:rPr>
        <w:t xml:space="preserve"> </w:t>
      </w:r>
      <w:r w:rsidR="007D05E8">
        <w:rPr>
          <w:rFonts w:ascii="Times New Roman" w:hAnsi="Times New Roman" w:cs="Times New Roman"/>
          <w:sz w:val="24"/>
        </w:rPr>
        <w:t>Z</w:t>
      </w:r>
      <w:r w:rsidR="00C161C8">
        <w:rPr>
          <w:rFonts w:ascii="Times New Roman" w:hAnsi="Times New Roman" w:cs="Times New Roman"/>
          <w:sz w:val="24"/>
        </w:rPr>
        <w:t>miňme ještě</w:t>
      </w:r>
      <w:r w:rsidR="007D05E8">
        <w:rPr>
          <w:rFonts w:ascii="Times New Roman" w:hAnsi="Times New Roman" w:cs="Times New Roman"/>
          <w:sz w:val="24"/>
        </w:rPr>
        <w:t xml:space="preserve"> jeden</w:t>
      </w:r>
      <w:r w:rsidR="00A3227B">
        <w:rPr>
          <w:rFonts w:ascii="Times New Roman" w:hAnsi="Times New Roman" w:cs="Times New Roman"/>
          <w:sz w:val="24"/>
        </w:rPr>
        <w:t xml:space="preserve"> vybraný faktor, který ztěžuje</w:t>
      </w:r>
      <w:r w:rsidR="00C161C8">
        <w:rPr>
          <w:rFonts w:ascii="Times New Roman" w:hAnsi="Times New Roman" w:cs="Times New Roman"/>
          <w:sz w:val="24"/>
        </w:rPr>
        <w:t xml:space="preserve"> kontrolní pozici parlamentů. </w:t>
      </w:r>
      <w:r w:rsidR="00CB7D21">
        <w:rPr>
          <w:rFonts w:ascii="Times New Roman" w:hAnsi="Times New Roman" w:cs="Times New Roman"/>
          <w:sz w:val="24"/>
        </w:rPr>
        <w:t>Jde o</w:t>
      </w:r>
      <w:r w:rsidR="00C161C8">
        <w:rPr>
          <w:rFonts w:ascii="Times New Roman" w:hAnsi="Times New Roman" w:cs="Times New Roman"/>
          <w:sz w:val="24"/>
        </w:rPr>
        <w:t xml:space="preserve"> neformální trialogy na úrovni EU, tedy schůzky vybra</w:t>
      </w:r>
      <w:r w:rsidR="002502EE">
        <w:rPr>
          <w:rFonts w:ascii="Times New Roman" w:hAnsi="Times New Roman" w:cs="Times New Roman"/>
          <w:sz w:val="24"/>
        </w:rPr>
        <w:t>ných zástupců Komise, Rady a EP</w:t>
      </w:r>
      <w:r w:rsidR="00C161C8">
        <w:rPr>
          <w:rFonts w:ascii="Times New Roman" w:hAnsi="Times New Roman" w:cs="Times New Roman"/>
          <w:sz w:val="24"/>
        </w:rPr>
        <w:t>. Rozhodnutí v mn</w:t>
      </w:r>
      <w:r w:rsidR="002E326E">
        <w:rPr>
          <w:rFonts w:ascii="Times New Roman" w:hAnsi="Times New Roman" w:cs="Times New Roman"/>
          <w:sz w:val="24"/>
        </w:rPr>
        <w:t>oha důležitých otázkách jsou</w:t>
      </w:r>
      <w:r w:rsidR="00C161C8">
        <w:rPr>
          <w:rFonts w:ascii="Times New Roman" w:hAnsi="Times New Roman" w:cs="Times New Roman"/>
          <w:sz w:val="24"/>
        </w:rPr>
        <w:t xml:space="preserve"> vyjednávána a připravována malou skupinou klíčových hráčů, aby následně mohla být bez komplikací schválena v</w:t>
      </w:r>
      <w:r w:rsidR="009716FD">
        <w:rPr>
          <w:rFonts w:ascii="Times New Roman" w:hAnsi="Times New Roman" w:cs="Times New Roman"/>
          <w:sz w:val="24"/>
        </w:rPr>
        <w:t>e formálních</w:t>
      </w:r>
      <w:r w:rsidR="00C161C8">
        <w:rPr>
          <w:rFonts w:ascii="Times New Roman" w:hAnsi="Times New Roman" w:cs="Times New Roman"/>
          <w:sz w:val="24"/>
        </w:rPr>
        <w:t> prvních čteních. To sice může být rychlé, efektivní a výhodné pro všechny zúčastněné, avšak pro subjekty stojící mimo, včetně parlamentů, to z</w:t>
      </w:r>
      <w:r w:rsidR="0082310F">
        <w:rPr>
          <w:rFonts w:ascii="Times New Roman" w:hAnsi="Times New Roman" w:cs="Times New Roman"/>
          <w:sz w:val="24"/>
        </w:rPr>
        <w:t>načí zhoršenou pozici. Např.</w:t>
      </w:r>
      <w:r w:rsidR="00C161C8">
        <w:rPr>
          <w:rFonts w:ascii="Times New Roman" w:hAnsi="Times New Roman" w:cs="Times New Roman"/>
          <w:sz w:val="24"/>
        </w:rPr>
        <w:t xml:space="preserve"> návrh Komise, kterým se zabývají, již nemusí být v důsledku neformálních a netransparentních jednání relevantní.</w:t>
      </w:r>
      <w:r w:rsidR="00C161C8">
        <w:rPr>
          <w:rStyle w:val="Znakapoznpodarou"/>
          <w:rFonts w:ascii="Times New Roman" w:hAnsi="Times New Roman" w:cs="Times New Roman"/>
          <w:sz w:val="24"/>
        </w:rPr>
        <w:footnoteReference w:id="82"/>
      </w:r>
      <w:r w:rsidR="00C161C8">
        <w:rPr>
          <w:rFonts w:ascii="Times New Roman" w:hAnsi="Times New Roman" w:cs="Times New Roman"/>
          <w:sz w:val="24"/>
        </w:rPr>
        <w:t xml:space="preserve"> To má dle našeho názoru dopad nejen na individuální kontro</w:t>
      </w:r>
      <w:r w:rsidR="00B13996">
        <w:rPr>
          <w:rFonts w:ascii="Times New Roman" w:hAnsi="Times New Roman" w:cs="Times New Roman"/>
          <w:sz w:val="24"/>
        </w:rPr>
        <w:t>lu, ale logicky i na kontrolu zásady subsidiarity</w:t>
      </w:r>
      <w:r w:rsidR="00C161C8">
        <w:rPr>
          <w:rFonts w:ascii="Times New Roman" w:hAnsi="Times New Roman" w:cs="Times New Roman"/>
          <w:sz w:val="24"/>
        </w:rPr>
        <w:t>.</w:t>
      </w:r>
    </w:p>
    <w:p w:rsidR="00D82D60" w:rsidRDefault="00D82D60" w:rsidP="00BF57AF">
      <w:pPr>
        <w:spacing w:line="360" w:lineRule="auto"/>
        <w:ind w:firstLine="708"/>
        <w:jc w:val="both"/>
        <w:rPr>
          <w:rFonts w:ascii="Times New Roman" w:hAnsi="Times New Roman" w:cs="Times New Roman"/>
          <w:sz w:val="24"/>
        </w:rPr>
      </w:pPr>
    </w:p>
    <w:p w:rsidR="00B85FF1" w:rsidRDefault="00B85FF1" w:rsidP="00BF57AF">
      <w:pPr>
        <w:spacing w:line="360" w:lineRule="auto"/>
        <w:ind w:firstLine="708"/>
        <w:jc w:val="both"/>
        <w:rPr>
          <w:rFonts w:ascii="Times New Roman" w:hAnsi="Times New Roman" w:cs="Times New Roman"/>
          <w:sz w:val="24"/>
        </w:rPr>
      </w:pPr>
    </w:p>
    <w:p w:rsidR="00B85FF1" w:rsidRDefault="00B85FF1" w:rsidP="00BF57AF">
      <w:pPr>
        <w:spacing w:line="360" w:lineRule="auto"/>
        <w:ind w:firstLine="708"/>
        <w:jc w:val="both"/>
        <w:rPr>
          <w:rFonts w:ascii="Times New Roman" w:hAnsi="Times New Roman" w:cs="Times New Roman"/>
          <w:sz w:val="24"/>
        </w:rPr>
      </w:pPr>
    </w:p>
    <w:p w:rsidR="00B85FF1" w:rsidRDefault="00B85FF1" w:rsidP="00BF57AF">
      <w:pPr>
        <w:spacing w:line="360" w:lineRule="auto"/>
        <w:ind w:firstLine="708"/>
        <w:jc w:val="both"/>
        <w:rPr>
          <w:rFonts w:ascii="Times New Roman" w:hAnsi="Times New Roman" w:cs="Times New Roman"/>
          <w:sz w:val="24"/>
        </w:rPr>
      </w:pPr>
    </w:p>
    <w:p w:rsidR="0015186F" w:rsidRDefault="0015186F" w:rsidP="00BF57AF">
      <w:pPr>
        <w:spacing w:line="360" w:lineRule="auto"/>
        <w:ind w:firstLine="708"/>
        <w:jc w:val="both"/>
        <w:rPr>
          <w:rFonts w:ascii="Times New Roman" w:hAnsi="Times New Roman" w:cs="Times New Roman"/>
          <w:sz w:val="24"/>
        </w:rPr>
      </w:pPr>
    </w:p>
    <w:p w:rsidR="0015186F" w:rsidRDefault="0015186F" w:rsidP="00BF57AF">
      <w:pPr>
        <w:spacing w:line="360" w:lineRule="auto"/>
        <w:ind w:firstLine="708"/>
        <w:jc w:val="both"/>
        <w:rPr>
          <w:rFonts w:ascii="Times New Roman" w:hAnsi="Times New Roman" w:cs="Times New Roman"/>
          <w:sz w:val="24"/>
        </w:rPr>
      </w:pPr>
    </w:p>
    <w:p w:rsidR="007D3473" w:rsidRDefault="007D3473" w:rsidP="00BF57AF">
      <w:pPr>
        <w:spacing w:line="360" w:lineRule="auto"/>
        <w:ind w:firstLine="708"/>
        <w:jc w:val="both"/>
        <w:rPr>
          <w:rFonts w:ascii="Times New Roman" w:hAnsi="Times New Roman" w:cs="Times New Roman"/>
          <w:sz w:val="24"/>
        </w:rPr>
      </w:pPr>
    </w:p>
    <w:p w:rsidR="007D3473" w:rsidRDefault="007D3473" w:rsidP="00BF57AF">
      <w:pPr>
        <w:spacing w:line="360" w:lineRule="auto"/>
        <w:ind w:firstLine="708"/>
        <w:jc w:val="both"/>
        <w:rPr>
          <w:rFonts w:ascii="Times New Roman" w:hAnsi="Times New Roman" w:cs="Times New Roman"/>
          <w:sz w:val="24"/>
        </w:rPr>
      </w:pPr>
    </w:p>
    <w:p w:rsidR="009315A0" w:rsidRPr="009315A0" w:rsidRDefault="009315A0" w:rsidP="009315A0"/>
    <w:p w:rsidR="00117DDC" w:rsidRDefault="00F66DC6" w:rsidP="008B60F2">
      <w:pPr>
        <w:pStyle w:val="Nadpis1"/>
      </w:pPr>
      <w:bookmarkStart w:id="15" w:name="_Toc478235161"/>
      <w:r>
        <w:lastRenderedPageBreak/>
        <w:t xml:space="preserve">2 </w:t>
      </w:r>
      <w:r w:rsidR="003110D6" w:rsidRPr="00991B6C">
        <w:t>Zásada subsidiarity</w:t>
      </w:r>
      <w:r w:rsidR="008A524D">
        <w:t xml:space="preserve"> v EU</w:t>
      </w:r>
      <w:bookmarkEnd w:id="15"/>
    </w:p>
    <w:p w:rsidR="00117DDC" w:rsidRPr="00117DDC" w:rsidRDefault="00117DDC" w:rsidP="00117DDC"/>
    <w:p w:rsidR="00B85FF1" w:rsidRPr="00B528A4" w:rsidRDefault="00D42AC0" w:rsidP="00B85F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w:t>
      </w:r>
      <w:r w:rsidR="006D4D40">
        <w:rPr>
          <w:rFonts w:ascii="Times New Roman" w:hAnsi="Times New Roman" w:cs="Times New Roman"/>
          <w:sz w:val="24"/>
          <w:szCs w:val="24"/>
        </w:rPr>
        <w:t xml:space="preserve"> kapitoly je</w:t>
      </w:r>
      <w:r w:rsidR="00B85FF1" w:rsidRPr="00B528A4">
        <w:rPr>
          <w:rFonts w:ascii="Times New Roman" w:hAnsi="Times New Roman" w:cs="Times New Roman"/>
          <w:sz w:val="24"/>
          <w:szCs w:val="24"/>
        </w:rPr>
        <w:t xml:space="preserve"> vymezit </w:t>
      </w:r>
      <w:r w:rsidR="00353EE6">
        <w:rPr>
          <w:rFonts w:ascii="Times New Roman" w:hAnsi="Times New Roman" w:cs="Times New Roman"/>
          <w:sz w:val="24"/>
          <w:szCs w:val="24"/>
        </w:rPr>
        <w:t>zásadu subsidiarity</w:t>
      </w:r>
      <w:r w:rsidR="00B85FF1" w:rsidRPr="00B528A4">
        <w:rPr>
          <w:rFonts w:ascii="Times New Roman" w:hAnsi="Times New Roman" w:cs="Times New Roman"/>
          <w:sz w:val="24"/>
          <w:szCs w:val="24"/>
        </w:rPr>
        <w:t xml:space="preserve"> v unijním kontextu. Krátce se bu</w:t>
      </w:r>
      <w:r w:rsidR="00095FA7">
        <w:rPr>
          <w:rFonts w:ascii="Times New Roman" w:hAnsi="Times New Roman" w:cs="Times New Roman"/>
          <w:sz w:val="24"/>
          <w:szCs w:val="24"/>
        </w:rPr>
        <w:t>deme zabývat i kontrolou ze strany SDEU</w:t>
      </w:r>
      <w:r w:rsidR="00B85FF1" w:rsidRPr="00B528A4">
        <w:rPr>
          <w:rFonts w:ascii="Times New Roman" w:hAnsi="Times New Roman" w:cs="Times New Roman"/>
          <w:sz w:val="24"/>
          <w:szCs w:val="24"/>
        </w:rPr>
        <w:t>. Prostor naopak nebude dán historickému vývoji</w:t>
      </w:r>
      <w:r w:rsidR="00B85FF1" w:rsidRPr="00B528A4">
        <w:rPr>
          <w:rStyle w:val="Znakapoznpodarou"/>
          <w:rFonts w:ascii="Times New Roman" w:hAnsi="Times New Roman" w:cs="Times New Roman"/>
          <w:sz w:val="24"/>
          <w:szCs w:val="24"/>
        </w:rPr>
        <w:footnoteReference w:id="83"/>
      </w:r>
      <w:r w:rsidR="00051AD3">
        <w:rPr>
          <w:rFonts w:ascii="Times New Roman" w:hAnsi="Times New Roman" w:cs="Times New Roman"/>
          <w:sz w:val="24"/>
          <w:szCs w:val="24"/>
        </w:rPr>
        <w:t xml:space="preserve"> a</w:t>
      </w:r>
      <w:r w:rsidR="00B85FF1" w:rsidRPr="00B528A4">
        <w:rPr>
          <w:rFonts w:ascii="Times New Roman" w:hAnsi="Times New Roman" w:cs="Times New Roman"/>
          <w:sz w:val="24"/>
          <w:szCs w:val="24"/>
        </w:rPr>
        <w:t xml:space="preserve"> filosofickým východiskům</w:t>
      </w:r>
      <w:r w:rsidR="00470930">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84"/>
      </w:r>
      <w:r w:rsidR="009F7548">
        <w:rPr>
          <w:rFonts w:ascii="Times New Roman" w:hAnsi="Times New Roman" w:cs="Times New Roman"/>
          <w:sz w:val="24"/>
          <w:szCs w:val="24"/>
        </w:rPr>
        <w:t xml:space="preserve"> Stejně tak se nebudeme</w:t>
      </w:r>
      <w:r w:rsidR="00B85FF1" w:rsidRPr="00B528A4">
        <w:rPr>
          <w:rFonts w:ascii="Times New Roman" w:hAnsi="Times New Roman" w:cs="Times New Roman"/>
          <w:sz w:val="24"/>
          <w:szCs w:val="24"/>
        </w:rPr>
        <w:t xml:space="preserve"> zabývat zásadou proporcionality</w:t>
      </w:r>
      <w:r w:rsidR="00623066">
        <w:rPr>
          <w:rFonts w:ascii="Times New Roman" w:hAnsi="Times New Roman" w:cs="Times New Roman"/>
          <w:sz w:val="24"/>
          <w:szCs w:val="24"/>
        </w:rPr>
        <w:t>, která</w:t>
      </w:r>
      <w:r w:rsidR="005954E7">
        <w:rPr>
          <w:rFonts w:ascii="Times New Roman" w:hAnsi="Times New Roman" w:cs="Times New Roman"/>
          <w:sz w:val="24"/>
          <w:szCs w:val="24"/>
        </w:rPr>
        <w:t xml:space="preserve"> je </w:t>
      </w:r>
      <w:r w:rsidR="00663361">
        <w:rPr>
          <w:rFonts w:ascii="Times New Roman" w:hAnsi="Times New Roman" w:cs="Times New Roman"/>
          <w:sz w:val="24"/>
          <w:szCs w:val="24"/>
        </w:rPr>
        <w:t>často společně uváděna. Z</w:t>
      </w:r>
      <w:r w:rsidR="00130201">
        <w:rPr>
          <w:rFonts w:ascii="Times New Roman" w:hAnsi="Times New Roman" w:cs="Times New Roman"/>
          <w:sz w:val="24"/>
          <w:szCs w:val="24"/>
        </w:rPr>
        <w:t>ásady tak mohou</w:t>
      </w:r>
      <w:r w:rsidR="00B85FF1">
        <w:rPr>
          <w:rFonts w:ascii="Times New Roman" w:hAnsi="Times New Roman" w:cs="Times New Roman"/>
          <w:sz w:val="24"/>
          <w:szCs w:val="24"/>
        </w:rPr>
        <w:t xml:space="preserve"> působit jako </w:t>
      </w:r>
      <w:r w:rsidR="00B85FF1" w:rsidRPr="00B528A4">
        <w:rPr>
          <w:rFonts w:ascii="Times New Roman" w:hAnsi="Times New Roman" w:cs="Times New Roman"/>
          <w:sz w:val="24"/>
          <w:szCs w:val="24"/>
        </w:rPr>
        <w:t>nedí</w:t>
      </w:r>
      <w:r w:rsidR="00B85FF1">
        <w:rPr>
          <w:rFonts w:ascii="Times New Roman" w:hAnsi="Times New Roman" w:cs="Times New Roman"/>
          <w:sz w:val="24"/>
          <w:szCs w:val="24"/>
        </w:rPr>
        <w:t>lný celek.</w:t>
      </w:r>
      <w:r w:rsidR="00B85FF1" w:rsidRPr="00B528A4">
        <w:rPr>
          <w:rStyle w:val="Znakapoznpodarou"/>
          <w:rFonts w:ascii="Times New Roman" w:hAnsi="Times New Roman" w:cs="Times New Roman"/>
          <w:sz w:val="24"/>
          <w:szCs w:val="24"/>
        </w:rPr>
        <w:footnoteReference w:id="85"/>
      </w:r>
      <w:r w:rsidR="00B85FF1" w:rsidRPr="00B528A4">
        <w:rPr>
          <w:rFonts w:ascii="Times New Roman" w:hAnsi="Times New Roman" w:cs="Times New Roman"/>
          <w:sz w:val="24"/>
          <w:szCs w:val="24"/>
        </w:rPr>
        <w:t xml:space="preserve"> Podrobněji se nebudeme zabývat an</w:t>
      </w:r>
      <w:r w:rsidR="004E2AA1">
        <w:rPr>
          <w:rFonts w:ascii="Times New Roman" w:hAnsi="Times New Roman" w:cs="Times New Roman"/>
          <w:sz w:val="24"/>
          <w:szCs w:val="24"/>
        </w:rPr>
        <w:t>i postupným zakotvováním zásady subsidiarity</w:t>
      </w:r>
      <w:r w:rsidR="00B85FF1" w:rsidRPr="00B528A4">
        <w:rPr>
          <w:rFonts w:ascii="Times New Roman" w:hAnsi="Times New Roman" w:cs="Times New Roman"/>
          <w:sz w:val="24"/>
          <w:szCs w:val="24"/>
        </w:rPr>
        <w:t xml:space="preserve"> do primárního práva</w:t>
      </w:r>
      <w:r w:rsidR="00CC0FE8">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86"/>
      </w:r>
      <w:r w:rsidR="00B85FF1" w:rsidRPr="00B528A4">
        <w:rPr>
          <w:rFonts w:ascii="Times New Roman" w:hAnsi="Times New Roman" w:cs="Times New Roman"/>
          <w:sz w:val="24"/>
          <w:szCs w:val="24"/>
        </w:rPr>
        <w:t xml:space="preserve"> kdy</w:t>
      </w:r>
      <w:r w:rsidR="008D04F8">
        <w:rPr>
          <w:rFonts w:ascii="Times New Roman" w:hAnsi="Times New Roman" w:cs="Times New Roman"/>
          <w:sz w:val="24"/>
          <w:szCs w:val="24"/>
        </w:rPr>
        <w:t>ž v zásadě budeme vycházet</w:t>
      </w:r>
      <w:r w:rsidR="00B85FF1" w:rsidRPr="00B528A4">
        <w:rPr>
          <w:rFonts w:ascii="Times New Roman" w:hAnsi="Times New Roman" w:cs="Times New Roman"/>
          <w:sz w:val="24"/>
          <w:szCs w:val="24"/>
        </w:rPr>
        <w:t xml:space="preserve"> z aktuálního znění. </w:t>
      </w:r>
    </w:p>
    <w:p w:rsidR="00B85FF1" w:rsidRDefault="00CB1D66" w:rsidP="00CB1D66">
      <w:pPr>
        <w:pStyle w:val="Nadpis2"/>
      </w:pPr>
      <w:bookmarkStart w:id="16" w:name="_Toc478235162"/>
      <w:r>
        <w:t xml:space="preserve">2.1 </w:t>
      </w:r>
      <w:r w:rsidR="00B85FF1" w:rsidRPr="00B528A4">
        <w:t>Zásada subsidiarity</w:t>
      </w:r>
      <w:r w:rsidR="00F27692">
        <w:t xml:space="preserve"> obecně</w:t>
      </w:r>
      <w:bookmarkEnd w:id="16"/>
    </w:p>
    <w:p w:rsidR="00A01340" w:rsidRPr="00A01340" w:rsidRDefault="00A01340" w:rsidP="00A01340"/>
    <w:p w:rsidR="00B85FF1" w:rsidRPr="00B528A4" w:rsidRDefault="00F94B8F" w:rsidP="001518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Zásada subsidiarity</w:t>
      </w:r>
      <w:r w:rsidR="00B85FF1">
        <w:rPr>
          <w:rFonts w:ascii="Times New Roman" w:hAnsi="Times New Roman" w:cs="Times New Roman"/>
          <w:sz w:val="24"/>
          <w:szCs w:val="24"/>
        </w:rPr>
        <w:t xml:space="preserve"> je v současnosti</w:t>
      </w:r>
      <w:r w:rsidR="00B85FF1" w:rsidRPr="00B528A4">
        <w:rPr>
          <w:rFonts w:ascii="Times New Roman" w:hAnsi="Times New Roman" w:cs="Times New Roman"/>
          <w:sz w:val="24"/>
          <w:szCs w:val="24"/>
        </w:rPr>
        <w:t xml:space="preserve"> v primárním prá</w:t>
      </w:r>
      <w:r w:rsidR="00C23E18">
        <w:rPr>
          <w:rFonts w:ascii="Times New Roman" w:hAnsi="Times New Roman" w:cs="Times New Roman"/>
          <w:sz w:val="24"/>
          <w:szCs w:val="24"/>
        </w:rPr>
        <w:t>vu vyjádřena v čl.</w:t>
      </w:r>
      <w:r w:rsidR="00B85FF1">
        <w:rPr>
          <w:rFonts w:ascii="Times New Roman" w:hAnsi="Times New Roman" w:cs="Times New Roman"/>
          <w:sz w:val="24"/>
          <w:szCs w:val="24"/>
        </w:rPr>
        <w:t xml:space="preserve"> 5 odst.</w:t>
      </w:r>
      <w:r w:rsidR="00B85FF1" w:rsidRPr="00B528A4">
        <w:rPr>
          <w:rFonts w:ascii="Times New Roman" w:hAnsi="Times New Roman" w:cs="Times New Roman"/>
          <w:sz w:val="24"/>
          <w:szCs w:val="24"/>
        </w:rPr>
        <w:t xml:space="preserve"> 3 SEU. </w:t>
      </w:r>
      <w:r w:rsidR="00B85FF1" w:rsidRPr="00B528A4">
        <w:rPr>
          <w:rFonts w:ascii="Times New Roman" w:hAnsi="Times New Roman" w:cs="Times New Roman"/>
          <w:i/>
          <w:sz w:val="24"/>
          <w:szCs w:val="24"/>
        </w:rPr>
        <w:t>„Podle zásady subsidiarity jedná Unie v oblastech, které nespadají do její výlučné pravomoci, pouze tehdy a do té míry, pokud cílů zamýšlené činnosti nemůže být dosaženo uspokojivě členskými státy na úrovni ústřední, regionální či místní, ale spíše jich, z důvodu jejího rozsahu či účinků, může být lépe dosaženo na úrovni Unie.“</w:t>
      </w:r>
      <w:r w:rsidR="0043321C">
        <w:rPr>
          <w:rStyle w:val="Znakapoznpodarou"/>
          <w:rFonts w:ascii="Times New Roman" w:hAnsi="Times New Roman" w:cs="Times New Roman"/>
          <w:i/>
          <w:sz w:val="24"/>
          <w:szCs w:val="24"/>
        </w:rPr>
        <w:footnoteReference w:id="87"/>
      </w:r>
      <w:r w:rsidR="00B85FF1" w:rsidRPr="00B528A4">
        <w:rPr>
          <w:rFonts w:ascii="Times New Roman" w:hAnsi="Times New Roman" w:cs="Times New Roman"/>
          <w:sz w:val="24"/>
          <w:szCs w:val="24"/>
        </w:rPr>
        <w:t xml:space="preserve"> Jde o jednu z</w:t>
      </w:r>
      <w:r w:rsidR="00D601D2">
        <w:rPr>
          <w:rFonts w:ascii="Times New Roman" w:hAnsi="Times New Roman" w:cs="Times New Roman"/>
          <w:sz w:val="24"/>
          <w:szCs w:val="24"/>
        </w:rPr>
        <w:t>e</w:t>
      </w:r>
      <w:r w:rsidR="00E066E3">
        <w:rPr>
          <w:rFonts w:ascii="Times New Roman" w:hAnsi="Times New Roman" w:cs="Times New Roman"/>
          <w:sz w:val="24"/>
          <w:szCs w:val="24"/>
        </w:rPr>
        <w:t xml:space="preserve"> základních zásad fungování EU.</w:t>
      </w:r>
      <w:r w:rsidR="00D601D2">
        <w:rPr>
          <w:rFonts w:ascii="Times New Roman" w:hAnsi="Times New Roman" w:cs="Times New Roman"/>
          <w:sz w:val="24"/>
          <w:szCs w:val="24"/>
        </w:rPr>
        <w:tab/>
        <w:t>Konkrétně souvisí</w:t>
      </w:r>
      <w:r w:rsidR="00B85FF1" w:rsidRPr="00B528A4">
        <w:rPr>
          <w:rFonts w:ascii="Times New Roman" w:hAnsi="Times New Roman" w:cs="Times New Roman"/>
          <w:sz w:val="24"/>
          <w:szCs w:val="24"/>
        </w:rPr>
        <w:t xml:space="preserve"> především s dělbou p</w:t>
      </w:r>
      <w:r w:rsidR="006839F4">
        <w:rPr>
          <w:rFonts w:ascii="Times New Roman" w:hAnsi="Times New Roman" w:cs="Times New Roman"/>
          <w:sz w:val="24"/>
          <w:szCs w:val="24"/>
        </w:rPr>
        <w:t>ravomocí mezi EU a ČS</w:t>
      </w:r>
      <w:r w:rsidR="00B85FF1" w:rsidRPr="00B528A4">
        <w:rPr>
          <w:rFonts w:ascii="Times New Roman" w:hAnsi="Times New Roman" w:cs="Times New Roman"/>
          <w:sz w:val="24"/>
          <w:szCs w:val="24"/>
        </w:rPr>
        <w:t xml:space="preserve">, respektive s jejich výkonem. </w:t>
      </w:r>
    </w:p>
    <w:p w:rsidR="00B85FF1" w:rsidRDefault="00B85FF1" w:rsidP="0015186F">
      <w:pPr>
        <w:spacing w:after="0" w:line="360" w:lineRule="auto"/>
        <w:ind w:firstLine="708"/>
        <w:jc w:val="both"/>
        <w:rPr>
          <w:rFonts w:ascii="Times New Roman" w:hAnsi="Times New Roman" w:cs="Times New Roman"/>
          <w:sz w:val="24"/>
          <w:szCs w:val="24"/>
        </w:rPr>
      </w:pPr>
      <w:r w:rsidRPr="00B528A4">
        <w:rPr>
          <w:rFonts w:ascii="Times New Roman" w:hAnsi="Times New Roman" w:cs="Times New Roman"/>
          <w:sz w:val="24"/>
          <w:szCs w:val="24"/>
        </w:rPr>
        <w:t xml:space="preserve">Chce-li EU v určité oblasti jednat, musí jí být k tomuto v první řadě svěřena pravomoc, když originárním </w:t>
      </w:r>
      <w:r w:rsidR="00443E2B">
        <w:rPr>
          <w:rFonts w:ascii="Times New Roman" w:hAnsi="Times New Roman" w:cs="Times New Roman"/>
          <w:sz w:val="24"/>
          <w:szCs w:val="24"/>
        </w:rPr>
        <w:t>subjektem jsou</w:t>
      </w:r>
      <w:r>
        <w:rPr>
          <w:rFonts w:ascii="Times New Roman" w:hAnsi="Times New Roman" w:cs="Times New Roman"/>
          <w:sz w:val="24"/>
          <w:szCs w:val="24"/>
        </w:rPr>
        <w:t xml:space="preserve"> ČS</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88"/>
      </w:r>
      <w:r w:rsidRPr="00B528A4">
        <w:rPr>
          <w:rFonts w:ascii="Times New Roman" w:hAnsi="Times New Roman" w:cs="Times New Roman"/>
          <w:sz w:val="24"/>
          <w:szCs w:val="24"/>
        </w:rPr>
        <w:t xml:space="preserve"> Dále </w:t>
      </w:r>
      <w:r w:rsidR="007B1283">
        <w:rPr>
          <w:rFonts w:ascii="Times New Roman" w:hAnsi="Times New Roman" w:cs="Times New Roman"/>
          <w:sz w:val="24"/>
          <w:szCs w:val="24"/>
        </w:rPr>
        <w:t>rozlišuj</w:t>
      </w:r>
      <w:r w:rsidR="00273297">
        <w:rPr>
          <w:rFonts w:ascii="Times New Roman" w:hAnsi="Times New Roman" w:cs="Times New Roman"/>
          <w:sz w:val="24"/>
          <w:szCs w:val="24"/>
        </w:rPr>
        <w:t>e</w:t>
      </w:r>
      <w:r w:rsidR="007B1283">
        <w:rPr>
          <w:rFonts w:ascii="Times New Roman" w:hAnsi="Times New Roman" w:cs="Times New Roman"/>
          <w:sz w:val="24"/>
          <w:szCs w:val="24"/>
        </w:rPr>
        <w:t>me</w:t>
      </w:r>
      <w:r w:rsidRPr="00B528A4">
        <w:rPr>
          <w:rFonts w:ascii="Times New Roman" w:hAnsi="Times New Roman" w:cs="Times New Roman"/>
          <w:sz w:val="24"/>
          <w:szCs w:val="24"/>
        </w:rPr>
        <w:t xml:space="preserve"> zejména mezi pravomocemi výlučnými</w:t>
      </w:r>
      <w:r w:rsidRPr="00B528A4">
        <w:rPr>
          <w:rStyle w:val="Znakapoznpodarou"/>
          <w:rFonts w:ascii="Times New Roman" w:hAnsi="Times New Roman" w:cs="Times New Roman"/>
          <w:sz w:val="24"/>
          <w:szCs w:val="24"/>
        </w:rPr>
        <w:footnoteReference w:id="89"/>
      </w:r>
      <w:r w:rsidRPr="00B528A4">
        <w:rPr>
          <w:rFonts w:ascii="Times New Roman" w:hAnsi="Times New Roman" w:cs="Times New Roman"/>
          <w:sz w:val="24"/>
          <w:szCs w:val="24"/>
        </w:rPr>
        <w:t xml:space="preserve"> a sdílenými</w:t>
      </w:r>
      <w:r w:rsidR="004F2CB7">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90"/>
      </w:r>
      <w:r w:rsidRPr="00B528A4">
        <w:rPr>
          <w:rFonts w:ascii="Times New Roman" w:hAnsi="Times New Roman" w:cs="Times New Roman"/>
          <w:sz w:val="24"/>
          <w:szCs w:val="24"/>
        </w:rPr>
        <w:t xml:space="preserve"> Jsou zde i pravomoci podpůrné, koordinační a doplňkové</w:t>
      </w:r>
      <w:r w:rsidR="00891EC9">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91"/>
      </w:r>
      <w:r w:rsidR="008E4C13">
        <w:rPr>
          <w:rFonts w:ascii="Times New Roman" w:hAnsi="Times New Roman" w:cs="Times New Roman"/>
          <w:sz w:val="24"/>
          <w:szCs w:val="24"/>
        </w:rPr>
        <w:t xml:space="preserve"> které </w:t>
      </w:r>
      <w:r w:rsidRPr="00B528A4">
        <w:rPr>
          <w:rFonts w:ascii="Times New Roman" w:hAnsi="Times New Roman" w:cs="Times New Roman"/>
          <w:sz w:val="24"/>
          <w:szCs w:val="24"/>
        </w:rPr>
        <w:t xml:space="preserve">ponechme stranou vzhledem k tomu, že pravomocím </w:t>
      </w:r>
      <w:r w:rsidR="00A37071">
        <w:rPr>
          <w:rFonts w:ascii="Times New Roman" w:hAnsi="Times New Roman" w:cs="Times New Roman"/>
          <w:sz w:val="24"/>
          <w:szCs w:val="24"/>
        </w:rPr>
        <w:t xml:space="preserve">ČS </w:t>
      </w:r>
      <w:r w:rsidRPr="00B528A4">
        <w:rPr>
          <w:rFonts w:ascii="Times New Roman" w:hAnsi="Times New Roman" w:cs="Times New Roman"/>
          <w:sz w:val="24"/>
          <w:szCs w:val="24"/>
        </w:rPr>
        <w:t xml:space="preserve">nekonkurují. Pokud jde o oblast sdílených pravomocí, uplatní </w:t>
      </w:r>
      <w:r w:rsidR="00BF42BB">
        <w:rPr>
          <w:rFonts w:ascii="Times New Roman" w:hAnsi="Times New Roman" w:cs="Times New Roman"/>
          <w:sz w:val="24"/>
          <w:szCs w:val="24"/>
        </w:rPr>
        <w:t>se zde kromě zásady subsidiarity</w:t>
      </w:r>
      <w:r w:rsidR="00A76AE0">
        <w:rPr>
          <w:rFonts w:ascii="Times New Roman" w:hAnsi="Times New Roman" w:cs="Times New Roman"/>
          <w:sz w:val="24"/>
          <w:szCs w:val="24"/>
        </w:rPr>
        <w:t xml:space="preserve"> </w:t>
      </w:r>
      <w:r w:rsidRPr="00B528A4">
        <w:rPr>
          <w:rFonts w:ascii="Times New Roman" w:hAnsi="Times New Roman" w:cs="Times New Roman"/>
          <w:sz w:val="24"/>
          <w:szCs w:val="24"/>
        </w:rPr>
        <w:t>také zásada preempce</w:t>
      </w:r>
      <w:r w:rsidRPr="00B528A4">
        <w:rPr>
          <w:rStyle w:val="Znakapoznpodarou"/>
          <w:rFonts w:ascii="Times New Roman" w:hAnsi="Times New Roman" w:cs="Times New Roman"/>
          <w:sz w:val="24"/>
          <w:szCs w:val="24"/>
        </w:rPr>
        <w:footnoteReference w:id="92"/>
      </w:r>
      <w:r w:rsidRPr="00B528A4">
        <w:rPr>
          <w:rFonts w:ascii="Times New Roman" w:hAnsi="Times New Roman" w:cs="Times New Roman"/>
          <w:sz w:val="24"/>
          <w:szCs w:val="24"/>
        </w:rPr>
        <w:t xml:space="preserve"> a zásada </w:t>
      </w:r>
      <w:r w:rsidRPr="00B528A4">
        <w:rPr>
          <w:rFonts w:ascii="Times New Roman" w:hAnsi="Times New Roman" w:cs="Times New Roman"/>
          <w:sz w:val="24"/>
          <w:szCs w:val="24"/>
        </w:rPr>
        <w:lastRenderedPageBreak/>
        <w:t>proporcionality</w:t>
      </w:r>
      <w:r w:rsidR="00F673E7">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93"/>
      </w:r>
      <w:r w:rsidRPr="00B528A4">
        <w:rPr>
          <w:rFonts w:ascii="Times New Roman" w:hAnsi="Times New Roman" w:cs="Times New Roman"/>
          <w:sz w:val="24"/>
          <w:szCs w:val="24"/>
        </w:rPr>
        <w:t xml:space="preserve"> Sdílené pravomoci, respektive oblasti, ve kterých lze uplatnit sdílenou pravomoc, jsou vymezeny flexibilně a demonstrativně, což </w:t>
      </w:r>
      <w:r w:rsidRPr="00B528A4">
        <w:rPr>
          <w:rFonts w:ascii="Times New Roman" w:hAnsi="Times New Roman" w:cs="Times New Roman"/>
          <w:i/>
          <w:sz w:val="24"/>
          <w:szCs w:val="24"/>
        </w:rPr>
        <w:t>„umožňuje věcné rozšiřování pravomocí EU formou aktivního uchopení těchto pravomocí, zejména cestou přijímání unijních legislativních aktů.“</w:t>
      </w:r>
      <w:r w:rsidRPr="00B528A4">
        <w:rPr>
          <w:rStyle w:val="Znakapoznpodarou"/>
          <w:rFonts w:ascii="Times New Roman" w:hAnsi="Times New Roman" w:cs="Times New Roman"/>
          <w:i/>
          <w:sz w:val="24"/>
          <w:szCs w:val="24"/>
        </w:rPr>
        <w:footnoteReference w:id="94"/>
      </w:r>
      <w:r w:rsidRPr="00B528A4">
        <w:rPr>
          <w:rFonts w:ascii="Times New Roman" w:hAnsi="Times New Roman" w:cs="Times New Roman"/>
          <w:i/>
          <w:sz w:val="24"/>
          <w:szCs w:val="24"/>
        </w:rPr>
        <w:t xml:space="preserve"> </w:t>
      </w:r>
      <w:r w:rsidRPr="00B528A4">
        <w:rPr>
          <w:rFonts w:ascii="Times New Roman" w:hAnsi="Times New Roman" w:cs="Times New Roman"/>
          <w:sz w:val="24"/>
          <w:szCs w:val="24"/>
        </w:rPr>
        <w:t>A</w:t>
      </w:r>
      <w:r w:rsidRPr="00B528A4">
        <w:rPr>
          <w:rFonts w:ascii="Times New Roman" w:hAnsi="Times New Roman" w:cs="Times New Roman"/>
          <w:i/>
          <w:sz w:val="24"/>
          <w:szCs w:val="24"/>
        </w:rPr>
        <w:t xml:space="preserve"> </w:t>
      </w:r>
      <w:r w:rsidRPr="00B528A4">
        <w:rPr>
          <w:rFonts w:ascii="Times New Roman" w:hAnsi="Times New Roman" w:cs="Times New Roman"/>
          <w:sz w:val="24"/>
          <w:szCs w:val="24"/>
        </w:rPr>
        <w:t>Právě zde má svou r</w:t>
      </w:r>
      <w:r w:rsidR="002679FB">
        <w:rPr>
          <w:rFonts w:ascii="Times New Roman" w:hAnsi="Times New Roman" w:cs="Times New Roman"/>
          <w:sz w:val="24"/>
          <w:szCs w:val="24"/>
        </w:rPr>
        <w:t>oli sehrávat subsidiarita</w:t>
      </w:r>
      <w:r w:rsidRPr="00B528A4">
        <w:rPr>
          <w:rFonts w:ascii="Times New Roman" w:hAnsi="Times New Roman" w:cs="Times New Roman"/>
          <w:sz w:val="24"/>
          <w:szCs w:val="24"/>
        </w:rPr>
        <w:t xml:space="preserve"> jako </w:t>
      </w:r>
      <w:r w:rsidRPr="00B528A4">
        <w:rPr>
          <w:rFonts w:ascii="Times New Roman" w:hAnsi="Times New Roman" w:cs="Times New Roman"/>
          <w:i/>
          <w:sz w:val="24"/>
          <w:szCs w:val="24"/>
        </w:rPr>
        <w:t>„decentralizační zásada zabraňující nadměrnému soustřeďování pravomocí a jejich extensivnímu výkonu ze strany orgánů Evropské unie.“</w:t>
      </w:r>
      <w:r w:rsidRPr="00B528A4">
        <w:rPr>
          <w:rStyle w:val="Znakapoznpodarou"/>
          <w:rFonts w:ascii="Times New Roman" w:hAnsi="Times New Roman" w:cs="Times New Roman"/>
          <w:i/>
          <w:sz w:val="24"/>
          <w:szCs w:val="24"/>
        </w:rPr>
        <w:footnoteReference w:id="95"/>
      </w:r>
      <w:r w:rsidRPr="00B528A4">
        <w:rPr>
          <w:rFonts w:ascii="Times New Roman" w:hAnsi="Times New Roman" w:cs="Times New Roman"/>
          <w:i/>
          <w:sz w:val="24"/>
          <w:szCs w:val="24"/>
        </w:rPr>
        <w:t xml:space="preserve">  </w:t>
      </w:r>
      <w:r w:rsidR="00364303">
        <w:rPr>
          <w:rFonts w:ascii="Times New Roman" w:hAnsi="Times New Roman" w:cs="Times New Roman"/>
          <w:sz w:val="24"/>
          <w:szCs w:val="24"/>
        </w:rPr>
        <w:t>Zásada</w:t>
      </w:r>
      <w:r w:rsidRPr="00B528A4">
        <w:rPr>
          <w:rFonts w:ascii="Times New Roman" w:hAnsi="Times New Roman" w:cs="Times New Roman"/>
          <w:sz w:val="24"/>
          <w:szCs w:val="24"/>
        </w:rPr>
        <w:t xml:space="preserve"> má jinak, snad neutrálněji, řečeno sloužit k určení, na které úrovni</w:t>
      </w:r>
      <w:r w:rsidRPr="00B528A4">
        <w:rPr>
          <w:rStyle w:val="Znakapoznpodarou"/>
          <w:rFonts w:ascii="Times New Roman" w:hAnsi="Times New Roman" w:cs="Times New Roman"/>
          <w:sz w:val="24"/>
          <w:szCs w:val="24"/>
        </w:rPr>
        <w:footnoteReference w:id="96"/>
      </w:r>
      <w:r w:rsidRPr="00B528A4">
        <w:rPr>
          <w:rFonts w:ascii="Times New Roman" w:hAnsi="Times New Roman" w:cs="Times New Roman"/>
          <w:sz w:val="24"/>
          <w:szCs w:val="24"/>
        </w:rPr>
        <w:t xml:space="preserve"> má být určitá činnost provedena či vykonávána. Má </w:t>
      </w:r>
      <w:r w:rsidRPr="00B528A4">
        <w:rPr>
          <w:rFonts w:ascii="Times New Roman" w:hAnsi="Times New Roman" w:cs="Times New Roman"/>
          <w:i/>
          <w:sz w:val="24"/>
          <w:szCs w:val="24"/>
        </w:rPr>
        <w:t>„zajistit optimální a efektivní rozdělení kompetencí mezi jednotlivé úrovně rozhodování</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97"/>
      </w:r>
      <w:r w:rsidRPr="00B528A4">
        <w:rPr>
          <w:rFonts w:ascii="Times New Roman" w:hAnsi="Times New Roman" w:cs="Times New Roman"/>
          <w:sz w:val="24"/>
          <w:szCs w:val="24"/>
        </w:rPr>
        <w:t xml:space="preserve"> při vytváření a výkonu práva EU.  Dle </w:t>
      </w:r>
      <w:proofErr w:type="spellStart"/>
      <w:r w:rsidRPr="00B528A4">
        <w:rPr>
          <w:rFonts w:ascii="Times New Roman" w:hAnsi="Times New Roman" w:cs="Times New Roman"/>
          <w:sz w:val="24"/>
          <w:szCs w:val="24"/>
        </w:rPr>
        <w:t>Drulákové</w:t>
      </w:r>
      <w:proofErr w:type="spellEnd"/>
      <w:r w:rsidRPr="00B528A4">
        <w:rPr>
          <w:rFonts w:ascii="Times New Roman" w:hAnsi="Times New Roman" w:cs="Times New Roman"/>
          <w:sz w:val="24"/>
          <w:szCs w:val="24"/>
        </w:rPr>
        <w:t xml:space="preserve"> dále</w:t>
      </w:r>
      <w:r w:rsidR="00A111F9">
        <w:rPr>
          <w:rFonts w:ascii="Times New Roman" w:hAnsi="Times New Roman" w:cs="Times New Roman"/>
          <w:sz w:val="24"/>
          <w:szCs w:val="24"/>
        </w:rPr>
        <w:t xml:space="preserve"> zásada</w:t>
      </w:r>
      <w:r w:rsidRPr="00B528A4">
        <w:rPr>
          <w:rFonts w:ascii="Times New Roman" w:hAnsi="Times New Roman" w:cs="Times New Roman"/>
          <w:sz w:val="24"/>
          <w:szCs w:val="24"/>
        </w:rPr>
        <w:t xml:space="preserve"> říká, „</w:t>
      </w:r>
      <w:r w:rsidRPr="00B528A4">
        <w:rPr>
          <w:rFonts w:ascii="Times New Roman" w:hAnsi="Times New Roman" w:cs="Times New Roman"/>
          <w:i/>
          <w:sz w:val="24"/>
          <w:szCs w:val="24"/>
        </w:rPr>
        <w:t>že legislativa na</w:t>
      </w:r>
      <w:r w:rsidRPr="00B528A4">
        <w:rPr>
          <w:rFonts w:ascii="Times New Roman" w:hAnsi="Times New Roman" w:cs="Times New Roman"/>
          <w:sz w:val="24"/>
          <w:szCs w:val="24"/>
        </w:rPr>
        <w:t xml:space="preserve"> nadnárodní </w:t>
      </w:r>
      <w:r w:rsidRPr="00B528A4">
        <w:rPr>
          <w:rFonts w:ascii="Times New Roman" w:hAnsi="Times New Roman" w:cs="Times New Roman"/>
          <w:i/>
          <w:sz w:val="24"/>
          <w:szCs w:val="24"/>
        </w:rPr>
        <w:t>úrovni by měla vznikat pouze v případech, že akce národních jednotek jednajících samostatně nebudou pro řešení konkrétního problému dostačující.“</w:t>
      </w:r>
      <w:r w:rsidRPr="00B528A4">
        <w:rPr>
          <w:rStyle w:val="Znakapoznpodarou"/>
          <w:rFonts w:ascii="Times New Roman" w:hAnsi="Times New Roman" w:cs="Times New Roman"/>
          <w:i/>
          <w:sz w:val="24"/>
          <w:szCs w:val="24"/>
        </w:rPr>
        <w:footnoteReference w:id="98"/>
      </w:r>
      <w:r w:rsidRPr="00B528A4">
        <w:rPr>
          <w:rFonts w:ascii="Times New Roman" w:hAnsi="Times New Roman" w:cs="Times New Roman"/>
          <w:sz w:val="24"/>
          <w:szCs w:val="24"/>
        </w:rPr>
        <w:t xml:space="preserve"> To je však o</w:t>
      </w:r>
      <w:r w:rsidR="004D7F21">
        <w:rPr>
          <w:rFonts w:ascii="Times New Roman" w:hAnsi="Times New Roman" w:cs="Times New Roman"/>
          <w:sz w:val="24"/>
          <w:szCs w:val="24"/>
        </w:rPr>
        <w:t>pis spíše jen první podmínky, kterou</w:t>
      </w:r>
      <w:r w:rsidRPr="00B528A4">
        <w:rPr>
          <w:rFonts w:ascii="Times New Roman" w:hAnsi="Times New Roman" w:cs="Times New Roman"/>
          <w:sz w:val="24"/>
          <w:szCs w:val="24"/>
        </w:rPr>
        <w:t xml:space="preserve"> v sobě </w:t>
      </w:r>
      <w:r w:rsidR="00855753">
        <w:rPr>
          <w:rFonts w:ascii="Times New Roman" w:hAnsi="Times New Roman" w:cs="Times New Roman"/>
          <w:sz w:val="24"/>
          <w:szCs w:val="24"/>
        </w:rPr>
        <w:t>zásada subsidiarity</w:t>
      </w:r>
      <w:r w:rsidR="006938F2">
        <w:rPr>
          <w:rFonts w:ascii="Times New Roman" w:hAnsi="Times New Roman" w:cs="Times New Roman"/>
          <w:sz w:val="24"/>
          <w:szCs w:val="24"/>
        </w:rPr>
        <w:t xml:space="preserve"> skýtá. T</w:t>
      </w:r>
      <w:r w:rsidRPr="00B528A4">
        <w:rPr>
          <w:rFonts w:ascii="Times New Roman" w:hAnsi="Times New Roman" w:cs="Times New Roman"/>
          <w:sz w:val="24"/>
          <w:szCs w:val="24"/>
        </w:rPr>
        <w:t xml:space="preserve">est subsidiarity ještě bude předmětem analýzy. Z toho, co jsme zatím o </w:t>
      </w:r>
      <w:r w:rsidR="008B34BD">
        <w:rPr>
          <w:rFonts w:ascii="Times New Roman" w:hAnsi="Times New Roman" w:cs="Times New Roman"/>
          <w:sz w:val="24"/>
          <w:szCs w:val="24"/>
        </w:rPr>
        <w:t>zásadě</w:t>
      </w:r>
      <w:r w:rsidRPr="00B528A4">
        <w:rPr>
          <w:rFonts w:ascii="Times New Roman" w:hAnsi="Times New Roman" w:cs="Times New Roman"/>
          <w:sz w:val="24"/>
          <w:szCs w:val="24"/>
        </w:rPr>
        <w:t xml:space="preserve"> uvedli</w:t>
      </w:r>
      <w:r w:rsidR="000C2912">
        <w:rPr>
          <w:rFonts w:ascii="Times New Roman" w:hAnsi="Times New Roman" w:cs="Times New Roman"/>
          <w:sz w:val="24"/>
          <w:szCs w:val="24"/>
        </w:rPr>
        <w:t>,</w:t>
      </w:r>
      <w:r w:rsidRPr="00B528A4">
        <w:rPr>
          <w:rFonts w:ascii="Times New Roman" w:hAnsi="Times New Roman" w:cs="Times New Roman"/>
          <w:sz w:val="24"/>
          <w:szCs w:val="24"/>
        </w:rPr>
        <w:t xml:space="preserve"> a vla</w:t>
      </w:r>
      <w:r w:rsidR="000C2912">
        <w:rPr>
          <w:rFonts w:ascii="Times New Roman" w:hAnsi="Times New Roman" w:cs="Times New Roman"/>
          <w:sz w:val="24"/>
          <w:szCs w:val="24"/>
        </w:rPr>
        <w:t>stně i z jejího samotného znění</w:t>
      </w:r>
      <w:r w:rsidRPr="00B528A4">
        <w:rPr>
          <w:rFonts w:ascii="Times New Roman" w:hAnsi="Times New Roman" w:cs="Times New Roman"/>
          <w:sz w:val="24"/>
          <w:szCs w:val="24"/>
        </w:rPr>
        <w:t xml:space="preserve"> by mnozí mohli činit závěr, že</w:t>
      </w:r>
      <w:r>
        <w:rPr>
          <w:rFonts w:ascii="Times New Roman" w:hAnsi="Times New Roman" w:cs="Times New Roman"/>
          <w:sz w:val="24"/>
          <w:szCs w:val="24"/>
        </w:rPr>
        <w:t xml:space="preserve"> </w:t>
      </w:r>
      <w:r w:rsidR="00A93759">
        <w:rPr>
          <w:rFonts w:ascii="Times New Roman" w:hAnsi="Times New Roman" w:cs="Times New Roman"/>
          <w:sz w:val="24"/>
          <w:szCs w:val="24"/>
        </w:rPr>
        <w:t>favorizuje ČS</w:t>
      </w:r>
      <w:r w:rsidRPr="00B528A4">
        <w:rPr>
          <w:rFonts w:ascii="Times New Roman" w:hAnsi="Times New Roman" w:cs="Times New Roman"/>
          <w:sz w:val="24"/>
          <w:szCs w:val="24"/>
        </w:rPr>
        <w:t xml:space="preserve"> před EU. Zda tomu tak opravdu je v r</w:t>
      </w:r>
      <w:r w:rsidR="00794986">
        <w:rPr>
          <w:rFonts w:ascii="Times New Roman" w:hAnsi="Times New Roman" w:cs="Times New Roman"/>
          <w:sz w:val="24"/>
          <w:szCs w:val="24"/>
        </w:rPr>
        <w:t>eálném světě evropské integrace</w:t>
      </w:r>
      <w:r w:rsidR="00380D49">
        <w:rPr>
          <w:rFonts w:ascii="Times New Roman" w:hAnsi="Times New Roman" w:cs="Times New Roman"/>
          <w:sz w:val="24"/>
          <w:szCs w:val="24"/>
        </w:rPr>
        <w:t>,</w:t>
      </w:r>
      <w:r w:rsidRPr="00B528A4">
        <w:rPr>
          <w:rFonts w:ascii="Times New Roman" w:hAnsi="Times New Roman" w:cs="Times New Roman"/>
          <w:sz w:val="24"/>
          <w:szCs w:val="24"/>
        </w:rPr>
        <w:t xml:space="preserve"> by </w:t>
      </w:r>
      <w:r w:rsidR="00106A9C">
        <w:rPr>
          <w:rFonts w:ascii="Times New Roman" w:hAnsi="Times New Roman" w:cs="Times New Roman"/>
          <w:sz w:val="24"/>
          <w:szCs w:val="24"/>
        </w:rPr>
        <w:t>kromě jiného</w:t>
      </w:r>
      <w:r w:rsidR="00A743D3">
        <w:rPr>
          <w:rFonts w:ascii="Times New Roman" w:hAnsi="Times New Roman" w:cs="Times New Roman"/>
          <w:sz w:val="24"/>
          <w:szCs w:val="24"/>
        </w:rPr>
        <w:t xml:space="preserve"> </w:t>
      </w:r>
      <w:r w:rsidRPr="00B528A4">
        <w:rPr>
          <w:rFonts w:ascii="Times New Roman" w:hAnsi="Times New Roman" w:cs="Times New Roman"/>
          <w:sz w:val="24"/>
          <w:szCs w:val="24"/>
        </w:rPr>
        <w:t xml:space="preserve">měly napovědět následující části.  </w:t>
      </w:r>
    </w:p>
    <w:p w:rsidR="000D007F" w:rsidRPr="00B528A4" w:rsidRDefault="000D007F" w:rsidP="0015186F">
      <w:pPr>
        <w:spacing w:after="0" w:line="360" w:lineRule="auto"/>
        <w:ind w:firstLine="708"/>
        <w:jc w:val="both"/>
        <w:rPr>
          <w:rFonts w:ascii="Times New Roman" w:hAnsi="Times New Roman" w:cs="Times New Roman"/>
          <w:sz w:val="24"/>
          <w:szCs w:val="24"/>
        </w:rPr>
      </w:pPr>
    </w:p>
    <w:p w:rsidR="005B5E43" w:rsidRDefault="00DB2284" w:rsidP="000D007F">
      <w:pPr>
        <w:pStyle w:val="Nadpis2"/>
      </w:pPr>
      <w:bookmarkStart w:id="17" w:name="_Toc478235163"/>
      <w:r>
        <w:t>2.2</w:t>
      </w:r>
      <w:r w:rsidR="006F3665">
        <w:t xml:space="preserve"> </w:t>
      </w:r>
      <w:r w:rsidR="00B85FF1" w:rsidRPr="00B528A4">
        <w:t>Test subsidiarity</w:t>
      </w:r>
      <w:bookmarkEnd w:id="17"/>
    </w:p>
    <w:p w:rsidR="000D007F" w:rsidRPr="000D007F" w:rsidRDefault="000D007F" w:rsidP="000D007F"/>
    <w:p w:rsidR="00B85FF1" w:rsidRPr="00B528A4" w:rsidRDefault="00B85FF1" w:rsidP="00F92A6E">
      <w:pPr>
        <w:spacing w:after="0" w:line="360" w:lineRule="auto"/>
        <w:jc w:val="both"/>
        <w:rPr>
          <w:rFonts w:ascii="Times New Roman" w:hAnsi="Times New Roman" w:cs="Times New Roman"/>
          <w:sz w:val="24"/>
          <w:szCs w:val="24"/>
        </w:rPr>
      </w:pPr>
      <w:r w:rsidRPr="00B528A4">
        <w:rPr>
          <w:rFonts w:ascii="Times New Roman" w:hAnsi="Times New Roman" w:cs="Times New Roman"/>
          <w:sz w:val="24"/>
          <w:szCs w:val="24"/>
        </w:rPr>
        <w:tab/>
      </w:r>
      <w:r w:rsidRPr="00255D21">
        <w:rPr>
          <w:rFonts w:ascii="Times New Roman" w:hAnsi="Times New Roman" w:cs="Times New Roman"/>
          <w:sz w:val="24"/>
          <w:szCs w:val="24"/>
        </w:rPr>
        <w:t>Nahlédneme</w:t>
      </w:r>
      <w:r w:rsidRPr="00B528A4">
        <w:rPr>
          <w:rFonts w:ascii="Times New Roman" w:hAnsi="Times New Roman" w:cs="Times New Roman"/>
          <w:sz w:val="24"/>
          <w:szCs w:val="24"/>
        </w:rPr>
        <w:t xml:space="preserve">-li znovu na znění </w:t>
      </w:r>
      <w:r w:rsidR="00280511">
        <w:rPr>
          <w:rFonts w:ascii="Times New Roman" w:hAnsi="Times New Roman" w:cs="Times New Roman"/>
          <w:sz w:val="24"/>
          <w:szCs w:val="24"/>
        </w:rPr>
        <w:t>zásady</w:t>
      </w:r>
      <w:r w:rsidRPr="00B528A4">
        <w:rPr>
          <w:rFonts w:ascii="Times New Roman" w:hAnsi="Times New Roman" w:cs="Times New Roman"/>
          <w:sz w:val="24"/>
          <w:szCs w:val="24"/>
        </w:rPr>
        <w:t xml:space="preserve"> v LS a pomineme-li vyloučení výlučných pravomocí</w:t>
      </w:r>
      <w:r w:rsidRPr="00B528A4">
        <w:rPr>
          <w:rStyle w:val="Znakapoznpodarou"/>
          <w:rFonts w:ascii="Times New Roman" w:hAnsi="Times New Roman" w:cs="Times New Roman"/>
          <w:sz w:val="24"/>
          <w:szCs w:val="24"/>
        </w:rPr>
        <w:footnoteReference w:id="99"/>
      </w:r>
      <w:r w:rsidRPr="00B528A4">
        <w:rPr>
          <w:rFonts w:ascii="Times New Roman" w:hAnsi="Times New Roman" w:cs="Times New Roman"/>
          <w:sz w:val="24"/>
          <w:szCs w:val="24"/>
        </w:rPr>
        <w:t xml:space="preserve"> z její působnosti, pak tato vlastně sestává ze dvou podmínek. Právě ty tvoří </w:t>
      </w:r>
      <w:r>
        <w:rPr>
          <w:rFonts w:ascii="Times New Roman" w:hAnsi="Times New Roman" w:cs="Times New Roman"/>
          <w:sz w:val="24"/>
          <w:szCs w:val="24"/>
        </w:rPr>
        <w:t>tzv. test subsidiarity</w:t>
      </w:r>
      <w:r w:rsidRPr="00B528A4">
        <w:rPr>
          <w:rFonts w:ascii="Times New Roman" w:hAnsi="Times New Roman" w:cs="Times New Roman"/>
          <w:sz w:val="24"/>
          <w:szCs w:val="24"/>
        </w:rPr>
        <w:t>.</w:t>
      </w:r>
      <w:r>
        <w:rPr>
          <w:rFonts w:ascii="Times New Roman" w:hAnsi="Times New Roman" w:cs="Times New Roman"/>
          <w:sz w:val="24"/>
          <w:szCs w:val="24"/>
        </w:rPr>
        <w:t xml:space="preserve"> Pro jasnost </w:t>
      </w:r>
      <w:r w:rsidRPr="00B528A4">
        <w:rPr>
          <w:rFonts w:ascii="Times New Roman" w:hAnsi="Times New Roman" w:cs="Times New Roman"/>
          <w:sz w:val="24"/>
          <w:szCs w:val="24"/>
        </w:rPr>
        <w:t>zmiňme, že těmi, jejichž činn</w:t>
      </w:r>
      <w:r w:rsidR="00D63420">
        <w:rPr>
          <w:rFonts w:ascii="Times New Roman" w:hAnsi="Times New Roman" w:cs="Times New Roman"/>
          <w:sz w:val="24"/>
          <w:szCs w:val="24"/>
        </w:rPr>
        <w:t>osti by měly testem</w:t>
      </w:r>
      <w:r w:rsidRPr="00B528A4">
        <w:rPr>
          <w:rFonts w:ascii="Times New Roman" w:hAnsi="Times New Roman" w:cs="Times New Roman"/>
          <w:sz w:val="24"/>
          <w:szCs w:val="24"/>
        </w:rPr>
        <w:t xml:space="preserve"> úspěšně projít, jsou orgány EU v čele s Komisí. Ty mají povinnost </w:t>
      </w:r>
      <w:r w:rsidR="0039649F">
        <w:rPr>
          <w:rFonts w:ascii="Times New Roman" w:hAnsi="Times New Roman" w:cs="Times New Roman"/>
          <w:sz w:val="24"/>
          <w:szCs w:val="24"/>
        </w:rPr>
        <w:t>zásadu subsidiarity</w:t>
      </w:r>
      <w:r w:rsidRPr="00B528A4">
        <w:rPr>
          <w:rFonts w:ascii="Times New Roman" w:hAnsi="Times New Roman" w:cs="Times New Roman"/>
          <w:sz w:val="24"/>
          <w:szCs w:val="24"/>
        </w:rPr>
        <w:t xml:space="preserve"> uplatňovat</w:t>
      </w:r>
      <w:r w:rsidRPr="00B528A4">
        <w:rPr>
          <w:rStyle w:val="Znakapoznpodarou"/>
          <w:rFonts w:ascii="Times New Roman" w:hAnsi="Times New Roman" w:cs="Times New Roman"/>
          <w:sz w:val="24"/>
          <w:szCs w:val="24"/>
        </w:rPr>
        <w:footnoteReference w:id="100"/>
      </w:r>
      <w:r w:rsidRPr="00B528A4">
        <w:rPr>
          <w:rFonts w:ascii="Times New Roman" w:hAnsi="Times New Roman" w:cs="Times New Roman"/>
          <w:sz w:val="24"/>
          <w:szCs w:val="24"/>
        </w:rPr>
        <w:t xml:space="preserve"> a neustále </w:t>
      </w:r>
      <w:r w:rsidRPr="00B528A4">
        <w:rPr>
          <w:rFonts w:ascii="Times New Roman" w:hAnsi="Times New Roman" w:cs="Times New Roman"/>
          <w:sz w:val="24"/>
          <w:szCs w:val="24"/>
        </w:rPr>
        <w:lastRenderedPageBreak/>
        <w:t>dbát na její dodržování</w:t>
      </w:r>
      <w:r w:rsidRPr="00B528A4">
        <w:rPr>
          <w:rStyle w:val="Znakapoznpodarou"/>
          <w:rFonts w:ascii="Times New Roman" w:hAnsi="Times New Roman" w:cs="Times New Roman"/>
          <w:sz w:val="24"/>
          <w:szCs w:val="24"/>
        </w:rPr>
        <w:footnoteReference w:id="101"/>
      </w:r>
      <w:r w:rsidRPr="00B528A4">
        <w:rPr>
          <w:rFonts w:ascii="Times New Roman" w:hAnsi="Times New Roman" w:cs="Times New Roman"/>
          <w:sz w:val="24"/>
          <w:szCs w:val="24"/>
        </w:rPr>
        <w:t>. Test by pak logicky, avšak z pozice hodnotitele, měly provádět také parlamenty</w:t>
      </w:r>
      <w:r>
        <w:rPr>
          <w:rFonts w:ascii="Times New Roman" w:hAnsi="Times New Roman" w:cs="Times New Roman"/>
          <w:sz w:val="24"/>
          <w:szCs w:val="24"/>
        </w:rPr>
        <w:t xml:space="preserve"> </w:t>
      </w:r>
      <w:r w:rsidR="00FE3F70">
        <w:rPr>
          <w:rFonts w:ascii="Times New Roman" w:hAnsi="Times New Roman" w:cs="Times New Roman"/>
          <w:sz w:val="24"/>
          <w:szCs w:val="24"/>
        </w:rPr>
        <w:t>v rámci systému včasného varování</w:t>
      </w:r>
      <w:r w:rsidR="00107542">
        <w:rPr>
          <w:rFonts w:ascii="Times New Roman" w:hAnsi="Times New Roman" w:cs="Times New Roman"/>
          <w:sz w:val="24"/>
          <w:szCs w:val="24"/>
        </w:rPr>
        <w:t>.</w:t>
      </w:r>
    </w:p>
    <w:p w:rsidR="00B85FF1" w:rsidRPr="00B528A4" w:rsidRDefault="00B85FF1" w:rsidP="00F92A6E">
      <w:pPr>
        <w:spacing w:after="0" w:line="360" w:lineRule="auto"/>
        <w:jc w:val="both"/>
        <w:rPr>
          <w:rFonts w:ascii="Times New Roman" w:hAnsi="Times New Roman" w:cs="Times New Roman"/>
          <w:sz w:val="24"/>
          <w:szCs w:val="24"/>
        </w:rPr>
      </w:pPr>
      <w:r w:rsidRPr="00B528A4">
        <w:rPr>
          <w:rFonts w:ascii="Times New Roman" w:hAnsi="Times New Roman" w:cs="Times New Roman"/>
          <w:sz w:val="24"/>
          <w:szCs w:val="24"/>
        </w:rPr>
        <w:tab/>
        <w:t xml:space="preserve">První podmínku, </w:t>
      </w:r>
      <w:r w:rsidRPr="00B528A4">
        <w:rPr>
          <w:rFonts w:ascii="Times New Roman" w:hAnsi="Times New Roman" w:cs="Times New Roman"/>
          <w:i/>
          <w:sz w:val="24"/>
          <w:szCs w:val="24"/>
        </w:rPr>
        <w:t>„pokud cílů zamýšlené činnosti nemůže být dosaženo uspokojivě členskými státy na úrovni ústřední, regionální či místní“</w:t>
      </w:r>
      <w:r w:rsidR="004A1FC9">
        <w:rPr>
          <w:rFonts w:ascii="Times New Roman" w:hAnsi="Times New Roman" w:cs="Times New Roman"/>
          <w:i/>
          <w:sz w:val="24"/>
          <w:szCs w:val="24"/>
        </w:rPr>
        <w:t>,</w:t>
      </w:r>
      <w:r w:rsidR="00500250">
        <w:rPr>
          <w:rStyle w:val="Znakapoznpodarou"/>
          <w:rFonts w:ascii="Times New Roman" w:hAnsi="Times New Roman" w:cs="Times New Roman"/>
          <w:i/>
          <w:sz w:val="24"/>
          <w:szCs w:val="24"/>
        </w:rPr>
        <w:footnoteReference w:id="102"/>
      </w:r>
      <w:r w:rsidRPr="00B528A4">
        <w:rPr>
          <w:rFonts w:ascii="Times New Roman" w:hAnsi="Times New Roman" w:cs="Times New Roman"/>
          <w:sz w:val="24"/>
          <w:szCs w:val="24"/>
        </w:rPr>
        <w:t xml:space="preserve"> lze nahlížet jako kritérium dostatečnosti. Jinými slovy</w:t>
      </w:r>
      <w:r>
        <w:rPr>
          <w:rFonts w:ascii="Times New Roman" w:hAnsi="Times New Roman" w:cs="Times New Roman"/>
          <w:sz w:val="24"/>
          <w:szCs w:val="24"/>
        </w:rPr>
        <w:t>,</w:t>
      </w:r>
      <w:r w:rsidRPr="00B528A4">
        <w:rPr>
          <w:rFonts w:ascii="Times New Roman" w:hAnsi="Times New Roman" w:cs="Times New Roman"/>
          <w:sz w:val="24"/>
          <w:szCs w:val="24"/>
        </w:rPr>
        <w:t xml:space="preserve"> je třeba odpovědět n</w:t>
      </w:r>
      <w:r w:rsidR="00A6302B">
        <w:rPr>
          <w:rFonts w:ascii="Times New Roman" w:hAnsi="Times New Roman" w:cs="Times New Roman"/>
          <w:sz w:val="24"/>
          <w:szCs w:val="24"/>
        </w:rPr>
        <w:t>a otázku, zda jsou ČS</w:t>
      </w:r>
      <w:r w:rsidRPr="00B528A4">
        <w:rPr>
          <w:rFonts w:ascii="Times New Roman" w:hAnsi="Times New Roman" w:cs="Times New Roman"/>
          <w:sz w:val="24"/>
          <w:szCs w:val="24"/>
        </w:rPr>
        <w:t xml:space="preserve"> schopny, a sice uspokojivě, dosáhnout cílů.</w:t>
      </w:r>
      <w:r w:rsidR="00EF2704">
        <w:rPr>
          <w:rFonts w:ascii="Times New Roman" w:hAnsi="Times New Roman" w:cs="Times New Roman"/>
          <w:sz w:val="24"/>
          <w:szCs w:val="24"/>
        </w:rPr>
        <w:t xml:space="preserve"> Z</w:t>
      </w:r>
      <w:r w:rsidRPr="00B528A4">
        <w:rPr>
          <w:rFonts w:ascii="Times New Roman" w:hAnsi="Times New Roman" w:cs="Times New Roman"/>
          <w:sz w:val="24"/>
          <w:szCs w:val="24"/>
        </w:rPr>
        <w:t>důrazněme, že se myslí cílů EU.</w:t>
      </w:r>
      <w:r w:rsidRPr="00B528A4">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w:t>
      </w:r>
      <w:proofErr w:type="spellStart"/>
      <w:r>
        <w:rPr>
          <w:rFonts w:ascii="Times New Roman" w:hAnsi="Times New Roman" w:cs="Times New Roman"/>
          <w:sz w:val="24"/>
          <w:szCs w:val="24"/>
        </w:rPr>
        <w:t>Kiiver</w:t>
      </w:r>
      <w:proofErr w:type="spellEnd"/>
      <w:r>
        <w:rPr>
          <w:rFonts w:ascii="Times New Roman" w:hAnsi="Times New Roman" w:cs="Times New Roman"/>
          <w:sz w:val="24"/>
          <w:szCs w:val="24"/>
        </w:rPr>
        <w:t xml:space="preserve"> </w:t>
      </w:r>
      <w:r w:rsidRPr="00B528A4">
        <w:rPr>
          <w:rFonts w:ascii="Times New Roman" w:hAnsi="Times New Roman" w:cs="Times New Roman"/>
          <w:sz w:val="24"/>
          <w:szCs w:val="24"/>
        </w:rPr>
        <w:t>tuto podmínku nazývá negativním sub-testem.</w:t>
      </w:r>
      <w:r w:rsidRPr="00B528A4">
        <w:rPr>
          <w:rStyle w:val="Znakapoznpodarou"/>
          <w:rFonts w:ascii="Times New Roman" w:hAnsi="Times New Roman" w:cs="Times New Roman"/>
          <w:sz w:val="24"/>
          <w:szCs w:val="24"/>
        </w:rPr>
        <w:footnoteReference w:id="104"/>
      </w:r>
      <w:r w:rsidRPr="00B528A4">
        <w:rPr>
          <w:rFonts w:ascii="Times New Roman" w:hAnsi="Times New Roman" w:cs="Times New Roman"/>
          <w:sz w:val="24"/>
          <w:szCs w:val="24"/>
        </w:rPr>
        <w:t xml:space="preserve"> </w:t>
      </w:r>
      <w:r w:rsidR="00F467EE">
        <w:rPr>
          <w:rFonts w:ascii="Times New Roman" w:hAnsi="Times New Roman" w:cs="Times New Roman"/>
          <w:sz w:val="24"/>
          <w:szCs w:val="24"/>
        </w:rPr>
        <w:t>Její p</w:t>
      </w:r>
      <w:r w:rsidRPr="00B528A4">
        <w:rPr>
          <w:rFonts w:ascii="Times New Roman" w:hAnsi="Times New Roman" w:cs="Times New Roman"/>
          <w:sz w:val="24"/>
          <w:szCs w:val="24"/>
        </w:rPr>
        <w:t>ra</w:t>
      </w:r>
      <w:r w:rsidR="00F467EE">
        <w:rPr>
          <w:rFonts w:ascii="Times New Roman" w:hAnsi="Times New Roman" w:cs="Times New Roman"/>
          <w:sz w:val="24"/>
          <w:szCs w:val="24"/>
        </w:rPr>
        <w:t>ktickou komplikací</w:t>
      </w:r>
      <w:r w:rsidRPr="00B528A4">
        <w:rPr>
          <w:rFonts w:ascii="Times New Roman" w:hAnsi="Times New Roman" w:cs="Times New Roman"/>
          <w:sz w:val="24"/>
          <w:szCs w:val="24"/>
        </w:rPr>
        <w:t xml:space="preserve"> je sama její podstata, ona uspokojivost. Výklady toho, co je ještě</w:t>
      </w:r>
      <w:r w:rsidR="00F61377">
        <w:rPr>
          <w:rFonts w:ascii="Times New Roman" w:hAnsi="Times New Roman" w:cs="Times New Roman"/>
          <w:sz w:val="24"/>
          <w:szCs w:val="24"/>
        </w:rPr>
        <w:t xml:space="preserve"> uspokojivé a co již naopak ne</w:t>
      </w:r>
      <w:r w:rsidR="00F409B0">
        <w:rPr>
          <w:rFonts w:ascii="Times New Roman" w:hAnsi="Times New Roman" w:cs="Times New Roman"/>
          <w:sz w:val="24"/>
          <w:szCs w:val="24"/>
        </w:rPr>
        <w:t>, se mohou přirozeně</w:t>
      </w:r>
      <w:r w:rsidRPr="00B528A4">
        <w:rPr>
          <w:rFonts w:ascii="Times New Roman" w:hAnsi="Times New Roman" w:cs="Times New Roman"/>
          <w:sz w:val="24"/>
          <w:szCs w:val="24"/>
        </w:rPr>
        <w:t xml:space="preserve"> lišit. A zatímco protokol č. 30</w:t>
      </w:r>
      <w:r w:rsidR="00AB721E">
        <w:rPr>
          <w:rFonts w:ascii="Times New Roman" w:hAnsi="Times New Roman" w:cs="Times New Roman"/>
          <w:sz w:val="24"/>
          <w:szCs w:val="24"/>
        </w:rPr>
        <w:t xml:space="preserve"> v tomto směru předkládal některá</w:t>
      </w:r>
      <w:r w:rsidR="00CB5134">
        <w:rPr>
          <w:rFonts w:ascii="Times New Roman" w:hAnsi="Times New Roman" w:cs="Times New Roman"/>
          <w:sz w:val="24"/>
          <w:szCs w:val="24"/>
        </w:rPr>
        <w:t>, byť stále dost obecná,</w:t>
      </w:r>
      <w:r w:rsidRPr="00B528A4">
        <w:rPr>
          <w:rFonts w:ascii="Times New Roman" w:hAnsi="Times New Roman" w:cs="Times New Roman"/>
          <w:sz w:val="24"/>
          <w:szCs w:val="24"/>
        </w:rPr>
        <w:t xml:space="preserve"> vodítka</w:t>
      </w:r>
      <w:r w:rsidR="004A2246">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05"/>
      </w:r>
      <w:r w:rsidRPr="00B528A4">
        <w:rPr>
          <w:rFonts w:ascii="Times New Roman" w:hAnsi="Times New Roman" w:cs="Times New Roman"/>
          <w:sz w:val="24"/>
          <w:szCs w:val="24"/>
        </w:rPr>
        <w:t xml:space="preserve"> současný p</w:t>
      </w:r>
      <w:r w:rsidR="006B23DD">
        <w:rPr>
          <w:rFonts w:ascii="Times New Roman" w:hAnsi="Times New Roman" w:cs="Times New Roman"/>
          <w:sz w:val="24"/>
          <w:szCs w:val="24"/>
        </w:rPr>
        <w:t>rotokol č. 2 této podmínce</w:t>
      </w:r>
      <w:r w:rsidRPr="00B528A4">
        <w:rPr>
          <w:rFonts w:ascii="Times New Roman" w:hAnsi="Times New Roman" w:cs="Times New Roman"/>
          <w:sz w:val="24"/>
          <w:szCs w:val="24"/>
        </w:rPr>
        <w:t xml:space="preserve"> nevěnuje </w:t>
      </w:r>
      <w:r w:rsidR="00A36712">
        <w:rPr>
          <w:rFonts w:ascii="Times New Roman" w:hAnsi="Times New Roman" w:cs="Times New Roman"/>
          <w:sz w:val="24"/>
          <w:szCs w:val="24"/>
        </w:rPr>
        <w:t xml:space="preserve">bližší </w:t>
      </w:r>
      <w:r w:rsidRPr="00B528A4">
        <w:rPr>
          <w:rFonts w:ascii="Times New Roman" w:hAnsi="Times New Roman" w:cs="Times New Roman"/>
          <w:sz w:val="24"/>
          <w:szCs w:val="24"/>
        </w:rPr>
        <w:t>pozornost.</w:t>
      </w:r>
      <w:r w:rsidRPr="00B528A4">
        <w:rPr>
          <w:rStyle w:val="Znakapoznpodarou"/>
          <w:rFonts w:ascii="Times New Roman" w:hAnsi="Times New Roman" w:cs="Times New Roman"/>
          <w:sz w:val="24"/>
          <w:szCs w:val="24"/>
        </w:rPr>
        <w:footnoteReference w:id="106"/>
      </w:r>
      <w:r w:rsidRPr="00B528A4">
        <w:rPr>
          <w:rFonts w:ascii="Times New Roman" w:hAnsi="Times New Roman" w:cs="Times New Roman"/>
          <w:sz w:val="24"/>
          <w:szCs w:val="24"/>
        </w:rPr>
        <w:t xml:space="preserve"> Naopak pochvalme, že samotné znění podmínky nově výslovně počítá i s regionální či místní úrovní.</w:t>
      </w:r>
      <w:r>
        <w:rPr>
          <w:rFonts w:ascii="Times New Roman" w:hAnsi="Times New Roman" w:cs="Times New Roman"/>
          <w:sz w:val="24"/>
          <w:szCs w:val="24"/>
        </w:rPr>
        <w:t xml:space="preserve"> </w:t>
      </w:r>
    </w:p>
    <w:p w:rsidR="00B85FF1" w:rsidRPr="00B528A4" w:rsidRDefault="00B85FF1" w:rsidP="00F92A6E">
      <w:pPr>
        <w:spacing w:after="0" w:line="360" w:lineRule="auto"/>
        <w:jc w:val="both"/>
        <w:rPr>
          <w:rFonts w:ascii="Times New Roman" w:hAnsi="Times New Roman" w:cs="Times New Roman"/>
          <w:sz w:val="24"/>
          <w:szCs w:val="24"/>
        </w:rPr>
      </w:pPr>
      <w:r w:rsidRPr="00B528A4">
        <w:rPr>
          <w:rFonts w:ascii="Times New Roman" w:hAnsi="Times New Roman" w:cs="Times New Roman"/>
          <w:sz w:val="24"/>
          <w:szCs w:val="24"/>
        </w:rPr>
        <w:tab/>
        <w:t xml:space="preserve">V případě druhé podmínky, </w:t>
      </w:r>
      <w:r w:rsidRPr="00B528A4">
        <w:rPr>
          <w:rFonts w:ascii="Times New Roman" w:hAnsi="Times New Roman" w:cs="Times New Roman"/>
          <w:i/>
          <w:sz w:val="24"/>
          <w:szCs w:val="24"/>
        </w:rPr>
        <w:t>„ale spíše jich, z důvodu jejího rozsahu či účinků, může být lépe dosaženo na úrovni Unie“</w:t>
      </w:r>
      <w:r w:rsidR="004B03FE">
        <w:rPr>
          <w:rFonts w:ascii="Times New Roman" w:hAnsi="Times New Roman" w:cs="Times New Roman"/>
          <w:i/>
          <w:sz w:val="24"/>
          <w:szCs w:val="24"/>
        </w:rPr>
        <w:t>,</w:t>
      </w:r>
      <w:r w:rsidR="00C951EB">
        <w:rPr>
          <w:rStyle w:val="Znakapoznpodarou"/>
          <w:rFonts w:ascii="Times New Roman" w:hAnsi="Times New Roman" w:cs="Times New Roman"/>
          <w:i/>
          <w:sz w:val="24"/>
          <w:szCs w:val="24"/>
        </w:rPr>
        <w:footnoteReference w:id="107"/>
      </w:r>
      <w:r w:rsidRPr="00B528A4">
        <w:rPr>
          <w:rFonts w:ascii="Times New Roman" w:hAnsi="Times New Roman" w:cs="Times New Roman"/>
          <w:i/>
          <w:sz w:val="24"/>
          <w:szCs w:val="24"/>
        </w:rPr>
        <w:t xml:space="preserve"> </w:t>
      </w:r>
      <w:r w:rsidRPr="00B528A4">
        <w:rPr>
          <w:rFonts w:ascii="Times New Roman" w:hAnsi="Times New Roman" w:cs="Times New Roman"/>
          <w:sz w:val="24"/>
          <w:szCs w:val="24"/>
        </w:rPr>
        <w:t>jde o pozitivní sub-test a lze ji nah</w:t>
      </w:r>
      <w:r w:rsidR="00AD729F">
        <w:rPr>
          <w:rFonts w:ascii="Times New Roman" w:hAnsi="Times New Roman" w:cs="Times New Roman"/>
          <w:sz w:val="24"/>
          <w:szCs w:val="24"/>
        </w:rPr>
        <w:t xml:space="preserve">lížet jako kritérium </w:t>
      </w:r>
      <w:r>
        <w:rPr>
          <w:rFonts w:ascii="Times New Roman" w:hAnsi="Times New Roman" w:cs="Times New Roman"/>
          <w:sz w:val="24"/>
          <w:szCs w:val="24"/>
        </w:rPr>
        <w:t xml:space="preserve">unijní </w:t>
      </w:r>
      <w:r w:rsidRPr="00B528A4">
        <w:rPr>
          <w:rFonts w:ascii="Times New Roman" w:hAnsi="Times New Roman" w:cs="Times New Roman"/>
          <w:sz w:val="24"/>
          <w:szCs w:val="24"/>
        </w:rPr>
        <w:t>přidané hodnoty. Pokud jsme problematičnost výkladu zmíni</w:t>
      </w:r>
      <w:r w:rsidR="00E6067F">
        <w:rPr>
          <w:rFonts w:ascii="Times New Roman" w:hAnsi="Times New Roman" w:cs="Times New Roman"/>
          <w:sz w:val="24"/>
          <w:szCs w:val="24"/>
        </w:rPr>
        <w:t xml:space="preserve">li u první podmínky, nelze </w:t>
      </w:r>
      <w:r>
        <w:rPr>
          <w:rFonts w:ascii="Times New Roman" w:hAnsi="Times New Roman" w:cs="Times New Roman"/>
          <w:sz w:val="24"/>
          <w:szCs w:val="24"/>
        </w:rPr>
        <w:t xml:space="preserve">tak </w:t>
      </w:r>
      <w:r w:rsidR="00E6067F">
        <w:rPr>
          <w:rFonts w:ascii="Times New Roman" w:hAnsi="Times New Roman" w:cs="Times New Roman"/>
          <w:sz w:val="24"/>
          <w:szCs w:val="24"/>
        </w:rPr>
        <w:t>ne</w:t>
      </w:r>
      <w:r>
        <w:rPr>
          <w:rFonts w:ascii="Times New Roman" w:hAnsi="Times New Roman" w:cs="Times New Roman"/>
          <w:sz w:val="24"/>
          <w:szCs w:val="24"/>
        </w:rPr>
        <w:t>učinit i u této</w:t>
      </w:r>
      <w:r w:rsidR="00401B83">
        <w:rPr>
          <w:rFonts w:ascii="Times New Roman" w:hAnsi="Times New Roman" w:cs="Times New Roman"/>
          <w:sz w:val="24"/>
          <w:szCs w:val="24"/>
        </w:rPr>
        <w:t>. Začít lze</w:t>
      </w:r>
      <w:r w:rsidRPr="00B528A4">
        <w:rPr>
          <w:rFonts w:ascii="Times New Roman" w:hAnsi="Times New Roman" w:cs="Times New Roman"/>
          <w:sz w:val="24"/>
          <w:szCs w:val="24"/>
        </w:rPr>
        <w:t xml:space="preserve"> slovem „lépe“. Protokol č. 2 uvádí, že zdůvodnění lepšího dosažení se má opírat </w:t>
      </w:r>
      <w:r w:rsidRPr="00B528A4">
        <w:rPr>
          <w:rFonts w:ascii="Times New Roman" w:hAnsi="Times New Roman" w:cs="Times New Roman"/>
          <w:i/>
          <w:sz w:val="24"/>
          <w:szCs w:val="24"/>
        </w:rPr>
        <w:t>„o kvalitativní, a kdekoli je to možné, kvantitativní údaje</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08"/>
      </w:r>
      <w:r w:rsidRPr="00B528A4">
        <w:rPr>
          <w:rFonts w:ascii="Times New Roman" w:hAnsi="Times New Roman" w:cs="Times New Roman"/>
          <w:sz w:val="24"/>
          <w:szCs w:val="24"/>
        </w:rPr>
        <w:t xml:space="preserve"> Velmi široce se pak jeví</w:t>
      </w:r>
      <w:r w:rsidR="00382518">
        <w:rPr>
          <w:rFonts w:ascii="Times New Roman" w:hAnsi="Times New Roman" w:cs="Times New Roman"/>
          <w:sz w:val="24"/>
          <w:szCs w:val="24"/>
        </w:rPr>
        <w:t xml:space="preserve"> i</w:t>
      </w:r>
      <w:r w:rsidR="00EA18AE">
        <w:rPr>
          <w:rFonts w:ascii="Times New Roman" w:hAnsi="Times New Roman" w:cs="Times New Roman"/>
          <w:sz w:val="24"/>
          <w:szCs w:val="24"/>
        </w:rPr>
        <w:t xml:space="preserve"> pojmy „rozsah“ a „účinky“. Z</w:t>
      </w:r>
      <w:r w:rsidRPr="00B528A4">
        <w:rPr>
          <w:rFonts w:ascii="Times New Roman" w:hAnsi="Times New Roman" w:cs="Times New Roman"/>
          <w:sz w:val="24"/>
          <w:szCs w:val="24"/>
        </w:rPr>
        <w:t>de lze souhlasit s </w:t>
      </w:r>
      <w:proofErr w:type="spellStart"/>
      <w:r w:rsidRPr="00B528A4">
        <w:rPr>
          <w:rFonts w:ascii="Times New Roman" w:hAnsi="Times New Roman" w:cs="Times New Roman"/>
          <w:sz w:val="24"/>
          <w:szCs w:val="24"/>
        </w:rPr>
        <w:t>Kiiverem</w:t>
      </w:r>
      <w:proofErr w:type="spellEnd"/>
      <w:r w:rsidRPr="00B528A4">
        <w:rPr>
          <w:rFonts w:ascii="Times New Roman" w:hAnsi="Times New Roman" w:cs="Times New Roman"/>
          <w:sz w:val="24"/>
          <w:szCs w:val="24"/>
        </w:rPr>
        <w:t>, že právě tato obecnost</w:t>
      </w:r>
      <w:r w:rsidR="00514AD7">
        <w:rPr>
          <w:rFonts w:ascii="Times New Roman" w:hAnsi="Times New Roman" w:cs="Times New Roman"/>
          <w:sz w:val="24"/>
          <w:szCs w:val="24"/>
        </w:rPr>
        <w:t xml:space="preserve"> </w:t>
      </w:r>
      <w:r w:rsidRPr="00B528A4">
        <w:rPr>
          <w:rFonts w:ascii="Times New Roman" w:hAnsi="Times New Roman" w:cs="Times New Roman"/>
          <w:sz w:val="24"/>
          <w:szCs w:val="24"/>
        </w:rPr>
        <w:t>umožňuje formulovat souladné odůvodnění vlastně pro jakékoli zamýšlené opatření.</w:t>
      </w:r>
      <w:r w:rsidRPr="00B528A4">
        <w:rPr>
          <w:rStyle w:val="Znakapoznpodarou"/>
          <w:rFonts w:ascii="Times New Roman" w:hAnsi="Times New Roman" w:cs="Times New Roman"/>
          <w:sz w:val="24"/>
          <w:szCs w:val="24"/>
        </w:rPr>
        <w:footnoteReference w:id="109"/>
      </w:r>
    </w:p>
    <w:p w:rsidR="00C415A0" w:rsidRDefault="00B85FF1" w:rsidP="00F92A6E">
      <w:pPr>
        <w:spacing w:after="0" w:line="360" w:lineRule="auto"/>
        <w:jc w:val="both"/>
        <w:rPr>
          <w:rFonts w:ascii="Times New Roman" w:hAnsi="Times New Roman" w:cs="Times New Roman"/>
          <w:sz w:val="24"/>
          <w:szCs w:val="24"/>
        </w:rPr>
      </w:pPr>
      <w:r w:rsidRPr="00B528A4">
        <w:rPr>
          <w:rFonts w:ascii="Times New Roman" w:hAnsi="Times New Roman" w:cs="Times New Roman"/>
          <w:sz w:val="24"/>
          <w:szCs w:val="24"/>
        </w:rPr>
        <w:tab/>
        <w:t>Nutně uveďme, že pr</w:t>
      </w:r>
      <w:r w:rsidR="00FC186F">
        <w:rPr>
          <w:rFonts w:ascii="Times New Roman" w:hAnsi="Times New Roman" w:cs="Times New Roman"/>
          <w:sz w:val="24"/>
          <w:szCs w:val="24"/>
        </w:rPr>
        <w:t>o soulad se zásadou subsidiarity</w:t>
      </w:r>
      <w:r w:rsidRPr="00B528A4">
        <w:rPr>
          <w:rFonts w:ascii="Times New Roman" w:hAnsi="Times New Roman" w:cs="Times New Roman"/>
          <w:sz w:val="24"/>
          <w:szCs w:val="24"/>
        </w:rPr>
        <w:t xml:space="preserve"> musí být obě podmínky splněny k</w:t>
      </w:r>
      <w:r w:rsidR="00A707B7">
        <w:rPr>
          <w:rFonts w:ascii="Times New Roman" w:hAnsi="Times New Roman" w:cs="Times New Roman"/>
          <w:sz w:val="24"/>
          <w:szCs w:val="24"/>
        </w:rPr>
        <w:t>umulativně.</w:t>
      </w:r>
      <w:r w:rsidRPr="00B528A4">
        <w:rPr>
          <w:rFonts w:ascii="Times New Roman" w:hAnsi="Times New Roman" w:cs="Times New Roman"/>
          <w:sz w:val="24"/>
          <w:szCs w:val="24"/>
        </w:rPr>
        <w:t xml:space="preserve"> Zatímco protokol č. 30 na potřebu splně</w:t>
      </w:r>
      <w:r>
        <w:rPr>
          <w:rFonts w:ascii="Times New Roman" w:hAnsi="Times New Roman" w:cs="Times New Roman"/>
          <w:sz w:val="24"/>
          <w:szCs w:val="24"/>
        </w:rPr>
        <w:t>ní obou podmínek současně</w:t>
      </w:r>
      <w:r w:rsidRPr="00B528A4">
        <w:rPr>
          <w:rFonts w:ascii="Times New Roman" w:hAnsi="Times New Roman" w:cs="Times New Roman"/>
          <w:sz w:val="24"/>
          <w:szCs w:val="24"/>
        </w:rPr>
        <w:t xml:space="preserve"> upozorňoval</w:t>
      </w:r>
      <w:r w:rsidR="00DC1FB7">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10"/>
      </w:r>
      <w:r w:rsidRPr="00B528A4">
        <w:rPr>
          <w:rFonts w:ascii="Times New Roman" w:hAnsi="Times New Roman" w:cs="Times New Roman"/>
          <w:sz w:val="24"/>
          <w:szCs w:val="24"/>
        </w:rPr>
        <w:t xml:space="preserve"> ten aktuální tak nečiní.</w:t>
      </w:r>
      <w:r>
        <w:rPr>
          <w:rFonts w:ascii="Times New Roman" w:hAnsi="Times New Roman" w:cs="Times New Roman"/>
          <w:sz w:val="24"/>
          <w:szCs w:val="24"/>
        </w:rPr>
        <w:t xml:space="preserve"> Přihlédněme </w:t>
      </w:r>
      <w:r w:rsidRPr="00B528A4">
        <w:rPr>
          <w:rFonts w:ascii="Times New Roman" w:hAnsi="Times New Roman" w:cs="Times New Roman"/>
          <w:sz w:val="24"/>
          <w:szCs w:val="24"/>
        </w:rPr>
        <w:t xml:space="preserve">i ke změně spojovací konstrukce obou </w:t>
      </w:r>
      <w:r w:rsidRPr="00B528A4">
        <w:rPr>
          <w:rFonts w:ascii="Times New Roman" w:hAnsi="Times New Roman" w:cs="Times New Roman"/>
          <w:sz w:val="24"/>
          <w:szCs w:val="24"/>
        </w:rPr>
        <w:lastRenderedPageBreak/>
        <w:t>podmínek, když slova „a proto“</w:t>
      </w:r>
      <w:r w:rsidRPr="00B528A4">
        <w:rPr>
          <w:rStyle w:val="Znakapoznpodarou"/>
          <w:rFonts w:ascii="Times New Roman" w:hAnsi="Times New Roman" w:cs="Times New Roman"/>
          <w:sz w:val="24"/>
          <w:szCs w:val="24"/>
        </w:rPr>
        <w:footnoteReference w:id="111"/>
      </w:r>
      <w:r w:rsidRPr="00B528A4">
        <w:rPr>
          <w:rFonts w:ascii="Times New Roman" w:hAnsi="Times New Roman" w:cs="Times New Roman"/>
          <w:sz w:val="24"/>
          <w:szCs w:val="24"/>
        </w:rPr>
        <w:t xml:space="preserve"> byla nahrazena slovy „ale spíše“. Na základě této změny lze hovořit o relativizaci</w:t>
      </w:r>
      <w:r w:rsidR="00D45348">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12"/>
      </w:r>
      <w:r w:rsidRPr="00B528A4">
        <w:rPr>
          <w:rFonts w:ascii="Times New Roman" w:hAnsi="Times New Roman" w:cs="Times New Roman"/>
          <w:sz w:val="24"/>
          <w:szCs w:val="24"/>
        </w:rPr>
        <w:t xml:space="preserve"> kumulativnost však dle našeho náz</w:t>
      </w:r>
      <w:r w:rsidR="00142EF0">
        <w:rPr>
          <w:rFonts w:ascii="Times New Roman" w:hAnsi="Times New Roman" w:cs="Times New Roman"/>
          <w:sz w:val="24"/>
          <w:szCs w:val="24"/>
        </w:rPr>
        <w:t>oru nebyla dotčena, spíše</w:t>
      </w:r>
      <w:r w:rsidRPr="00B528A4">
        <w:rPr>
          <w:rFonts w:ascii="Times New Roman" w:hAnsi="Times New Roman" w:cs="Times New Roman"/>
          <w:sz w:val="24"/>
          <w:szCs w:val="24"/>
        </w:rPr>
        <w:t xml:space="preserve"> potvrzena. </w:t>
      </w:r>
    </w:p>
    <w:p w:rsidR="00F95692" w:rsidRPr="00B528A4" w:rsidRDefault="00F95692" w:rsidP="00F92A6E">
      <w:pPr>
        <w:spacing w:after="0" w:line="360" w:lineRule="auto"/>
        <w:jc w:val="both"/>
        <w:rPr>
          <w:rFonts w:ascii="Times New Roman" w:hAnsi="Times New Roman" w:cs="Times New Roman"/>
          <w:sz w:val="24"/>
          <w:szCs w:val="24"/>
        </w:rPr>
      </w:pPr>
    </w:p>
    <w:p w:rsidR="00B85FF1" w:rsidRDefault="00E97A6B" w:rsidP="00CC7AE1">
      <w:pPr>
        <w:pStyle w:val="Nadpis2"/>
      </w:pPr>
      <w:bookmarkStart w:id="18" w:name="_Toc478235164"/>
      <w:r>
        <w:t>2</w:t>
      </w:r>
      <w:r w:rsidR="00CC7AE1">
        <w:t xml:space="preserve">.3 </w:t>
      </w:r>
      <w:r w:rsidR="009D2FE0">
        <w:t>P</w:t>
      </w:r>
      <w:r w:rsidR="00B85FF1" w:rsidRPr="00B528A4">
        <w:t>oliticko-právní rozměr a jiné aspekty</w:t>
      </w:r>
      <w:bookmarkEnd w:id="18"/>
    </w:p>
    <w:p w:rsidR="00CC7AE1" w:rsidRPr="00CC7AE1" w:rsidRDefault="00CC7AE1" w:rsidP="00CC7AE1">
      <w:pPr>
        <w:ind w:left="360"/>
      </w:pPr>
    </w:p>
    <w:p w:rsidR="00B85FF1" w:rsidRPr="00B528A4" w:rsidRDefault="00E76645" w:rsidP="00C415A0">
      <w:pPr>
        <w:spacing w:after="0" w:line="360" w:lineRule="auto"/>
        <w:ind w:firstLine="708"/>
        <w:jc w:val="both"/>
        <w:rPr>
          <w:rFonts w:ascii="Times New Roman" w:hAnsi="Times New Roman" w:cs="Times New Roman"/>
          <w:sz w:val="24"/>
          <w:szCs w:val="24"/>
        </w:rPr>
      </w:pPr>
      <w:r w:rsidRPr="008A7E0C">
        <w:rPr>
          <w:rFonts w:ascii="Times New Roman" w:hAnsi="Times New Roman" w:cs="Times New Roman"/>
          <w:sz w:val="24"/>
          <w:szCs w:val="24"/>
        </w:rPr>
        <w:t>S</w:t>
      </w:r>
      <w:r w:rsidR="00B85FF1" w:rsidRPr="008A7E0C">
        <w:rPr>
          <w:rFonts w:ascii="Times New Roman" w:hAnsi="Times New Roman" w:cs="Times New Roman"/>
          <w:sz w:val="24"/>
          <w:szCs w:val="24"/>
        </w:rPr>
        <w:t>ubsidiarita</w:t>
      </w:r>
      <w:r w:rsidR="00B85FF1" w:rsidRPr="00B528A4">
        <w:rPr>
          <w:rFonts w:ascii="Times New Roman" w:hAnsi="Times New Roman" w:cs="Times New Roman"/>
          <w:sz w:val="24"/>
          <w:szCs w:val="24"/>
        </w:rPr>
        <w:t>, označována také jako slovo, které zachránilo Maastrichtskou smlouvu</w:t>
      </w:r>
      <w:r w:rsidR="00826A54">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13"/>
      </w:r>
      <w:r w:rsidR="00B85FF1" w:rsidRPr="00B528A4">
        <w:rPr>
          <w:rFonts w:ascii="Times New Roman" w:hAnsi="Times New Roman" w:cs="Times New Roman"/>
          <w:sz w:val="24"/>
          <w:szCs w:val="24"/>
        </w:rPr>
        <w:t xml:space="preserve"> byla a je často kritizována pro vágnost či neurčitost</w:t>
      </w:r>
      <w:r w:rsidR="00980AB1">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14"/>
      </w:r>
      <w:r w:rsidR="00B85FF1" w:rsidRPr="00B528A4">
        <w:rPr>
          <w:rFonts w:ascii="Times New Roman" w:hAnsi="Times New Roman" w:cs="Times New Roman"/>
          <w:sz w:val="24"/>
          <w:szCs w:val="24"/>
        </w:rPr>
        <w:t xml:space="preserve"> Vytýkán je nedostatek jasných a objektivní</w:t>
      </w:r>
      <w:r w:rsidR="00E40868">
        <w:rPr>
          <w:rFonts w:ascii="Times New Roman" w:hAnsi="Times New Roman" w:cs="Times New Roman"/>
          <w:sz w:val="24"/>
          <w:szCs w:val="24"/>
        </w:rPr>
        <w:t>ch kritérií, což může</w:t>
      </w:r>
      <w:r w:rsidR="00B85FF1" w:rsidRPr="00B528A4">
        <w:rPr>
          <w:rFonts w:ascii="Times New Roman" w:hAnsi="Times New Roman" w:cs="Times New Roman"/>
          <w:sz w:val="24"/>
          <w:szCs w:val="24"/>
        </w:rPr>
        <w:t xml:space="preserve"> vyhovovat spíše unijním institucím, kter</w:t>
      </w:r>
      <w:r w:rsidR="003A0D6C">
        <w:rPr>
          <w:rFonts w:ascii="Times New Roman" w:hAnsi="Times New Roman" w:cs="Times New Roman"/>
          <w:sz w:val="24"/>
          <w:szCs w:val="24"/>
        </w:rPr>
        <w:t>é tak v duchu obecnosti</w:t>
      </w:r>
      <w:r w:rsidR="00B85FF1" w:rsidRPr="00B528A4">
        <w:rPr>
          <w:rFonts w:ascii="Times New Roman" w:hAnsi="Times New Roman" w:cs="Times New Roman"/>
          <w:sz w:val="24"/>
          <w:szCs w:val="24"/>
        </w:rPr>
        <w:t xml:space="preserve"> </w:t>
      </w:r>
      <w:r w:rsidR="003A0D6C">
        <w:rPr>
          <w:rFonts w:ascii="Times New Roman" w:hAnsi="Times New Roman" w:cs="Times New Roman"/>
          <w:sz w:val="24"/>
          <w:szCs w:val="24"/>
        </w:rPr>
        <w:t xml:space="preserve">mají </w:t>
      </w:r>
      <w:r w:rsidR="00B85FF1" w:rsidRPr="00B528A4">
        <w:rPr>
          <w:rFonts w:ascii="Times New Roman" w:hAnsi="Times New Roman" w:cs="Times New Roman"/>
          <w:sz w:val="24"/>
          <w:szCs w:val="24"/>
        </w:rPr>
        <w:t>větší prostor pro zdůvodnění svých kroků.</w:t>
      </w:r>
      <w:r w:rsidR="00B85FF1" w:rsidRPr="00B528A4">
        <w:rPr>
          <w:rStyle w:val="Znakapoznpodarou"/>
          <w:rFonts w:ascii="Times New Roman" w:hAnsi="Times New Roman" w:cs="Times New Roman"/>
          <w:sz w:val="24"/>
          <w:szCs w:val="24"/>
        </w:rPr>
        <w:footnoteReference w:id="115"/>
      </w:r>
      <w:r w:rsidR="00B85FF1" w:rsidRPr="00B528A4">
        <w:rPr>
          <w:rFonts w:ascii="Times New Roman" w:hAnsi="Times New Roman" w:cs="Times New Roman"/>
          <w:sz w:val="24"/>
          <w:szCs w:val="24"/>
        </w:rPr>
        <w:t xml:space="preserve"> Máme ovšem za to, ž</w:t>
      </w:r>
      <w:r w:rsidR="00B85FF1">
        <w:rPr>
          <w:rFonts w:ascii="Times New Roman" w:hAnsi="Times New Roman" w:cs="Times New Roman"/>
          <w:sz w:val="24"/>
          <w:szCs w:val="24"/>
        </w:rPr>
        <w:t>e v intencích LS</w:t>
      </w:r>
      <w:r w:rsidR="00B85FF1" w:rsidRPr="00B528A4">
        <w:rPr>
          <w:rFonts w:ascii="Times New Roman" w:hAnsi="Times New Roman" w:cs="Times New Roman"/>
          <w:sz w:val="24"/>
          <w:szCs w:val="24"/>
        </w:rPr>
        <w:t xml:space="preserve"> a nově zaveden</w:t>
      </w:r>
      <w:r w:rsidR="00BE1F43">
        <w:rPr>
          <w:rFonts w:ascii="Times New Roman" w:hAnsi="Times New Roman" w:cs="Times New Roman"/>
          <w:sz w:val="24"/>
          <w:szCs w:val="24"/>
        </w:rPr>
        <w:t>é kontroly ze strany parlamentů</w:t>
      </w:r>
      <w:r w:rsidR="00B85FF1" w:rsidRPr="00B528A4">
        <w:rPr>
          <w:rFonts w:ascii="Times New Roman" w:hAnsi="Times New Roman" w:cs="Times New Roman"/>
          <w:sz w:val="24"/>
          <w:szCs w:val="24"/>
        </w:rPr>
        <w:t xml:space="preserve"> by i tyto mo</w:t>
      </w:r>
      <w:r w:rsidR="00B85FF1">
        <w:rPr>
          <w:rFonts w:ascii="Times New Roman" w:hAnsi="Times New Roman" w:cs="Times New Roman"/>
          <w:sz w:val="24"/>
          <w:szCs w:val="24"/>
        </w:rPr>
        <w:t>hly</w:t>
      </w:r>
      <w:r w:rsidR="00E40C2B">
        <w:rPr>
          <w:rFonts w:ascii="Times New Roman" w:hAnsi="Times New Roman" w:cs="Times New Roman"/>
          <w:sz w:val="24"/>
          <w:szCs w:val="24"/>
        </w:rPr>
        <w:t xml:space="preserve"> v některých případech umn</w:t>
      </w:r>
      <w:r w:rsidR="00B85FF1" w:rsidRPr="00B528A4">
        <w:rPr>
          <w:rFonts w:ascii="Times New Roman" w:hAnsi="Times New Roman" w:cs="Times New Roman"/>
          <w:sz w:val="24"/>
          <w:szCs w:val="24"/>
        </w:rPr>
        <w:t xml:space="preserve">ě využít abstraktní formulace principu. </w:t>
      </w:r>
      <w:r w:rsidR="00B85FF1">
        <w:rPr>
          <w:rFonts w:ascii="Times New Roman" w:hAnsi="Times New Roman" w:cs="Times New Roman"/>
          <w:sz w:val="24"/>
          <w:szCs w:val="24"/>
        </w:rPr>
        <w:t>Poznamenejme také</w:t>
      </w:r>
      <w:r w:rsidR="00B85FF1" w:rsidRPr="00B528A4">
        <w:rPr>
          <w:rFonts w:ascii="Times New Roman" w:hAnsi="Times New Roman" w:cs="Times New Roman"/>
          <w:sz w:val="24"/>
          <w:szCs w:val="24"/>
        </w:rPr>
        <w:t>, že vzhledem k počtu a r</w:t>
      </w:r>
      <w:r w:rsidR="00903D29">
        <w:rPr>
          <w:rFonts w:ascii="Times New Roman" w:hAnsi="Times New Roman" w:cs="Times New Roman"/>
          <w:sz w:val="24"/>
          <w:szCs w:val="24"/>
        </w:rPr>
        <w:t>ůznosti oblastí, na které zásada</w:t>
      </w:r>
      <w:r w:rsidR="00C4337E">
        <w:rPr>
          <w:rFonts w:ascii="Times New Roman" w:hAnsi="Times New Roman" w:cs="Times New Roman"/>
          <w:sz w:val="24"/>
          <w:szCs w:val="24"/>
        </w:rPr>
        <w:t xml:space="preserve"> dopadá, lze</w:t>
      </w:r>
      <w:r w:rsidR="00B85FF1" w:rsidRPr="00B528A4">
        <w:rPr>
          <w:rFonts w:ascii="Times New Roman" w:hAnsi="Times New Roman" w:cs="Times New Roman"/>
          <w:sz w:val="24"/>
          <w:szCs w:val="24"/>
        </w:rPr>
        <w:t xml:space="preserve"> jen obtížně navrhovat konkrétnější definici.</w:t>
      </w:r>
    </w:p>
    <w:p w:rsidR="00B85FF1" w:rsidRPr="00B528A4" w:rsidRDefault="0047552E" w:rsidP="00C415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Návazně</w:t>
      </w:r>
      <w:r w:rsidR="00B85FF1" w:rsidRPr="00B528A4">
        <w:rPr>
          <w:rFonts w:ascii="Times New Roman" w:hAnsi="Times New Roman" w:cs="Times New Roman"/>
          <w:sz w:val="24"/>
          <w:szCs w:val="24"/>
        </w:rPr>
        <w:t xml:space="preserve"> lze uvažovat o tom, zda díky vágnosti a mnohosti výkladů neztrácí</w:t>
      </w:r>
      <w:r w:rsidR="00BC7384">
        <w:rPr>
          <w:rFonts w:ascii="Times New Roman" w:hAnsi="Times New Roman" w:cs="Times New Roman"/>
          <w:sz w:val="24"/>
          <w:szCs w:val="24"/>
        </w:rPr>
        <w:t xml:space="preserve"> zásada subsidiarity</w:t>
      </w:r>
      <w:r w:rsidR="00B85FF1" w:rsidRPr="00B528A4">
        <w:rPr>
          <w:rFonts w:ascii="Times New Roman" w:hAnsi="Times New Roman" w:cs="Times New Roman"/>
          <w:sz w:val="24"/>
          <w:szCs w:val="24"/>
        </w:rPr>
        <w:t>, jakkoli je z</w:t>
      </w:r>
      <w:r w:rsidR="00881F83">
        <w:rPr>
          <w:rFonts w:ascii="Times New Roman" w:hAnsi="Times New Roman" w:cs="Times New Roman"/>
          <w:sz w:val="24"/>
          <w:szCs w:val="24"/>
        </w:rPr>
        <w:t>akotvena v primárním právu,</w:t>
      </w:r>
      <w:r w:rsidR="00B85FF1" w:rsidRPr="00B528A4">
        <w:rPr>
          <w:rFonts w:ascii="Times New Roman" w:hAnsi="Times New Roman" w:cs="Times New Roman"/>
          <w:sz w:val="24"/>
          <w:szCs w:val="24"/>
        </w:rPr>
        <w:t xml:space="preserve"> právní význam. Zde je však dobré připomenout jiné principy či pojmy, u kterých obecnost není na překážku jejich právnímu smyslu.</w:t>
      </w:r>
      <w:r w:rsidR="00B85FF1" w:rsidRPr="00B528A4">
        <w:rPr>
          <w:rStyle w:val="Znakapoznpodarou"/>
          <w:rFonts w:ascii="Times New Roman" w:hAnsi="Times New Roman" w:cs="Times New Roman"/>
          <w:sz w:val="24"/>
          <w:szCs w:val="24"/>
        </w:rPr>
        <w:footnoteReference w:id="116"/>
      </w:r>
      <w:r w:rsidR="00B85FF1" w:rsidRPr="00B528A4">
        <w:rPr>
          <w:rFonts w:ascii="Times New Roman" w:hAnsi="Times New Roman" w:cs="Times New Roman"/>
          <w:sz w:val="24"/>
          <w:szCs w:val="24"/>
        </w:rPr>
        <w:t xml:space="preserve"> V tomto </w:t>
      </w:r>
      <w:r w:rsidR="00787F84">
        <w:rPr>
          <w:rFonts w:ascii="Times New Roman" w:hAnsi="Times New Roman" w:cs="Times New Roman"/>
          <w:sz w:val="24"/>
          <w:szCs w:val="24"/>
        </w:rPr>
        <w:t>kontextu lze zásadu</w:t>
      </w:r>
      <w:r w:rsidR="00B85FF1" w:rsidRPr="00B528A4">
        <w:rPr>
          <w:rFonts w:ascii="Times New Roman" w:hAnsi="Times New Roman" w:cs="Times New Roman"/>
          <w:sz w:val="24"/>
          <w:szCs w:val="24"/>
        </w:rPr>
        <w:t xml:space="preserve"> nejlépe vystihnout jako politicko-právní princip, přičemž n</w:t>
      </w:r>
      <w:r w:rsidR="00B85FF1">
        <w:rPr>
          <w:rFonts w:ascii="Times New Roman" w:hAnsi="Times New Roman" w:cs="Times New Roman"/>
          <w:sz w:val="24"/>
          <w:szCs w:val="24"/>
        </w:rPr>
        <w:t>ěkteří se více přiklánějí k</w:t>
      </w:r>
      <w:r w:rsidR="00B85FF1" w:rsidRPr="00B528A4">
        <w:rPr>
          <w:rFonts w:ascii="Times New Roman" w:hAnsi="Times New Roman" w:cs="Times New Roman"/>
          <w:sz w:val="24"/>
          <w:szCs w:val="24"/>
        </w:rPr>
        <w:t xml:space="preserve"> politickému rozměru, jiní naopak.</w:t>
      </w:r>
      <w:r w:rsidR="00B85FF1">
        <w:rPr>
          <w:rFonts w:ascii="Times New Roman" w:hAnsi="Times New Roman" w:cs="Times New Roman"/>
          <w:sz w:val="24"/>
          <w:szCs w:val="24"/>
        </w:rPr>
        <w:t xml:space="preserve"> Zastánci prvně uvede</w:t>
      </w:r>
      <w:r w:rsidR="00B85FF1" w:rsidRPr="00B528A4">
        <w:rPr>
          <w:rFonts w:ascii="Times New Roman" w:hAnsi="Times New Roman" w:cs="Times New Roman"/>
          <w:sz w:val="24"/>
          <w:szCs w:val="24"/>
        </w:rPr>
        <w:t xml:space="preserve">ného </w:t>
      </w:r>
      <w:r w:rsidR="00B85FF1" w:rsidRPr="00B528A4">
        <w:rPr>
          <w:rFonts w:ascii="Times New Roman" w:hAnsi="Times New Roman" w:cs="Times New Roman"/>
          <w:i/>
          <w:sz w:val="24"/>
          <w:szCs w:val="24"/>
        </w:rPr>
        <w:t>„vycházejí z předpokladu, že hmotněprávní kritéria subsidiarity – zejména kritérium uspokojivosti a kritérium přidané hodnoty – jsou spíše politické povahy a vyžadují proto politické zhodnocení.“</w:t>
      </w:r>
      <w:r w:rsidR="00B85FF1" w:rsidRPr="00B528A4">
        <w:rPr>
          <w:rStyle w:val="Znakapoznpodarou"/>
          <w:rFonts w:ascii="Times New Roman" w:hAnsi="Times New Roman" w:cs="Times New Roman"/>
          <w:sz w:val="24"/>
          <w:szCs w:val="24"/>
        </w:rPr>
        <w:footnoteReference w:id="117"/>
      </w:r>
      <w:r w:rsidR="00B85FF1" w:rsidRPr="00B528A4">
        <w:rPr>
          <w:rFonts w:ascii="Times New Roman" w:hAnsi="Times New Roman" w:cs="Times New Roman"/>
          <w:sz w:val="24"/>
          <w:szCs w:val="24"/>
        </w:rPr>
        <w:t xml:space="preserve"> Tito pak mají možnost objekt</w:t>
      </w:r>
      <w:r w:rsidR="00815FA3">
        <w:rPr>
          <w:rFonts w:ascii="Times New Roman" w:hAnsi="Times New Roman" w:cs="Times New Roman"/>
          <w:sz w:val="24"/>
          <w:szCs w:val="24"/>
        </w:rPr>
        <w:t>ivního posouzení dodržení zásady</w:t>
      </w:r>
      <w:r w:rsidR="00B85FF1" w:rsidRPr="00B528A4">
        <w:rPr>
          <w:rFonts w:ascii="Times New Roman" w:hAnsi="Times New Roman" w:cs="Times New Roman"/>
          <w:sz w:val="24"/>
          <w:szCs w:val="24"/>
        </w:rPr>
        <w:t xml:space="preserve"> ze strany soudního orgánu za iluzorní. M</w:t>
      </w:r>
      <w:r w:rsidR="00B85FF1">
        <w:rPr>
          <w:rFonts w:ascii="Times New Roman" w:hAnsi="Times New Roman" w:cs="Times New Roman"/>
          <w:sz w:val="24"/>
          <w:szCs w:val="24"/>
        </w:rPr>
        <w:t>y se ještě přístupem SD</w:t>
      </w:r>
      <w:r w:rsidR="00B85FF1" w:rsidRPr="00B528A4">
        <w:rPr>
          <w:rFonts w:ascii="Times New Roman" w:hAnsi="Times New Roman" w:cs="Times New Roman"/>
          <w:sz w:val="24"/>
          <w:szCs w:val="24"/>
        </w:rPr>
        <w:t>EU</w:t>
      </w:r>
      <w:r w:rsidR="00B85FF1">
        <w:rPr>
          <w:rFonts w:ascii="Times New Roman" w:hAnsi="Times New Roman" w:cs="Times New Roman"/>
          <w:sz w:val="24"/>
          <w:szCs w:val="24"/>
        </w:rPr>
        <w:t xml:space="preserve"> budeme krátce zabývat. Z</w:t>
      </w:r>
      <w:r w:rsidR="00B85FF1" w:rsidRPr="00B528A4">
        <w:rPr>
          <w:rFonts w:ascii="Times New Roman" w:hAnsi="Times New Roman" w:cs="Times New Roman"/>
          <w:sz w:val="24"/>
          <w:szCs w:val="24"/>
        </w:rPr>
        <w:t xml:space="preserve">de již jen zmiňme, že právní rozměr neradno přehlížet, jelikož byl-li by shledán rozpor </w:t>
      </w:r>
      <w:r w:rsidR="00B85FF1" w:rsidRPr="00B528A4">
        <w:rPr>
          <w:rFonts w:ascii="Times New Roman" w:hAnsi="Times New Roman" w:cs="Times New Roman"/>
          <w:sz w:val="24"/>
          <w:szCs w:val="24"/>
        </w:rPr>
        <w:lastRenderedPageBreak/>
        <w:t>určitého u</w:t>
      </w:r>
      <w:r w:rsidR="00315D69">
        <w:rPr>
          <w:rFonts w:ascii="Times New Roman" w:hAnsi="Times New Roman" w:cs="Times New Roman"/>
          <w:sz w:val="24"/>
          <w:szCs w:val="24"/>
        </w:rPr>
        <w:t>nijního aktu se zásadou subsidiarity</w:t>
      </w:r>
      <w:r w:rsidR="00B85FF1" w:rsidRPr="00B528A4">
        <w:rPr>
          <w:rFonts w:ascii="Times New Roman" w:hAnsi="Times New Roman" w:cs="Times New Roman"/>
          <w:sz w:val="24"/>
          <w:szCs w:val="24"/>
        </w:rPr>
        <w:t>, šlo by o důvod pro prohlášení neplatnosti takového aktu.</w:t>
      </w:r>
      <w:r w:rsidR="00B85FF1" w:rsidRPr="00B528A4">
        <w:rPr>
          <w:rStyle w:val="Znakapoznpodarou"/>
          <w:rFonts w:ascii="Times New Roman" w:hAnsi="Times New Roman" w:cs="Times New Roman"/>
          <w:sz w:val="24"/>
          <w:szCs w:val="24"/>
        </w:rPr>
        <w:footnoteReference w:id="118"/>
      </w:r>
    </w:p>
    <w:p w:rsidR="00B85FF1" w:rsidRPr="00B528A4" w:rsidRDefault="00A47E41" w:rsidP="00B85F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B85FF1" w:rsidRPr="00B528A4">
        <w:rPr>
          <w:rFonts w:ascii="Times New Roman" w:hAnsi="Times New Roman" w:cs="Times New Roman"/>
          <w:sz w:val="24"/>
          <w:szCs w:val="24"/>
        </w:rPr>
        <w:t>řibližme ještě, že je možné rozlišovat ma</w:t>
      </w:r>
      <w:r w:rsidR="00B85FF1">
        <w:rPr>
          <w:rFonts w:ascii="Times New Roman" w:hAnsi="Times New Roman" w:cs="Times New Roman"/>
          <w:sz w:val="24"/>
          <w:szCs w:val="24"/>
        </w:rPr>
        <w:t>teriální a procesní subsidiaritu</w:t>
      </w:r>
      <w:r w:rsidR="007F4172">
        <w:rPr>
          <w:rFonts w:ascii="Times New Roman" w:hAnsi="Times New Roman" w:cs="Times New Roman"/>
          <w:sz w:val="24"/>
          <w:szCs w:val="24"/>
        </w:rPr>
        <w:t>. Rovněž lze rozlišovat</w:t>
      </w:r>
      <w:r w:rsidR="00B85FF1" w:rsidRPr="00B528A4">
        <w:rPr>
          <w:rFonts w:ascii="Times New Roman" w:hAnsi="Times New Roman" w:cs="Times New Roman"/>
          <w:sz w:val="24"/>
          <w:szCs w:val="24"/>
        </w:rPr>
        <w:t xml:space="preserve"> její rigidní a flexibilní chápání</w:t>
      </w:r>
      <w:r w:rsidR="007F4172">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19"/>
      </w:r>
      <w:r w:rsidR="00B85FF1" w:rsidRPr="00B528A4">
        <w:rPr>
          <w:rFonts w:ascii="Times New Roman" w:hAnsi="Times New Roman" w:cs="Times New Roman"/>
          <w:sz w:val="24"/>
          <w:szCs w:val="24"/>
        </w:rPr>
        <w:t xml:space="preserve"> </w:t>
      </w:r>
      <w:r w:rsidR="00B85FF1">
        <w:rPr>
          <w:rFonts w:ascii="Times New Roman" w:hAnsi="Times New Roman" w:cs="Times New Roman"/>
          <w:sz w:val="24"/>
          <w:szCs w:val="24"/>
        </w:rPr>
        <w:t>Pod materiální</w:t>
      </w:r>
      <w:r w:rsidR="00240CDE">
        <w:rPr>
          <w:rFonts w:ascii="Times New Roman" w:hAnsi="Times New Roman" w:cs="Times New Roman"/>
          <w:sz w:val="24"/>
          <w:szCs w:val="24"/>
        </w:rPr>
        <w:t xml:space="preserve"> subsidiaritou</w:t>
      </w:r>
      <w:r w:rsidR="00B85FF1" w:rsidRPr="00B528A4">
        <w:rPr>
          <w:rStyle w:val="Znakapoznpodarou"/>
          <w:rFonts w:ascii="Times New Roman" w:hAnsi="Times New Roman" w:cs="Times New Roman"/>
          <w:sz w:val="24"/>
          <w:szCs w:val="24"/>
        </w:rPr>
        <w:footnoteReference w:id="120"/>
      </w:r>
      <w:r w:rsidR="00B85FF1">
        <w:rPr>
          <w:rFonts w:ascii="Times New Roman" w:hAnsi="Times New Roman" w:cs="Times New Roman"/>
          <w:sz w:val="24"/>
          <w:szCs w:val="24"/>
        </w:rPr>
        <w:t xml:space="preserve"> rozumíme již probíraný</w:t>
      </w:r>
      <w:r w:rsidR="00B85FF1" w:rsidRPr="00B528A4">
        <w:rPr>
          <w:rFonts w:ascii="Times New Roman" w:hAnsi="Times New Roman" w:cs="Times New Roman"/>
          <w:sz w:val="24"/>
          <w:szCs w:val="24"/>
        </w:rPr>
        <w:t xml:space="preserve"> test subsidiarity, tedy kritéria dostatečnosti a unijní přidané hodnoty. Procesní, chcete-li formální, subsidiarita</w:t>
      </w:r>
      <w:r w:rsidR="00B85FF1" w:rsidRPr="00B528A4">
        <w:rPr>
          <w:rStyle w:val="Znakapoznpodarou"/>
          <w:rFonts w:ascii="Times New Roman" w:hAnsi="Times New Roman" w:cs="Times New Roman"/>
          <w:sz w:val="24"/>
          <w:szCs w:val="24"/>
        </w:rPr>
        <w:footnoteReference w:id="121"/>
      </w:r>
      <w:r w:rsidR="00B85FF1" w:rsidRPr="00B528A4">
        <w:rPr>
          <w:rFonts w:ascii="Times New Roman" w:hAnsi="Times New Roman" w:cs="Times New Roman"/>
          <w:sz w:val="24"/>
          <w:szCs w:val="24"/>
        </w:rPr>
        <w:t xml:space="preserve"> pak pokrývá veškeré procesní povinnosti jako</w:t>
      </w:r>
      <w:r w:rsidR="002C451E">
        <w:rPr>
          <w:rFonts w:ascii="Times New Roman" w:hAnsi="Times New Roman" w:cs="Times New Roman"/>
          <w:sz w:val="24"/>
          <w:szCs w:val="24"/>
        </w:rPr>
        <w:t xml:space="preserve"> např.</w:t>
      </w:r>
      <w:r w:rsidR="00B85FF1" w:rsidRPr="00B528A4">
        <w:rPr>
          <w:rFonts w:ascii="Times New Roman" w:hAnsi="Times New Roman" w:cs="Times New Roman"/>
          <w:sz w:val="24"/>
          <w:szCs w:val="24"/>
        </w:rPr>
        <w:t xml:space="preserve"> posto</w:t>
      </w:r>
      <w:r w:rsidR="00B85FF1">
        <w:rPr>
          <w:rFonts w:ascii="Times New Roman" w:hAnsi="Times New Roman" w:cs="Times New Roman"/>
          <w:sz w:val="24"/>
          <w:szCs w:val="24"/>
        </w:rPr>
        <w:t>upení návrhů</w:t>
      </w:r>
      <w:r w:rsidR="00B85FF1" w:rsidRPr="00B528A4">
        <w:rPr>
          <w:rFonts w:ascii="Times New Roman" w:hAnsi="Times New Roman" w:cs="Times New Roman"/>
          <w:sz w:val="24"/>
          <w:szCs w:val="24"/>
        </w:rPr>
        <w:t xml:space="preserve"> parlamentům</w:t>
      </w:r>
      <w:r w:rsidR="00767320">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22"/>
      </w:r>
      <w:r w:rsidR="00B85FF1" w:rsidRPr="00B528A4">
        <w:rPr>
          <w:rFonts w:ascii="Times New Roman" w:hAnsi="Times New Roman" w:cs="Times New Roman"/>
          <w:sz w:val="24"/>
          <w:szCs w:val="24"/>
        </w:rPr>
        <w:t xml:space="preserve"> jakož i jejich odůvodnění </w:t>
      </w:r>
      <w:r w:rsidR="00BE4295">
        <w:rPr>
          <w:rFonts w:ascii="Times New Roman" w:hAnsi="Times New Roman" w:cs="Times New Roman"/>
          <w:sz w:val="24"/>
          <w:szCs w:val="24"/>
        </w:rPr>
        <w:t>s ohledem na zásadu subsidiarity</w:t>
      </w:r>
      <w:r w:rsidR="00B85FF1" w:rsidRPr="00B528A4">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23"/>
      </w:r>
      <w:r w:rsidR="00B85FF1" w:rsidRPr="00B528A4">
        <w:rPr>
          <w:rFonts w:ascii="Times New Roman" w:hAnsi="Times New Roman" w:cs="Times New Roman"/>
          <w:sz w:val="24"/>
          <w:szCs w:val="24"/>
        </w:rPr>
        <w:t xml:space="preserve"> </w:t>
      </w:r>
    </w:p>
    <w:p w:rsidR="00B85FF1" w:rsidRDefault="007545CB" w:rsidP="00862FC5">
      <w:pPr>
        <w:pStyle w:val="Nadpis2"/>
      </w:pPr>
      <w:bookmarkStart w:id="19" w:name="_Toc478235165"/>
      <w:r>
        <w:t>2</w:t>
      </w:r>
      <w:r w:rsidR="00A72DC6" w:rsidRPr="00A72DC6">
        <w:t>.4</w:t>
      </w:r>
      <w:r w:rsidR="00A72DC6">
        <w:t xml:space="preserve"> </w:t>
      </w:r>
      <w:r w:rsidR="008E5729">
        <w:t>Soudní k</w:t>
      </w:r>
      <w:r w:rsidR="00B85FF1" w:rsidRPr="00B528A4">
        <w:t>ontrola zásady subsidiarity</w:t>
      </w:r>
      <w:bookmarkEnd w:id="19"/>
    </w:p>
    <w:p w:rsidR="004E5BF6" w:rsidRPr="004E5BF6" w:rsidRDefault="004E5BF6" w:rsidP="004E5BF6"/>
    <w:p w:rsidR="00B85FF1" w:rsidRPr="00B528A4" w:rsidRDefault="00B85FF1" w:rsidP="00B85FF1">
      <w:pPr>
        <w:spacing w:line="360" w:lineRule="auto"/>
        <w:jc w:val="both"/>
        <w:rPr>
          <w:rFonts w:ascii="Times New Roman" w:hAnsi="Times New Roman" w:cs="Times New Roman"/>
          <w:sz w:val="24"/>
          <w:szCs w:val="24"/>
        </w:rPr>
      </w:pPr>
      <w:r w:rsidRPr="00B528A4">
        <w:rPr>
          <w:rFonts w:ascii="Times New Roman" w:hAnsi="Times New Roman" w:cs="Times New Roman"/>
          <w:b/>
          <w:sz w:val="24"/>
          <w:szCs w:val="24"/>
        </w:rPr>
        <w:tab/>
      </w:r>
      <w:r w:rsidR="007142F3">
        <w:rPr>
          <w:rFonts w:ascii="Times New Roman" w:hAnsi="Times New Roman" w:cs="Times New Roman"/>
          <w:sz w:val="24"/>
          <w:szCs w:val="24"/>
        </w:rPr>
        <w:t xml:space="preserve">Přístupem SDEU </w:t>
      </w:r>
      <w:r w:rsidRPr="00B528A4">
        <w:rPr>
          <w:rFonts w:ascii="Times New Roman" w:hAnsi="Times New Roman" w:cs="Times New Roman"/>
          <w:sz w:val="24"/>
          <w:szCs w:val="24"/>
        </w:rPr>
        <w:t>je t</w:t>
      </w:r>
      <w:r w:rsidR="00B6500E">
        <w:rPr>
          <w:rFonts w:ascii="Times New Roman" w:hAnsi="Times New Roman" w:cs="Times New Roman"/>
          <w:sz w:val="24"/>
          <w:szCs w:val="24"/>
        </w:rPr>
        <w:t>řeba se alespoň stručně zabývat. A</w:t>
      </w:r>
      <w:r w:rsidRPr="00B528A4">
        <w:rPr>
          <w:rFonts w:ascii="Times New Roman" w:hAnsi="Times New Roman" w:cs="Times New Roman"/>
          <w:sz w:val="24"/>
          <w:szCs w:val="24"/>
        </w:rPr>
        <w:t xml:space="preserve"> to nejen proto, že protokol č. 2 v čl. 8 dává parlamentům nepřímou možnost podat žalobu týkající</w:t>
      </w:r>
      <w:r w:rsidR="00265E57">
        <w:rPr>
          <w:rFonts w:ascii="Times New Roman" w:hAnsi="Times New Roman" w:cs="Times New Roman"/>
          <w:sz w:val="24"/>
          <w:szCs w:val="24"/>
        </w:rPr>
        <w:t xml:space="preserve"> se porušení zásady subsidiarity</w:t>
      </w:r>
      <w:r w:rsidRPr="00B528A4">
        <w:rPr>
          <w:rFonts w:ascii="Times New Roman" w:hAnsi="Times New Roman" w:cs="Times New Roman"/>
          <w:sz w:val="24"/>
          <w:szCs w:val="24"/>
        </w:rPr>
        <w:t xml:space="preserve"> legislativním aktem. Parlamenty teoreticky mohou tuto kontrolu ex post využít v případě, kdy bude kontrola ex ante neúčinná.</w:t>
      </w:r>
      <w:r w:rsidRPr="00B528A4">
        <w:rPr>
          <w:rStyle w:val="Znakapoznpodarou"/>
          <w:rFonts w:ascii="Times New Roman" w:hAnsi="Times New Roman" w:cs="Times New Roman"/>
          <w:sz w:val="24"/>
          <w:szCs w:val="24"/>
        </w:rPr>
        <w:footnoteReference w:id="124"/>
      </w:r>
      <w:r w:rsidRPr="00B528A4">
        <w:rPr>
          <w:rFonts w:ascii="Times New Roman" w:hAnsi="Times New Roman" w:cs="Times New Roman"/>
          <w:sz w:val="24"/>
          <w:szCs w:val="24"/>
        </w:rPr>
        <w:t xml:space="preserve"> Lze jim však doporučit spíše se soustředit na kontrolu předběžnou. Ačkol</w:t>
      </w:r>
      <w:r w:rsidR="00F25BE7">
        <w:rPr>
          <w:rFonts w:ascii="Times New Roman" w:hAnsi="Times New Roman" w:cs="Times New Roman"/>
          <w:sz w:val="24"/>
          <w:szCs w:val="24"/>
        </w:rPr>
        <w:t>iv totiž SDEU sehrává ve vývoji</w:t>
      </w:r>
      <w:r w:rsidRPr="00B528A4">
        <w:rPr>
          <w:rFonts w:ascii="Times New Roman" w:hAnsi="Times New Roman" w:cs="Times New Roman"/>
          <w:sz w:val="24"/>
          <w:szCs w:val="24"/>
        </w:rPr>
        <w:t xml:space="preserve"> integrace klíčovou roli a jeho rozsudky definují vlastnosti a podstatu unijního práva</w:t>
      </w:r>
      <w:r w:rsidR="004E3B00">
        <w:rPr>
          <w:rFonts w:ascii="Times New Roman" w:hAnsi="Times New Roman" w:cs="Times New Roman"/>
          <w:sz w:val="24"/>
          <w:szCs w:val="24"/>
        </w:rPr>
        <w:t>, tak v otázkách spojených se subsidiaritou</w:t>
      </w:r>
      <w:r w:rsidRPr="00B528A4">
        <w:rPr>
          <w:rFonts w:ascii="Times New Roman" w:hAnsi="Times New Roman" w:cs="Times New Roman"/>
          <w:sz w:val="24"/>
          <w:szCs w:val="24"/>
        </w:rPr>
        <w:t xml:space="preserve"> je zdrženlivý.</w:t>
      </w:r>
      <w:r w:rsidRPr="00B528A4">
        <w:rPr>
          <w:rStyle w:val="Znakapoznpodarou"/>
          <w:rFonts w:ascii="Times New Roman" w:hAnsi="Times New Roman" w:cs="Times New Roman"/>
          <w:sz w:val="24"/>
          <w:szCs w:val="24"/>
        </w:rPr>
        <w:footnoteReference w:id="125"/>
      </w:r>
      <w:r w:rsidRPr="00B528A4">
        <w:rPr>
          <w:rFonts w:ascii="Times New Roman" w:hAnsi="Times New Roman" w:cs="Times New Roman"/>
          <w:sz w:val="24"/>
          <w:szCs w:val="24"/>
        </w:rPr>
        <w:t xml:space="preserve"> Nejde </w:t>
      </w:r>
      <w:r>
        <w:rPr>
          <w:rFonts w:ascii="Times New Roman" w:hAnsi="Times New Roman" w:cs="Times New Roman"/>
          <w:sz w:val="24"/>
          <w:szCs w:val="24"/>
        </w:rPr>
        <w:t xml:space="preserve">pouze o to, že </w:t>
      </w:r>
      <w:r w:rsidRPr="00B528A4">
        <w:rPr>
          <w:rFonts w:ascii="Times New Roman" w:hAnsi="Times New Roman" w:cs="Times New Roman"/>
          <w:sz w:val="24"/>
          <w:szCs w:val="24"/>
        </w:rPr>
        <w:t>zatím</w:t>
      </w:r>
      <w:r>
        <w:rPr>
          <w:rFonts w:ascii="Times New Roman" w:hAnsi="Times New Roman" w:cs="Times New Roman"/>
          <w:sz w:val="24"/>
          <w:szCs w:val="24"/>
        </w:rPr>
        <w:t xml:space="preserve"> nezrušil žádný právní akt </w:t>
      </w:r>
      <w:r w:rsidRPr="00B528A4">
        <w:rPr>
          <w:rFonts w:ascii="Times New Roman" w:hAnsi="Times New Roman" w:cs="Times New Roman"/>
          <w:sz w:val="24"/>
          <w:szCs w:val="24"/>
        </w:rPr>
        <w:t>pr</w:t>
      </w:r>
      <w:r w:rsidR="009A1539">
        <w:rPr>
          <w:rFonts w:ascii="Times New Roman" w:hAnsi="Times New Roman" w:cs="Times New Roman"/>
          <w:sz w:val="24"/>
          <w:szCs w:val="24"/>
        </w:rPr>
        <w:t>o rozpor se zásadou subsidiarity</w:t>
      </w:r>
      <w:r w:rsidR="0014583B">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26"/>
      </w:r>
      <w:r w:rsidR="003C037F">
        <w:rPr>
          <w:rFonts w:ascii="Times New Roman" w:hAnsi="Times New Roman" w:cs="Times New Roman"/>
          <w:sz w:val="24"/>
          <w:szCs w:val="24"/>
        </w:rPr>
        <w:t xml:space="preserve"> ale spíše o jeho </w:t>
      </w:r>
      <w:r w:rsidRPr="00B528A4">
        <w:rPr>
          <w:rFonts w:ascii="Times New Roman" w:hAnsi="Times New Roman" w:cs="Times New Roman"/>
          <w:sz w:val="24"/>
          <w:szCs w:val="24"/>
        </w:rPr>
        <w:t>benevolenci</w:t>
      </w:r>
      <w:r w:rsidRPr="00B528A4">
        <w:rPr>
          <w:rStyle w:val="Znakapoznpodarou"/>
          <w:rFonts w:ascii="Times New Roman" w:hAnsi="Times New Roman" w:cs="Times New Roman"/>
          <w:sz w:val="24"/>
          <w:szCs w:val="24"/>
        </w:rPr>
        <w:footnoteReference w:id="127"/>
      </w:r>
      <w:r w:rsidRPr="00B528A4">
        <w:rPr>
          <w:rFonts w:ascii="Times New Roman" w:hAnsi="Times New Roman" w:cs="Times New Roman"/>
          <w:sz w:val="24"/>
          <w:szCs w:val="24"/>
        </w:rPr>
        <w:t xml:space="preserve"> zejména vůči Komisi. SD</w:t>
      </w:r>
      <w:r>
        <w:rPr>
          <w:rFonts w:ascii="Times New Roman" w:hAnsi="Times New Roman" w:cs="Times New Roman"/>
          <w:sz w:val="24"/>
          <w:szCs w:val="24"/>
        </w:rPr>
        <w:t>EU</w:t>
      </w:r>
      <w:r w:rsidRPr="00B528A4">
        <w:rPr>
          <w:rFonts w:ascii="Times New Roman" w:hAnsi="Times New Roman" w:cs="Times New Roman"/>
          <w:sz w:val="24"/>
          <w:szCs w:val="24"/>
        </w:rPr>
        <w:t xml:space="preserve"> se také vyhnul „</w:t>
      </w:r>
      <w:r w:rsidRPr="00B528A4">
        <w:rPr>
          <w:rFonts w:ascii="Times New Roman" w:hAnsi="Times New Roman" w:cs="Times New Roman"/>
          <w:i/>
          <w:sz w:val="24"/>
          <w:szCs w:val="24"/>
        </w:rPr>
        <w:t>bližšímu zkoumání podstaty subsidiarity a zatím nijak nepřispěl k upřesnění vágních kritérií.</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28"/>
      </w:r>
      <w:r w:rsidRPr="00B528A4">
        <w:rPr>
          <w:rFonts w:ascii="Times New Roman" w:hAnsi="Times New Roman" w:cs="Times New Roman"/>
          <w:sz w:val="24"/>
          <w:szCs w:val="24"/>
        </w:rPr>
        <w:t xml:space="preserve"> </w:t>
      </w:r>
    </w:p>
    <w:p w:rsidR="00B85FF1" w:rsidRPr="00B528A4" w:rsidRDefault="00B85FF1" w:rsidP="00C41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Rezervovanost </w:t>
      </w:r>
      <w:r w:rsidRPr="00B528A4">
        <w:rPr>
          <w:rFonts w:ascii="Times New Roman" w:hAnsi="Times New Roman" w:cs="Times New Roman"/>
          <w:sz w:val="24"/>
          <w:szCs w:val="24"/>
        </w:rPr>
        <w:t>lze pozorovat jak ve vztahu k materiální subsidiaritě</w:t>
      </w:r>
      <w:r w:rsidR="009101D9">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29"/>
      </w:r>
      <w:r w:rsidRPr="00B528A4">
        <w:rPr>
          <w:rFonts w:ascii="Times New Roman" w:hAnsi="Times New Roman" w:cs="Times New Roman"/>
          <w:sz w:val="24"/>
          <w:szCs w:val="24"/>
        </w:rPr>
        <w:t xml:space="preserve"> tak v relaci s tou procesní.</w:t>
      </w:r>
      <w:r w:rsidRPr="00B528A4">
        <w:rPr>
          <w:rStyle w:val="Znakapoznpodarou"/>
          <w:rFonts w:ascii="Times New Roman" w:hAnsi="Times New Roman" w:cs="Times New Roman"/>
          <w:sz w:val="24"/>
          <w:szCs w:val="24"/>
        </w:rPr>
        <w:footnoteReference w:id="130"/>
      </w:r>
      <w:r w:rsidRPr="00B528A4">
        <w:rPr>
          <w:rFonts w:ascii="Times New Roman" w:hAnsi="Times New Roman" w:cs="Times New Roman"/>
          <w:sz w:val="24"/>
          <w:szCs w:val="24"/>
        </w:rPr>
        <w:t xml:space="preserve"> A j</w:t>
      </w:r>
      <w:r>
        <w:rPr>
          <w:rFonts w:ascii="Times New Roman" w:hAnsi="Times New Roman" w:cs="Times New Roman"/>
          <w:sz w:val="24"/>
          <w:szCs w:val="24"/>
        </w:rPr>
        <w:t>ak přístup SDEU</w:t>
      </w:r>
      <w:r w:rsidRPr="00B528A4">
        <w:rPr>
          <w:rFonts w:ascii="Times New Roman" w:hAnsi="Times New Roman" w:cs="Times New Roman"/>
          <w:sz w:val="24"/>
          <w:szCs w:val="24"/>
        </w:rPr>
        <w:t xml:space="preserve"> vysvětlit? Lze patrně nalézt více možných důvodů. Obvykle se autoři </w:t>
      </w:r>
      <w:r>
        <w:rPr>
          <w:rFonts w:ascii="Times New Roman" w:hAnsi="Times New Roman" w:cs="Times New Roman"/>
          <w:sz w:val="24"/>
          <w:szCs w:val="24"/>
        </w:rPr>
        <w:t>při</w:t>
      </w:r>
      <w:r w:rsidRPr="00B528A4">
        <w:rPr>
          <w:rFonts w:ascii="Times New Roman" w:hAnsi="Times New Roman" w:cs="Times New Roman"/>
          <w:sz w:val="24"/>
          <w:szCs w:val="24"/>
        </w:rPr>
        <w:t>klánějí k tomu, že za zdrženlivou aplikací ze strany SD</w:t>
      </w:r>
      <w:r>
        <w:rPr>
          <w:rFonts w:ascii="Times New Roman" w:hAnsi="Times New Roman" w:cs="Times New Roman"/>
          <w:sz w:val="24"/>
          <w:szCs w:val="24"/>
        </w:rPr>
        <w:t>EU</w:t>
      </w:r>
      <w:r w:rsidRPr="00B528A4">
        <w:rPr>
          <w:rFonts w:ascii="Times New Roman" w:hAnsi="Times New Roman" w:cs="Times New Roman"/>
          <w:sz w:val="24"/>
          <w:szCs w:val="24"/>
        </w:rPr>
        <w:t xml:space="preserve"> stojí obecnost, nejasnost</w:t>
      </w:r>
      <w:r w:rsidRPr="00B528A4">
        <w:rPr>
          <w:rStyle w:val="Znakapoznpodarou"/>
          <w:rFonts w:ascii="Times New Roman" w:hAnsi="Times New Roman" w:cs="Times New Roman"/>
          <w:sz w:val="24"/>
          <w:szCs w:val="24"/>
        </w:rPr>
        <w:footnoteReference w:id="131"/>
      </w:r>
      <w:r w:rsidRPr="00B528A4">
        <w:rPr>
          <w:rFonts w:ascii="Times New Roman" w:hAnsi="Times New Roman" w:cs="Times New Roman"/>
          <w:sz w:val="24"/>
          <w:szCs w:val="24"/>
        </w:rPr>
        <w:t xml:space="preserve"> či neurčitost</w:t>
      </w:r>
      <w:r w:rsidRPr="00B528A4">
        <w:rPr>
          <w:rStyle w:val="Znakapoznpodarou"/>
          <w:rFonts w:ascii="Times New Roman" w:hAnsi="Times New Roman" w:cs="Times New Roman"/>
          <w:sz w:val="24"/>
          <w:szCs w:val="24"/>
        </w:rPr>
        <w:footnoteReference w:id="132"/>
      </w:r>
      <w:r w:rsidRPr="00B528A4">
        <w:rPr>
          <w:rFonts w:ascii="Times New Roman" w:hAnsi="Times New Roman" w:cs="Times New Roman"/>
          <w:sz w:val="24"/>
          <w:szCs w:val="24"/>
        </w:rPr>
        <w:t xml:space="preserve"> principu, případně jeho politická dimenze</w:t>
      </w:r>
      <w:r w:rsidR="001F7B69">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33"/>
      </w:r>
      <w:r w:rsidRPr="00B528A4">
        <w:rPr>
          <w:rFonts w:ascii="Times New Roman" w:hAnsi="Times New Roman" w:cs="Times New Roman"/>
          <w:sz w:val="24"/>
          <w:szCs w:val="24"/>
        </w:rPr>
        <w:t xml:space="preserve"> Lze se ale setkat i s </w:t>
      </w:r>
      <w:r w:rsidR="00672D28">
        <w:rPr>
          <w:rFonts w:ascii="Times New Roman" w:hAnsi="Times New Roman" w:cs="Times New Roman"/>
          <w:sz w:val="24"/>
          <w:szCs w:val="24"/>
        </w:rPr>
        <w:t>ideou, že jde o projev jakési</w:t>
      </w:r>
      <w:r w:rsidRPr="00B528A4">
        <w:rPr>
          <w:rFonts w:ascii="Times New Roman" w:hAnsi="Times New Roman" w:cs="Times New Roman"/>
          <w:sz w:val="24"/>
          <w:szCs w:val="24"/>
        </w:rPr>
        <w:t xml:space="preserve"> neobvyklé formy soudního aktivismu a SD</w:t>
      </w:r>
      <w:r>
        <w:rPr>
          <w:rFonts w:ascii="Times New Roman" w:hAnsi="Times New Roman" w:cs="Times New Roman"/>
          <w:sz w:val="24"/>
          <w:szCs w:val="24"/>
        </w:rPr>
        <w:t>EU</w:t>
      </w:r>
      <w:r w:rsidRPr="00B528A4">
        <w:rPr>
          <w:rFonts w:ascii="Times New Roman" w:hAnsi="Times New Roman" w:cs="Times New Roman"/>
          <w:sz w:val="24"/>
          <w:szCs w:val="24"/>
        </w:rPr>
        <w:t xml:space="preserve"> vlastně jen pokračuje v podpoře centralizace, respektive integrace jako takové.</w:t>
      </w:r>
      <w:r w:rsidRPr="00B528A4">
        <w:rPr>
          <w:rStyle w:val="Znakapoznpodarou"/>
          <w:rFonts w:ascii="Times New Roman" w:hAnsi="Times New Roman" w:cs="Times New Roman"/>
          <w:sz w:val="24"/>
          <w:szCs w:val="24"/>
        </w:rPr>
        <w:footnoteReference w:id="134"/>
      </w:r>
      <w:r w:rsidRPr="00B528A4">
        <w:rPr>
          <w:rFonts w:ascii="Times New Roman" w:hAnsi="Times New Roman" w:cs="Times New Roman"/>
          <w:sz w:val="24"/>
          <w:szCs w:val="24"/>
        </w:rPr>
        <w:t xml:space="preserve"> Důvodem by</w:t>
      </w:r>
      <w:r w:rsidR="0003389F">
        <w:rPr>
          <w:rFonts w:ascii="Times New Roman" w:hAnsi="Times New Roman" w:cs="Times New Roman"/>
          <w:sz w:val="24"/>
          <w:szCs w:val="24"/>
        </w:rPr>
        <w:t xml:space="preserve"> tak nebyla politická dimenze zásady subsidiarity</w:t>
      </w:r>
      <w:r w:rsidRPr="00B528A4">
        <w:rPr>
          <w:rFonts w:ascii="Times New Roman" w:hAnsi="Times New Roman" w:cs="Times New Roman"/>
          <w:sz w:val="24"/>
          <w:szCs w:val="24"/>
        </w:rPr>
        <w:t>, nýbrž politická dimenze SD</w:t>
      </w:r>
      <w:r>
        <w:rPr>
          <w:rFonts w:ascii="Times New Roman" w:hAnsi="Times New Roman" w:cs="Times New Roman"/>
          <w:sz w:val="24"/>
          <w:szCs w:val="24"/>
        </w:rPr>
        <w:t>EU</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35"/>
      </w:r>
      <w:r w:rsidRPr="00B528A4">
        <w:rPr>
          <w:rFonts w:ascii="Times New Roman" w:hAnsi="Times New Roman" w:cs="Times New Roman"/>
          <w:sz w:val="24"/>
          <w:szCs w:val="24"/>
        </w:rPr>
        <w:t xml:space="preserve"> Dle našeho názoru by druhá zmíněná argumentace neměla být opomíjena. Vedle toho však znovu připomeňme, že ze strany SD</w:t>
      </w:r>
      <w:r>
        <w:rPr>
          <w:rFonts w:ascii="Times New Roman" w:hAnsi="Times New Roman" w:cs="Times New Roman"/>
          <w:sz w:val="24"/>
          <w:szCs w:val="24"/>
        </w:rPr>
        <w:t>EU</w:t>
      </w:r>
      <w:r w:rsidRPr="00B528A4">
        <w:rPr>
          <w:rFonts w:ascii="Times New Roman" w:hAnsi="Times New Roman" w:cs="Times New Roman"/>
          <w:sz w:val="24"/>
          <w:szCs w:val="24"/>
        </w:rPr>
        <w:t xml:space="preserve"> jde </w:t>
      </w:r>
      <w:r w:rsidR="00C60973">
        <w:rPr>
          <w:rFonts w:ascii="Times New Roman" w:hAnsi="Times New Roman" w:cs="Times New Roman"/>
          <w:sz w:val="24"/>
          <w:szCs w:val="24"/>
        </w:rPr>
        <w:t>o kontrolu ex post. P</w:t>
      </w:r>
      <w:r>
        <w:rPr>
          <w:rFonts w:ascii="Times New Roman" w:hAnsi="Times New Roman" w:cs="Times New Roman"/>
          <w:sz w:val="24"/>
          <w:szCs w:val="24"/>
        </w:rPr>
        <w:t>okud by</w:t>
      </w:r>
      <w:r w:rsidRPr="00B528A4">
        <w:rPr>
          <w:rFonts w:ascii="Times New Roman" w:hAnsi="Times New Roman" w:cs="Times New Roman"/>
          <w:sz w:val="24"/>
          <w:szCs w:val="24"/>
        </w:rPr>
        <w:t xml:space="preserve"> nějaký akt pro rozpo</w:t>
      </w:r>
      <w:r w:rsidR="005C711E">
        <w:rPr>
          <w:rFonts w:ascii="Times New Roman" w:hAnsi="Times New Roman" w:cs="Times New Roman"/>
          <w:sz w:val="24"/>
          <w:szCs w:val="24"/>
        </w:rPr>
        <w:t>r se zásadou subsidiarity</w:t>
      </w:r>
      <w:r w:rsidRPr="00B528A4">
        <w:rPr>
          <w:rFonts w:ascii="Times New Roman" w:hAnsi="Times New Roman" w:cs="Times New Roman"/>
          <w:sz w:val="24"/>
          <w:szCs w:val="24"/>
        </w:rPr>
        <w:t xml:space="preserve"> zrušil, nestavěl by se pouze proti Komisi, ale ve většině případů i proti Radě a EP. Zrušující rozhodnutí by odhalovalo pochybení všech institucí, které se účastnily p</w:t>
      </w:r>
      <w:r w:rsidR="001A7802">
        <w:rPr>
          <w:rFonts w:ascii="Times New Roman" w:hAnsi="Times New Roman" w:cs="Times New Roman"/>
          <w:sz w:val="24"/>
          <w:szCs w:val="24"/>
        </w:rPr>
        <w:t>řijetí aktu a rozpor se zásadou</w:t>
      </w:r>
      <w:r>
        <w:rPr>
          <w:rFonts w:ascii="Times New Roman" w:hAnsi="Times New Roman" w:cs="Times New Roman"/>
          <w:sz w:val="24"/>
          <w:szCs w:val="24"/>
        </w:rPr>
        <w:t xml:space="preserve"> </w:t>
      </w:r>
      <w:r w:rsidRPr="00B528A4">
        <w:rPr>
          <w:rFonts w:ascii="Times New Roman" w:hAnsi="Times New Roman" w:cs="Times New Roman"/>
          <w:sz w:val="24"/>
          <w:szCs w:val="24"/>
        </w:rPr>
        <w:t>neodhalily či nenamítaly.</w:t>
      </w:r>
      <w:r w:rsidRPr="00B528A4">
        <w:rPr>
          <w:rStyle w:val="Znakapoznpodarou"/>
          <w:rFonts w:ascii="Times New Roman" w:hAnsi="Times New Roman" w:cs="Times New Roman"/>
          <w:sz w:val="24"/>
          <w:szCs w:val="24"/>
        </w:rPr>
        <w:footnoteReference w:id="136"/>
      </w:r>
      <w:r w:rsidRPr="00B528A4">
        <w:rPr>
          <w:rFonts w:ascii="Times New Roman" w:hAnsi="Times New Roman" w:cs="Times New Roman"/>
          <w:sz w:val="24"/>
          <w:szCs w:val="24"/>
        </w:rPr>
        <w:t xml:space="preserve"> Navíc zmiňme, že aktivně legitimované subjekty, a zde máme na mysli především členské státy, nepřinesly před SD</w:t>
      </w:r>
      <w:r w:rsidR="00951F5E">
        <w:rPr>
          <w:rFonts w:ascii="Times New Roman" w:hAnsi="Times New Roman" w:cs="Times New Roman"/>
          <w:sz w:val="24"/>
          <w:szCs w:val="24"/>
        </w:rPr>
        <w:t>EU</w:t>
      </w:r>
      <w:r w:rsidRPr="00B528A4">
        <w:rPr>
          <w:rFonts w:ascii="Times New Roman" w:hAnsi="Times New Roman" w:cs="Times New Roman"/>
          <w:sz w:val="24"/>
          <w:szCs w:val="24"/>
        </w:rPr>
        <w:t xml:space="preserve"> mnoho případů týkajících </w:t>
      </w:r>
      <w:r w:rsidR="00926547">
        <w:rPr>
          <w:rFonts w:ascii="Times New Roman" w:hAnsi="Times New Roman" w:cs="Times New Roman"/>
          <w:sz w:val="24"/>
          <w:szCs w:val="24"/>
        </w:rPr>
        <w:t>se subsidiarity</w:t>
      </w:r>
      <w:r w:rsidRPr="00B528A4">
        <w:rPr>
          <w:rFonts w:ascii="Times New Roman" w:hAnsi="Times New Roman" w:cs="Times New Roman"/>
          <w:sz w:val="24"/>
          <w:szCs w:val="24"/>
        </w:rPr>
        <w:t>, přestože od zavedení principu byly přijaty tisíce nařízení, směrnic či rozhodnutí.</w:t>
      </w:r>
      <w:r w:rsidRPr="00B528A4">
        <w:rPr>
          <w:rStyle w:val="Znakapoznpodarou"/>
          <w:rFonts w:ascii="Times New Roman" w:hAnsi="Times New Roman" w:cs="Times New Roman"/>
          <w:sz w:val="24"/>
          <w:szCs w:val="24"/>
        </w:rPr>
        <w:footnoteReference w:id="137"/>
      </w:r>
      <w:r w:rsidRPr="00B528A4">
        <w:rPr>
          <w:rFonts w:ascii="Times New Roman" w:hAnsi="Times New Roman" w:cs="Times New Roman"/>
          <w:sz w:val="24"/>
          <w:szCs w:val="24"/>
        </w:rPr>
        <w:t xml:space="preserve">  </w:t>
      </w:r>
    </w:p>
    <w:p w:rsidR="00B85FF1" w:rsidRPr="00B528A4" w:rsidRDefault="00B8481C" w:rsidP="00C41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závěr</w:t>
      </w:r>
      <w:r w:rsidR="00B85FF1" w:rsidRPr="00B528A4">
        <w:rPr>
          <w:rFonts w:ascii="Times New Roman" w:hAnsi="Times New Roman" w:cs="Times New Roman"/>
          <w:sz w:val="24"/>
          <w:szCs w:val="24"/>
        </w:rPr>
        <w:t xml:space="preserve"> podkapitoly a vlas</w:t>
      </w:r>
      <w:r w:rsidR="0070713E">
        <w:rPr>
          <w:rFonts w:ascii="Times New Roman" w:hAnsi="Times New Roman" w:cs="Times New Roman"/>
          <w:sz w:val="24"/>
          <w:szCs w:val="24"/>
        </w:rPr>
        <w:t>tně kapitoly celé</w:t>
      </w:r>
      <w:r w:rsidR="00BF7983">
        <w:rPr>
          <w:rFonts w:ascii="Times New Roman" w:hAnsi="Times New Roman" w:cs="Times New Roman"/>
          <w:sz w:val="24"/>
          <w:szCs w:val="24"/>
        </w:rPr>
        <w:t xml:space="preserve"> shrňme, že zásada subsidiarity</w:t>
      </w:r>
      <w:r w:rsidR="00B85FF1" w:rsidRPr="00B528A4">
        <w:rPr>
          <w:rFonts w:ascii="Times New Roman" w:hAnsi="Times New Roman" w:cs="Times New Roman"/>
          <w:sz w:val="24"/>
          <w:szCs w:val="24"/>
        </w:rPr>
        <w:t xml:space="preserve"> může působit </w:t>
      </w:r>
      <w:r w:rsidR="00B85FF1" w:rsidRPr="00B528A4">
        <w:rPr>
          <w:rFonts w:ascii="Times New Roman" w:hAnsi="Times New Roman" w:cs="Times New Roman"/>
          <w:i/>
          <w:sz w:val="24"/>
          <w:szCs w:val="24"/>
        </w:rPr>
        <w:t>„restriktivně, jako nástroj znemožňující vyšší jednotce (EU) zasahovat do působení nižší instance (státu), pokud to není nezbytně nutné</w:t>
      </w:r>
      <w:r w:rsidR="00CE59C0">
        <w:rPr>
          <w:rFonts w:ascii="Times New Roman" w:hAnsi="Times New Roman" w:cs="Times New Roman"/>
          <w:i/>
          <w:sz w:val="24"/>
          <w:szCs w:val="24"/>
        </w:rPr>
        <w:t>.</w:t>
      </w:r>
      <w:r w:rsidR="00B85FF1" w:rsidRPr="00B528A4">
        <w:rPr>
          <w:rFonts w:ascii="Times New Roman" w:hAnsi="Times New Roman" w:cs="Times New Roman"/>
          <w:i/>
          <w:sz w:val="24"/>
          <w:szCs w:val="24"/>
        </w:rPr>
        <w:t>“</w:t>
      </w:r>
      <w:r w:rsidR="00B85FF1" w:rsidRPr="00B528A4">
        <w:rPr>
          <w:rStyle w:val="Znakapoznpodarou"/>
          <w:rFonts w:ascii="Times New Roman" w:hAnsi="Times New Roman" w:cs="Times New Roman"/>
          <w:i/>
          <w:sz w:val="24"/>
          <w:szCs w:val="24"/>
        </w:rPr>
        <w:footnoteReference w:id="138"/>
      </w:r>
      <w:r w:rsidR="00CE59C0">
        <w:rPr>
          <w:rFonts w:ascii="Times New Roman" w:hAnsi="Times New Roman" w:cs="Times New Roman"/>
          <w:sz w:val="24"/>
          <w:szCs w:val="24"/>
        </w:rPr>
        <w:t xml:space="preserve"> N</w:t>
      </w:r>
      <w:r w:rsidR="00B85FF1" w:rsidRPr="00B528A4">
        <w:rPr>
          <w:rFonts w:ascii="Times New Roman" w:hAnsi="Times New Roman" w:cs="Times New Roman"/>
          <w:sz w:val="24"/>
          <w:szCs w:val="24"/>
        </w:rPr>
        <w:t>ebo</w:t>
      </w:r>
      <w:r w:rsidR="00CE59C0">
        <w:rPr>
          <w:rFonts w:ascii="Times New Roman" w:hAnsi="Times New Roman" w:cs="Times New Roman"/>
          <w:sz w:val="24"/>
          <w:szCs w:val="24"/>
        </w:rPr>
        <w:t xml:space="preserve"> může působit</w:t>
      </w:r>
      <w:r w:rsidR="00B85FF1" w:rsidRPr="00B528A4">
        <w:rPr>
          <w:rFonts w:ascii="Times New Roman" w:hAnsi="Times New Roman" w:cs="Times New Roman"/>
          <w:sz w:val="24"/>
          <w:szCs w:val="24"/>
        </w:rPr>
        <w:t xml:space="preserve"> </w:t>
      </w:r>
      <w:r w:rsidR="00B85FF1" w:rsidRPr="00B528A4">
        <w:rPr>
          <w:rFonts w:ascii="Times New Roman" w:hAnsi="Times New Roman" w:cs="Times New Roman"/>
          <w:i/>
          <w:sz w:val="24"/>
          <w:szCs w:val="24"/>
        </w:rPr>
        <w:t>„extenzivně, jako nástroj, který naopak vyšší jednotce dovoluje aktivně jednat a posiluje její pravomoci v případě, že nižší instance není schopná vlastními silami dosáhnout žádoucího výsledku efektivněji.“</w:t>
      </w:r>
      <w:r w:rsidR="00B85FF1" w:rsidRPr="00B528A4">
        <w:rPr>
          <w:rStyle w:val="Znakapoznpodarou"/>
          <w:rFonts w:ascii="Times New Roman" w:hAnsi="Times New Roman" w:cs="Times New Roman"/>
          <w:i/>
          <w:sz w:val="24"/>
          <w:szCs w:val="24"/>
        </w:rPr>
        <w:footnoteReference w:id="139"/>
      </w:r>
      <w:r w:rsidR="00B85FF1" w:rsidRPr="00B528A4">
        <w:rPr>
          <w:rFonts w:ascii="Times New Roman" w:hAnsi="Times New Roman" w:cs="Times New Roman"/>
          <w:sz w:val="24"/>
          <w:szCs w:val="24"/>
        </w:rPr>
        <w:t xml:space="preserve"> Jaký účinek v praxi převládá, a zde zatím </w:t>
      </w:r>
      <w:r w:rsidR="0060050B">
        <w:rPr>
          <w:rFonts w:ascii="Times New Roman" w:hAnsi="Times New Roman" w:cs="Times New Roman"/>
          <w:sz w:val="24"/>
          <w:szCs w:val="24"/>
        </w:rPr>
        <w:t>pomiňme systém včasného varování</w:t>
      </w:r>
      <w:r w:rsidR="00B85FF1" w:rsidRPr="00B528A4">
        <w:rPr>
          <w:rFonts w:ascii="Times New Roman" w:hAnsi="Times New Roman" w:cs="Times New Roman"/>
          <w:sz w:val="24"/>
          <w:szCs w:val="24"/>
        </w:rPr>
        <w:t xml:space="preserve"> a kontrolu ex </w:t>
      </w:r>
      <w:r w:rsidR="00B85FF1" w:rsidRPr="00B528A4">
        <w:rPr>
          <w:rFonts w:ascii="Times New Roman" w:hAnsi="Times New Roman" w:cs="Times New Roman"/>
          <w:sz w:val="24"/>
          <w:szCs w:val="24"/>
        </w:rPr>
        <w:lastRenderedPageBreak/>
        <w:t xml:space="preserve">ante ze strany parlamentů, je </w:t>
      </w:r>
      <w:r w:rsidR="00183BB2">
        <w:rPr>
          <w:rFonts w:ascii="Times New Roman" w:hAnsi="Times New Roman" w:cs="Times New Roman"/>
          <w:sz w:val="24"/>
          <w:szCs w:val="24"/>
        </w:rPr>
        <w:t xml:space="preserve">nejen </w:t>
      </w:r>
      <w:r w:rsidR="00B85FF1" w:rsidRPr="00B528A4">
        <w:rPr>
          <w:rFonts w:ascii="Times New Roman" w:hAnsi="Times New Roman" w:cs="Times New Roman"/>
          <w:sz w:val="24"/>
          <w:szCs w:val="24"/>
        </w:rPr>
        <w:t>z výše uvedeného zřejmé. Proto není překvapením, že někteří hovoří o selhání</w:t>
      </w:r>
      <w:r w:rsidR="00676BEC">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40"/>
      </w:r>
      <w:r w:rsidR="00B85FF1" w:rsidRPr="00B528A4">
        <w:rPr>
          <w:rFonts w:ascii="Times New Roman" w:hAnsi="Times New Roman" w:cs="Times New Roman"/>
          <w:sz w:val="24"/>
          <w:szCs w:val="24"/>
        </w:rPr>
        <w:t xml:space="preserve"> neúspěchu</w:t>
      </w:r>
      <w:r w:rsidR="00B85FF1" w:rsidRPr="00B528A4">
        <w:rPr>
          <w:rStyle w:val="Znakapoznpodarou"/>
          <w:rFonts w:ascii="Times New Roman" w:hAnsi="Times New Roman" w:cs="Times New Roman"/>
          <w:sz w:val="24"/>
          <w:szCs w:val="24"/>
        </w:rPr>
        <w:footnoteReference w:id="141"/>
      </w:r>
      <w:r w:rsidR="00F70131">
        <w:rPr>
          <w:rFonts w:ascii="Times New Roman" w:hAnsi="Times New Roman" w:cs="Times New Roman"/>
          <w:sz w:val="24"/>
          <w:szCs w:val="24"/>
        </w:rPr>
        <w:t xml:space="preserve"> či iluzi zásady subsidiarity</w:t>
      </w:r>
      <w:r w:rsidR="00676BEC">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42"/>
      </w:r>
      <w:r w:rsidR="00B85FF1" w:rsidRPr="00B528A4">
        <w:rPr>
          <w:rFonts w:ascii="Times New Roman" w:hAnsi="Times New Roman" w:cs="Times New Roman"/>
          <w:sz w:val="24"/>
          <w:szCs w:val="24"/>
        </w:rPr>
        <w:t xml:space="preserve"> S ohledem na tato hodnocení a zejména s ohledem na trend a způsob rozhodování SDEU lze tedy do kontroly ex ante ze strany parlamentů vkládat jisté naděje a její zavedení hodnotit jako do velké míry logický krok.</w:t>
      </w:r>
    </w:p>
    <w:p w:rsidR="00504D53" w:rsidRDefault="00504D53"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6D0ADC" w:rsidRDefault="006D0ADC" w:rsidP="00B85FF1">
      <w:pPr>
        <w:spacing w:line="360" w:lineRule="auto"/>
        <w:jc w:val="both"/>
        <w:rPr>
          <w:rFonts w:ascii="Times New Roman" w:hAnsi="Times New Roman" w:cs="Times New Roman"/>
          <w:b/>
          <w:sz w:val="24"/>
          <w:szCs w:val="24"/>
        </w:rPr>
      </w:pPr>
    </w:p>
    <w:p w:rsidR="00B85FF1" w:rsidRDefault="00577900" w:rsidP="008B60F2">
      <w:pPr>
        <w:pStyle w:val="Nadpis1"/>
        <w:numPr>
          <w:ilvl w:val="0"/>
          <w:numId w:val="3"/>
        </w:numPr>
      </w:pPr>
      <w:bookmarkStart w:id="20" w:name="_Toc478235166"/>
      <w:r w:rsidRPr="002F6035">
        <w:lastRenderedPageBreak/>
        <w:t>Právní úprava s</w:t>
      </w:r>
      <w:r w:rsidR="00B85FF1" w:rsidRPr="002F6035">
        <w:t>ystém</w:t>
      </w:r>
      <w:r w:rsidRPr="002F6035">
        <w:t>u</w:t>
      </w:r>
      <w:r w:rsidR="00B85FF1" w:rsidRPr="002F6035">
        <w:t xml:space="preserve"> včasného</w:t>
      </w:r>
      <w:r w:rsidR="00B85FF1" w:rsidRPr="00504D53">
        <w:t xml:space="preserve"> varování</w:t>
      </w:r>
      <w:bookmarkEnd w:id="20"/>
    </w:p>
    <w:p w:rsidR="00BC10BA" w:rsidRPr="00BC10BA" w:rsidRDefault="00BC10BA" w:rsidP="00BC10BA">
      <w:pPr>
        <w:pStyle w:val="Odstavecseseznamem"/>
      </w:pPr>
    </w:p>
    <w:p w:rsidR="00B85FF1" w:rsidRPr="00B528A4" w:rsidRDefault="00B85FF1" w:rsidP="00B85FF1">
      <w:pPr>
        <w:spacing w:line="360" w:lineRule="auto"/>
        <w:ind w:firstLine="708"/>
        <w:jc w:val="both"/>
        <w:rPr>
          <w:rFonts w:ascii="Times New Roman" w:hAnsi="Times New Roman" w:cs="Times New Roman"/>
          <w:sz w:val="24"/>
          <w:szCs w:val="24"/>
        </w:rPr>
      </w:pPr>
      <w:r w:rsidRPr="00B528A4">
        <w:rPr>
          <w:rFonts w:ascii="Times New Roman" w:hAnsi="Times New Roman" w:cs="Times New Roman"/>
          <w:sz w:val="24"/>
          <w:szCs w:val="24"/>
        </w:rPr>
        <w:t>Označujeme-li parlamenty za strážce či hlídače</w:t>
      </w:r>
      <w:r w:rsidR="00C247A4">
        <w:rPr>
          <w:rFonts w:ascii="Times New Roman" w:hAnsi="Times New Roman" w:cs="Times New Roman"/>
          <w:sz w:val="24"/>
          <w:szCs w:val="24"/>
        </w:rPr>
        <w:t xml:space="preserve"> zásady subsidiarity,</w:t>
      </w:r>
      <w:r w:rsidRPr="00B528A4">
        <w:rPr>
          <w:rStyle w:val="Znakapoznpodarou"/>
          <w:rFonts w:ascii="Times New Roman" w:hAnsi="Times New Roman" w:cs="Times New Roman"/>
          <w:sz w:val="24"/>
          <w:szCs w:val="24"/>
        </w:rPr>
        <w:footnoteReference w:id="143"/>
      </w:r>
      <w:r w:rsidR="00C247A4">
        <w:rPr>
          <w:rFonts w:ascii="Times New Roman" w:hAnsi="Times New Roman" w:cs="Times New Roman"/>
          <w:sz w:val="24"/>
          <w:szCs w:val="24"/>
        </w:rPr>
        <w:t xml:space="preserve"> </w:t>
      </w:r>
      <w:r>
        <w:rPr>
          <w:rFonts w:ascii="Times New Roman" w:hAnsi="Times New Roman" w:cs="Times New Roman"/>
          <w:sz w:val="24"/>
          <w:szCs w:val="24"/>
        </w:rPr>
        <w:t>pak</w:t>
      </w:r>
      <w:r w:rsidR="00694347">
        <w:rPr>
          <w:rFonts w:ascii="Times New Roman" w:hAnsi="Times New Roman" w:cs="Times New Roman"/>
          <w:sz w:val="24"/>
          <w:szCs w:val="24"/>
        </w:rPr>
        <w:t xml:space="preserve"> uveďme, že její kontrola</w:t>
      </w:r>
      <w:r w:rsidRPr="00B528A4">
        <w:rPr>
          <w:rFonts w:ascii="Times New Roman" w:hAnsi="Times New Roman" w:cs="Times New Roman"/>
          <w:sz w:val="24"/>
          <w:szCs w:val="24"/>
        </w:rPr>
        <w:t xml:space="preserve"> ex ante je z jejich strany předpokládána</w:t>
      </w:r>
      <w:r w:rsidR="002257AF">
        <w:rPr>
          <w:rFonts w:ascii="Times New Roman" w:hAnsi="Times New Roman" w:cs="Times New Roman"/>
          <w:sz w:val="24"/>
          <w:szCs w:val="24"/>
        </w:rPr>
        <w:t xml:space="preserve"> zejména prostřednictvím systému včasného varování</w:t>
      </w:r>
      <w:r w:rsidRPr="00B528A4">
        <w:rPr>
          <w:rFonts w:ascii="Times New Roman" w:hAnsi="Times New Roman" w:cs="Times New Roman"/>
          <w:sz w:val="24"/>
          <w:szCs w:val="24"/>
        </w:rPr>
        <w:t>.</w:t>
      </w:r>
      <w:r>
        <w:rPr>
          <w:rFonts w:ascii="Times New Roman" w:hAnsi="Times New Roman" w:cs="Times New Roman"/>
          <w:sz w:val="24"/>
          <w:szCs w:val="24"/>
        </w:rPr>
        <w:t xml:space="preserve"> C</w:t>
      </w:r>
      <w:r w:rsidRPr="00B528A4">
        <w:rPr>
          <w:rFonts w:ascii="Times New Roman" w:hAnsi="Times New Roman" w:cs="Times New Roman"/>
          <w:sz w:val="24"/>
          <w:szCs w:val="24"/>
        </w:rPr>
        <w:t xml:space="preserve">ílem </w:t>
      </w:r>
      <w:r>
        <w:rPr>
          <w:rFonts w:ascii="Times New Roman" w:hAnsi="Times New Roman" w:cs="Times New Roman"/>
          <w:sz w:val="24"/>
          <w:szCs w:val="24"/>
        </w:rPr>
        <w:t xml:space="preserve">kapitoly </w:t>
      </w:r>
      <w:r w:rsidRPr="00B528A4">
        <w:rPr>
          <w:rFonts w:ascii="Times New Roman" w:hAnsi="Times New Roman" w:cs="Times New Roman"/>
          <w:sz w:val="24"/>
          <w:szCs w:val="24"/>
        </w:rPr>
        <w:t>je ana</w:t>
      </w:r>
      <w:r w:rsidR="009E6A09">
        <w:rPr>
          <w:rFonts w:ascii="Times New Roman" w:hAnsi="Times New Roman" w:cs="Times New Roman"/>
          <w:sz w:val="24"/>
          <w:szCs w:val="24"/>
        </w:rPr>
        <w:t>lyzovat unijní právní úpravu systému</w:t>
      </w:r>
      <w:r w:rsidRPr="00B528A4">
        <w:rPr>
          <w:rFonts w:ascii="Times New Roman" w:hAnsi="Times New Roman" w:cs="Times New Roman"/>
          <w:sz w:val="24"/>
          <w:szCs w:val="24"/>
        </w:rPr>
        <w:t>. I zde v zásadě platí, že budeme vycházet pouze z aktuálního znění primárního práva, když pozornost nebude až na ojedinělé odkazy věnována předchozímu vývoji</w:t>
      </w:r>
      <w:r w:rsidR="00E323CB">
        <w:rPr>
          <w:rFonts w:ascii="Times New Roman" w:hAnsi="Times New Roman" w:cs="Times New Roman"/>
          <w:sz w:val="24"/>
          <w:szCs w:val="24"/>
        </w:rPr>
        <w:t xml:space="preserve"> před LS</w:t>
      </w:r>
      <w:r w:rsidRPr="00B528A4">
        <w:rPr>
          <w:rFonts w:ascii="Times New Roman" w:hAnsi="Times New Roman" w:cs="Times New Roman"/>
          <w:sz w:val="24"/>
          <w:szCs w:val="24"/>
        </w:rPr>
        <w:t xml:space="preserve">, tedy </w:t>
      </w:r>
      <w:r w:rsidR="00D225E1">
        <w:rPr>
          <w:rFonts w:ascii="Times New Roman" w:hAnsi="Times New Roman" w:cs="Times New Roman"/>
          <w:sz w:val="24"/>
          <w:szCs w:val="24"/>
        </w:rPr>
        <w:t xml:space="preserve">např. </w:t>
      </w:r>
      <w:r w:rsidRPr="00B528A4">
        <w:rPr>
          <w:rFonts w:ascii="Times New Roman" w:hAnsi="Times New Roman" w:cs="Times New Roman"/>
          <w:sz w:val="24"/>
          <w:szCs w:val="24"/>
        </w:rPr>
        <w:t>mezivládním konferencím či výstupům pracovních skupin</w:t>
      </w:r>
      <w:r w:rsidR="00BF24DF">
        <w:rPr>
          <w:rFonts w:ascii="Times New Roman" w:hAnsi="Times New Roman" w:cs="Times New Roman"/>
          <w:sz w:val="24"/>
          <w:szCs w:val="24"/>
        </w:rPr>
        <w:t xml:space="preserve"> konventu</w:t>
      </w:r>
      <w:r w:rsidRPr="00B528A4">
        <w:rPr>
          <w:rFonts w:ascii="Times New Roman" w:hAnsi="Times New Roman" w:cs="Times New Roman"/>
          <w:sz w:val="24"/>
          <w:szCs w:val="24"/>
        </w:rPr>
        <w:t>.</w:t>
      </w:r>
      <w:r w:rsidR="00275068" w:rsidRPr="00B528A4">
        <w:rPr>
          <w:rStyle w:val="Znakapoznpodarou"/>
          <w:rFonts w:ascii="Times New Roman" w:hAnsi="Times New Roman" w:cs="Times New Roman"/>
          <w:sz w:val="24"/>
          <w:szCs w:val="24"/>
        </w:rPr>
        <w:footnoteReference w:id="144"/>
      </w:r>
    </w:p>
    <w:p w:rsidR="00B85FF1" w:rsidRDefault="00B85FF1" w:rsidP="00222C49">
      <w:pPr>
        <w:pStyle w:val="Nadpis2"/>
        <w:numPr>
          <w:ilvl w:val="1"/>
          <w:numId w:val="3"/>
        </w:numPr>
      </w:pPr>
      <w:bookmarkStart w:id="21" w:name="_Toc478235167"/>
      <w:r w:rsidRPr="00B528A4">
        <w:t>Systém včasného varování</w:t>
      </w:r>
      <w:bookmarkEnd w:id="21"/>
    </w:p>
    <w:p w:rsidR="00222C49" w:rsidRPr="00222C49" w:rsidRDefault="00222C49" w:rsidP="00222C49">
      <w:pPr>
        <w:ind w:left="360"/>
      </w:pPr>
    </w:p>
    <w:p w:rsidR="00B85FF1" w:rsidRPr="00B528A4" w:rsidRDefault="009E6A09" w:rsidP="001549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Systém včasného varování</w:t>
      </w:r>
      <w:r w:rsidR="00B85FF1" w:rsidRPr="00B528A4">
        <w:rPr>
          <w:rFonts w:ascii="Times New Roman" w:hAnsi="Times New Roman" w:cs="Times New Roman"/>
          <w:sz w:val="24"/>
          <w:szCs w:val="24"/>
        </w:rPr>
        <w:t xml:space="preserve"> je jednou z nejvíce nápadných inovací</w:t>
      </w:r>
      <w:r w:rsidR="000B57EC">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45"/>
      </w:r>
      <w:r w:rsidR="00C74B64">
        <w:rPr>
          <w:rFonts w:ascii="Times New Roman" w:hAnsi="Times New Roman" w:cs="Times New Roman"/>
          <w:sz w:val="24"/>
          <w:szCs w:val="24"/>
        </w:rPr>
        <w:t xml:space="preserve"> které LS přinesla. Jedním z cílů</w:t>
      </w:r>
      <w:r w:rsidR="000D3F6C">
        <w:rPr>
          <w:rFonts w:ascii="Times New Roman" w:hAnsi="Times New Roman" w:cs="Times New Roman"/>
          <w:sz w:val="24"/>
          <w:szCs w:val="24"/>
        </w:rPr>
        <w:t>, kterých</w:t>
      </w:r>
      <w:r w:rsidR="00FE02F7">
        <w:rPr>
          <w:rFonts w:ascii="Times New Roman" w:hAnsi="Times New Roman" w:cs="Times New Roman"/>
          <w:sz w:val="24"/>
          <w:szCs w:val="24"/>
        </w:rPr>
        <w:t xml:space="preserve"> má být</w:t>
      </w:r>
      <w:r w:rsidR="004C7A84">
        <w:rPr>
          <w:rFonts w:ascii="Times New Roman" w:hAnsi="Times New Roman" w:cs="Times New Roman"/>
          <w:sz w:val="24"/>
          <w:szCs w:val="24"/>
        </w:rPr>
        <w:t xml:space="preserve"> prostřednictvím</w:t>
      </w:r>
      <w:r w:rsidR="00FE02F7">
        <w:rPr>
          <w:rFonts w:ascii="Times New Roman" w:hAnsi="Times New Roman" w:cs="Times New Roman"/>
          <w:sz w:val="24"/>
          <w:szCs w:val="24"/>
        </w:rPr>
        <w:t xml:space="preserve"> systému včasného varování</w:t>
      </w:r>
      <w:r w:rsidR="004C7A84">
        <w:rPr>
          <w:rFonts w:ascii="Times New Roman" w:hAnsi="Times New Roman" w:cs="Times New Roman"/>
          <w:sz w:val="24"/>
          <w:szCs w:val="24"/>
        </w:rPr>
        <w:t xml:space="preserve"> </w:t>
      </w:r>
      <w:r w:rsidR="00C71C91">
        <w:rPr>
          <w:rFonts w:ascii="Times New Roman" w:hAnsi="Times New Roman" w:cs="Times New Roman"/>
          <w:sz w:val="24"/>
          <w:szCs w:val="24"/>
        </w:rPr>
        <w:t>dosaženo, je</w:t>
      </w:r>
      <w:r w:rsidR="00B85FF1" w:rsidRPr="00B528A4">
        <w:rPr>
          <w:rFonts w:ascii="Times New Roman" w:hAnsi="Times New Roman" w:cs="Times New Roman"/>
          <w:sz w:val="24"/>
          <w:szCs w:val="24"/>
        </w:rPr>
        <w:t xml:space="preserve"> snížení demokratického deficitu EU.</w:t>
      </w:r>
      <w:r w:rsidR="00B85FF1" w:rsidRPr="00B528A4">
        <w:rPr>
          <w:rStyle w:val="Znakapoznpodarou"/>
          <w:rFonts w:ascii="Times New Roman" w:hAnsi="Times New Roman" w:cs="Times New Roman"/>
          <w:sz w:val="24"/>
          <w:szCs w:val="24"/>
        </w:rPr>
        <w:footnoteReference w:id="146"/>
      </w:r>
      <w:r w:rsidR="00B85FF1" w:rsidRPr="00B528A4">
        <w:rPr>
          <w:rFonts w:ascii="Times New Roman" w:hAnsi="Times New Roman" w:cs="Times New Roman"/>
          <w:sz w:val="24"/>
          <w:szCs w:val="24"/>
        </w:rPr>
        <w:t xml:space="preserve"> Těžiště právní úpravy se nachází v protokolu č. 2.</w:t>
      </w:r>
      <w:r w:rsidR="00B85FF1" w:rsidRPr="00B528A4">
        <w:rPr>
          <w:rStyle w:val="Znakapoznpodarou"/>
          <w:rFonts w:ascii="Times New Roman" w:hAnsi="Times New Roman" w:cs="Times New Roman"/>
          <w:sz w:val="24"/>
          <w:szCs w:val="24"/>
        </w:rPr>
        <w:footnoteReference w:id="147"/>
      </w:r>
      <w:r w:rsidR="00B85FF1" w:rsidRPr="00B528A4">
        <w:rPr>
          <w:rFonts w:ascii="Times New Roman" w:hAnsi="Times New Roman" w:cs="Times New Roman"/>
          <w:sz w:val="24"/>
          <w:szCs w:val="24"/>
        </w:rPr>
        <w:t xml:space="preserve"> </w:t>
      </w:r>
      <w:r w:rsidR="00695241">
        <w:rPr>
          <w:rFonts w:ascii="Times New Roman" w:hAnsi="Times New Roman" w:cs="Times New Roman"/>
          <w:sz w:val="24"/>
          <w:szCs w:val="24"/>
        </w:rPr>
        <w:t>P</w:t>
      </w:r>
      <w:r w:rsidR="00B85FF1" w:rsidRPr="00B528A4">
        <w:rPr>
          <w:rFonts w:ascii="Times New Roman" w:hAnsi="Times New Roman" w:cs="Times New Roman"/>
          <w:sz w:val="24"/>
          <w:szCs w:val="24"/>
        </w:rPr>
        <w:t>rotokoly jsou nedílnou součástí SEU i SFEU</w:t>
      </w:r>
      <w:r w:rsidR="00BF3E41">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48"/>
      </w:r>
      <w:r w:rsidR="00B85FF1" w:rsidRPr="00B528A4">
        <w:rPr>
          <w:rFonts w:ascii="Times New Roman" w:hAnsi="Times New Roman" w:cs="Times New Roman"/>
          <w:sz w:val="24"/>
          <w:szCs w:val="24"/>
        </w:rPr>
        <w:t xml:space="preserve"> Mají tak přirozeně stejnou právní sílu. </w:t>
      </w:r>
    </w:p>
    <w:p w:rsidR="009A73D1" w:rsidRDefault="00B85FF1" w:rsidP="0015497C">
      <w:pPr>
        <w:spacing w:after="0" w:line="360" w:lineRule="auto"/>
        <w:ind w:firstLine="708"/>
        <w:jc w:val="both"/>
        <w:rPr>
          <w:rFonts w:ascii="Times New Roman" w:hAnsi="Times New Roman" w:cs="Times New Roman"/>
          <w:sz w:val="24"/>
          <w:szCs w:val="24"/>
        </w:rPr>
      </w:pPr>
      <w:r w:rsidRPr="00B528A4">
        <w:rPr>
          <w:rFonts w:ascii="Times New Roman" w:hAnsi="Times New Roman" w:cs="Times New Roman"/>
          <w:sz w:val="24"/>
          <w:szCs w:val="24"/>
        </w:rPr>
        <w:t>Přes</w:t>
      </w:r>
      <w:r w:rsidR="009846A4">
        <w:rPr>
          <w:rFonts w:ascii="Times New Roman" w:hAnsi="Times New Roman" w:cs="Times New Roman"/>
          <w:sz w:val="24"/>
          <w:szCs w:val="24"/>
        </w:rPr>
        <w:t>tože zásada subsidiarity</w:t>
      </w:r>
      <w:r w:rsidRPr="00B528A4">
        <w:rPr>
          <w:rFonts w:ascii="Times New Roman" w:hAnsi="Times New Roman" w:cs="Times New Roman"/>
          <w:sz w:val="24"/>
          <w:szCs w:val="24"/>
        </w:rPr>
        <w:t xml:space="preserve"> se uplatní obecně</w:t>
      </w:r>
      <w:r w:rsidR="00BB6E9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49"/>
      </w:r>
      <w:r w:rsidR="006D2BD3">
        <w:rPr>
          <w:rFonts w:ascii="Times New Roman" w:hAnsi="Times New Roman" w:cs="Times New Roman"/>
          <w:sz w:val="24"/>
          <w:szCs w:val="24"/>
        </w:rPr>
        <w:t xml:space="preserve"> systém včasného varování</w:t>
      </w:r>
      <w:r w:rsidRPr="00B528A4">
        <w:rPr>
          <w:rFonts w:ascii="Times New Roman" w:hAnsi="Times New Roman" w:cs="Times New Roman"/>
          <w:sz w:val="24"/>
          <w:szCs w:val="24"/>
        </w:rPr>
        <w:t xml:space="preserve"> je zaměřen</w:t>
      </w:r>
      <w:r>
        <w:rPr>
          <w:rFonts w:ascii="Times New Roman" w:hAnsi="Times New Roman" w:cs="Times New Roman"/>
          <w:sz w:val="24"/>
          <w:szCs w:val="24"/>
        </w:rPr>
        <w:t xml:space="preserve"> na tvorbu</w:t>
      </w:r>
      <w:r w:rsidRPr="00B528A4">
        <w:rPr>
          <w:rFonts w:ascii="Times New Roman" w:hAnsi="Times New Roman" w:cs="Times New Roman"/>
          <w:sz w:val="24"/>
          <w:szCs w:val="24"/>
        </w:rPr>
        <w:t xml:space="preserve"> sekundárního práva, a sice na legislativní akty, respektive jejich návrhy.</w:t>
      </w:r>
      <w:r w:rsidRPr="00B528A4">
        <w:rPr>
          <w:rStyle w:val="Znakapoznpodarou"/>
          <w:rFonts w:ascii="Times New Roman" w:hAnsi="Times New Roman" w:cs="Times New Roman"/>
          <w:sz w:val="24"/>
          <w:szCs w:val="24"/>
        </w:rPr>
        <w:footnoteReference w:id="150"/>
      </w:r>
      <w:r w:rsidR="00B65BCE">
        <w:rPr>
          <w:rFonts w:ascii="Times New Roman" w:hAnsi="Times New Roman" w:cs="Times New Roman"/>
          <w:sz w:val="24"/>
          <w:szCs w:val="24"/>
        </w:rPr>
        <w:t xml:space="preserve"> Mimo záběr</w:t>
      </w:r>
      <w:r w:rsidRPr="00B528A4">
        <w:rPr>
          <w:rFonts w:ascii="Times New Roman" w:hAnsi="Times New Roman" w:cs="Times New Roman"/>
          <w:sz w:val="24"/>
          <w:szCs w:val="24"/>
        </w:rPr>
        <w:t xml:space="preserve"> tak stojí např. prováděcí akty Komise</w:t>
      </w:r>
      <w:r w:rsidR="00025EE5">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51"/>
      </w:r>
      <w:r w:rsidRPr="00B528A4">
        <w:rPr>
          <w:rFonts w:ascii="Times New Roman" w:hAnsi="Times New Roman" w:cs="Times New Roman"/>
          <w:sz w:val="24"/>
          <w:szCs w:val="24"/>
        </w:rPr>
        <w:t xml:space="preserve"> její nelegislativní akty v přenesené působnosti</w:t>
      </w:r>
      <w:r w:rsidRPr="00B528A4">
        <w:rPr>
          <w:rStyle w:val="Znakapoznpodarou"/>
          <w:rFonts w:ascii="Times New Roman" w:hAnsi="Times New Roman" w:cs="Times New Roman"/>
          <w:sz w:val="24"/>
          <w:szCs w:val="24"/>
        </w:rPr>
        <w:footnoteReference w:id="152"/>
      </w:r>
      <w:r w:rsidRPr="00B528A4">
        <w:rPr>
          <w:rFonts w:ascii="Times New Roman" w:hAnsi="Times New Roman" w:cs="Times New Roman"/>
          <w:sz w:val="24"/>
          <w:szCs w:val="24"/>
        </w:rPr>
        <w:t xml:space="preserve"> nebo i veškeré akty v rámci SZBP</w:t>
      </w:r>
      <w:r w:rsidR="00025EE5">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53"/>
      </w:r>
      <w:r w:rsidR="002C0D8B">
        <w:rPr>
          <w:rFonts w:ascii="Times New Roman" w:hAnsi="Times New Roman" w:cs="Times New Roman"/>
          <w:sz w:val="24"/>
          <w:szCs w:val="24"/>
        </w:rPr>
        <w:t xml:space="preserve"> Zejména v případě</w:t>
      </w:r>
      <w:r w:rsidR="00EF1C22">
        <w:rPr>
          <w:rFonts w:ascii="Times New Roman" w:hAnsi="Times New Roman" w:cs="Times New Roman"/>
          <w:sz w:val="24"/>
          <w:szCs w:val="24"/>
        </w:rPr>
        <w:t xml:space="preserve"> aktů Komise, které</w:t>
      </w:r>
      <w:r w:rsidRPr="00B528A4">
        <w:rPr>
          <w:rFonts w:ascii="Times New Roman" w:hAnsi="Times New Roman" w:cs="Times New Roman"/>
          <w:sz w:val="24"/>
          <w:szCs w:val="24"/>
        </w:rPr>
        <w:t xml:space="preserve"> jsou výsledkem uplatnění delegované pravomoci, může být dané nastavení problematické.</w:t>
      </w:r>
      <w:r w:rsidRPr="00B528A4">
        <w:rPr>
          <w:rStyle w:val="Znakapoznpodarou"/>
          <w:rFonts w:ascii="Times New Roman" w:hAnsi="Times New Roman" w:cs="Times New Roman"/>
          <w:sz w:val="24"/>
          <w:szCs w:val="24"/>
        </w:rPr>
        <w:footnoteReference w:id="154"/>
      </w:r>
      <w:r w:rsidRPr="00B528A4">
        <w:rPr>
          <w:rFonts w:ascii="Times New Roman" w:hAnsi="Times New Roman" w:cs="Times New Roman"/>
          <w:sz w:val="24"/>
          <w:szCs w:val="24"/>
        </w:rPr>
        <w:t xml:space="preserve"> </w:t>
      </w:r>
    </w:p>
    <w:p w:rsidR="00B85FF1" w:rsidRPr="00B528A4" w:rsidRDefault="00B85FF1" w:rsidP="0015497C">
      <w:pPr>
        <w:spacing w:after="0" w:line="360" w:lineRule="auto"/>
        <w:ind w:firstLine="708"/>
        <w:jc w:val="both"/>
        <w:rPr>
          <w:rFonts w:ascii="Times New Roman" w:hAnsi="Times New Roman" w:cs="Times New Roman"/>
          <w:sz w:val="24"/>
          <w:szCs w:val="24"/>
        </w:rPr>
      </w:pPr>
      <w:r w:rsidRPr="00C83659">
        <w:rPr>
          <w:rFonts w:ascii="Times New Roman" w:hAnsi="Times New Roman" w:cs="Times New Roman"/>
          <w:sz w:val="24"/>
          <w:szCs w:val="24"/>
        </w:rPr>
        <w:lastRenderedPageBreak/>
        <w:t>Legislativní</w:t>
      </w:r>
      <w:r w:rsidRPr="00B528A4">
        <w:rPr>
          <w:rFonts w:ascii="Times New Roman" w:hAnsi="Times New Roman" w:cs="Times New Roman"/>
          <w:sz w:val="24"/>
          <w:szCs w:val="24"/>
        </w:rPr>
        <w:t xml:space="preserve"> akty jsou výsledkem </w:t>
      </w:r>
      <w:r w:rsidR="00086E90">
        <w:rPr>
          <w:rFonts w:ascii="Times New Roman" w:hAnsi="Times New Roman" w:cs="Times New Roman"/>
          <w:sz w:val="24"/>
          <w:szCs w:val="24"/>
        </w:rPr>
        <w:t xml:space="preserve">řádného či zvláštního </w:t>
      </w:r>
      <w:r w:rsidRPr="00B528A4">
        <w:rPr>
          <w:rFonts w:ascii="Times New Roman" w:hAnsi="Times New Roman" w:cs="Times New Roman"/>
          <w:sz w:val="24"/>
          <w:szCs w:val="24"/>
        </w:rPr>
        <w:t>legislati</w:t>
      </w:r>
      <w:r w:rsidR="00086E90">
        <w:rPr>
          <w:rFonts w:ascii="Times New Roman" w:hAnsi="Times New Roman" w:cs="Times New Roman"/>
          <w:sz w:val="24"/>
          <w:szCs w:val="24"/>
        </w:rPr>
        <w:t>vního postupu</w:t>
      </w:r>
      <w:r w:rsidR="004060BE">
        <w:rPr>
          <w:rFonts w:ascii="Times New Roman" w:hAnsi="Times New Roman" w:cs="Times New Roman"/>
          <w:sz w:val="24"/>
          <w:szCs w:val="24"/>
        </w:rPr>
        <w:t>. Systém včasného varování</w:t>
      </w:r>
      <w:r w:rsidRPr="00B528A4">
        <w:rPr>
          <w:rFonts w:ascii="Times New Roman" w:hAnsi="Times New Roman" w:cs="Times New Roman"/>
          <w:sz w:val="24"/>
          <w:szCs w:val="24"/>
        </w:rPr>
        <w:t xml:space="preserve"> pak můžeme označit za jeden z kroků v tomto postupu, přestože úpravy nalezneme na jiných místech.</w:t>
      </w:r>
      <w:r w:rsidRPr="00B528A4">
        <w:rPr>
          <w:rStyle w:val="Znakapoznpodarou"/>
          <w:rFonts w:ascii="Times New Roman" w:hAnsi="Times New Roman" w:cs="Times New Roman"/>
          <w:sz w:val="24"/>
          <w:szCs w:val="24"/>
        </w:rPr>
        <w:footnoteReference w:id="155"/>
      </w:r>
      <w:r w:rsidR="00AA7A5B">
        <w:rPr>
          <w:rFonts w:ascii="Times New Roman" w:hAnsi="Times New Roman" w:cs="Times New Roman"/>
          <w:sz w:val="24"/>
          <w:szCs w:val="24"/>
        </w:rPr>
        <w:t xml:space="preserve"> Ve spojení se systémem se</w:t>
      </w:r>
      <w:r w:rsidRPr="00B528A4">
        <w:rPr>
          <w:rFonts w:ascii="Times New Roman" w:hAnsi="Times New Roman" w:cs="Times New Roman"/>
          <w:sz w:val="24"/>
          <w:szCs w:val="24"/>
        </w:rPr>
        <w:t xml:space="preserve"> lze setkat i s označením parlamentů za jakousi virtuální třetí komoru, v </w:t>
      </w:r>
      <w:proofErr w:type="gramStart"/>
      <w:r w:rsidRPr="00B528A4">
        <w:rPr>
          <w:rFonts w:ascii="Times New Roman" w:hAnsi="Times New Roman" w:cs="Times New Roman"/>
          <w:sz w:val="24"/>
          <w:szCs w:val="24"/>
        </w:rPr>
        <w:t>rámci</w:t>
      </w:r>
      <w:proofErr w:type="gramEnd"/>
      <w:r w:rsidRPr="00B528A4">
        <w:rPr>
          <w:rFonts w:ascii="Times New Roman" w:hAnsi="Times New Roman" w:cs="Times New Roman"/>
          <w:sz w:val="24"/>
          <w:szCs w:val="24"/>
        </w:rPr>
        <w:t xml:space="preserve"> které parlamenty působí jako k</w:t>
      </w:r>
      <w:r w:rsidR="003478B3">
        <w:rPr>
          <w:rFonts w:ascii="Times New Roman" w:hAnsi="Times New Roman" w:cs="Times New Roman"/>
          <w:sz w:val="24"/>
          <w:szCs w:val="24"/>
        </w:rPr>
        <w:t>olektivní hráč schopný mj.</w:t>
      </w:r>
      <w:r w:rsidR="00E56EBC">
        <w:rPr>
          <w:rFonts w:ascii="Times New Roman" w:hAnsi="Times New Roman" w:cs="Times New Roman"/>
          <w:sz w:val="24"/>
          <w:szCs w:val="24"/>
        </w:rPr>
        <w:t xml:space="preserve"> ovlivnit legislativu EU. Plnit mají</w:t>
      </w:r>
      <w:r w:rsidRPr="00B528A4">
        <w:rPr>
          <w:rFonts w:ascii="Times New Roman" w:hAnsi="Times New Roman" w:cs="Times New Roman"/>
          <w:sz w:val="24"/>
          <w:szCs w:val="24"/>
        </w:rPr>
        <w:t xml:space="preserve"> další typicky parlamentní funkce.</w:t>
      </w:r>
      <w:r w:rsidRPr="00B528A4">
        <w:rPr>
          <w:rStyle w:val="Znakapoznpodarou"/>
          <w:rFonts w:ascii="Times New Roman" w:hAnsi="Times New Roman" w:cs="Times New Roman"/>
          <w:sz w:val="24"/>
          <w:szCs w:val="24"/>
        </w:rPr>
        <w:footnoteReference w:id="156"/>
      </w:r>
      <w:r w:rsidRPr="00B528A4">
        <w:rPr>
          <w:rFonts w:ascii="Times New Roman" w:hAnsi="Times New Roman" w:cs="Times New Roman"/>
          <w:sz w:val="24"/>
          <w:szCs w:val="24"/>
        </w:rPr>
        <w:t xml:space="preserve"> Rozhodně však parlamentům nelze přisuzovat stejně silnou roli, jakou v legislativním procesu mají Rada a EP. </w:t>
      </w:r>
    </w:p>
    <w:p w:rsidR="00B85FF1" w:rsidRPr="00B528A4" w:rsidRDefault="00B85FF1" w:rsidP="0015497C">
      <w:pPr>
        <w:spacing w:after="0" w:line="360" w:lineRule="auto"/>
        <w:ind w:firstLine="708"/>
        <w:jc w:val="both"/>
        <w:rPr>
          <w:rFonts w:ascii="Times New Roman" w:hAnsi="Times New Roman" w:cs="Times New Roman"/>
          <w:sz w:val="24"/>
          <w:szCs w:val="24"/>
        </w:rPr>
      </w:pPr>
      <w:r w:rsidRPr="00ED49B3">
        <w:rPr>
          <w:rFonts w:ascii="Times New Roman" w:hAnsi="Times New Roman" w:cs="Times New Roman"/>
          <w:sz w:val="24"/>
          <w:szCs w:val="24"/>
        </w:rPr>
        <w:t>Předávání návrhů</w:t>
      </w:r>
      <w:r w:rsidRPr="00B528A4">
        <w:rPr>
          <w:rFonts w:ascii="Times New Roman" w:hAnsi="Times New Roman" w:cs="Times New Roman"/>
          <w:sz w:val="24"/>
          <w:szCs w:val="24"/>
        </w:rPr>
        <w:t xml:space="preserve"> parlamentům i politického dialogu jsme se již dotkli. Čl. 4 protokolu č. 2, pokud jde o postup</w:t>
      </w:r>
      <w:r>
        <w:rPr>
          <w:rFonts w:ascii="Times New Roman" w:hAnsi="Times New Roman" w:cs="Times New Roman"/>
          <w:sz w:val="24"/>
          <w:szCs w:val="24"/>
        </w:rPr>
        <w:t>ování návrhů</w:t>
      </w:r>
      <w:r w:rsidRPr="00B528A4">
        <w:rPr>
          <w:rFonts w:ascii="Times New Roman" w:hAnsi="Times New Roman" w:cs="Times New Roman"/>
          <w:sz w:val="24"/>
          <w:szCs w:val="24"/>
        </w:rPr>
        <w:t>, v zásadě kopíruje čl. 2 protokolu č. 1. My se zaměřme na Komisi.</w:t>
      </w:r>
      <w:r w:rsidRPr="00B528A4">
        <w:rPr>
          <w:rStyle w:val="Znakapoznpodarou"/>
          <w:rFonts w:ascii="Times New Roman" w:hAnsi="Times New Roman" w:cs="Times New Roman"/>
          <w:sz w:val="24"/>
          <w:szCs w:val="24"/>
        </w:rPr>
        <w:footnoteReference w:id="157"/>
      </w:r>
      <w:r w:rsidRPr="00B528A4">
        <w:rPr>
          <w:rFonts w:ascii="Times New Roman" w:hAnsi="Times New Roman" w:cs="Times New Roman"/>
          <w:sz w:val="24"/>
          <w:szCs w:val="24"/>
        </w:rPr>
        <w:t xml:space="preserve"> Ta má povinnost postoupit </w:t>
      </w:r>
      <w:r w:rsidRPr="00B528A4">
        <w:rPr>
          <w:rFonts w:ascii="Times New Roman" w:hAnsi="Times New Roman" w:cs="Times New Roman"/>
          <w:i/>
          <w:sz w:val="24"/>
          <w:szCs w:val="24"/>
        </w:rPr>
        <w:t>„své návrhy legislativních aktů a své pozměněné návrhy vnitrostátním parlamentům členských států současně jako normotvůrci Unie</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58"/>
      </w:r>
      <w:r w:rsidRPr="00B528A4">
        <w:rPr>
          <w:rFonts w:ascii="Times New Roman" w:hAnsi="Times New Roman" w:cs="Times New Roman"/>
          <w:sz w:val="24"/>
          <w:szCs w:val="24"/>
        </w:rPr>
        <w:t xml:space="preserve"> Ještě před tím je však dle čl. 2 protokolu č. 2 povinností Komise vést rozsáhlé konzultace. Jejich </w:t>
      </w:r>
      <w:r w:rsidR="00E0351A">
        <w:rPr>
          <w:rFonts w:ascii="Times New Roman" w:hAnsi="Times New Roman" w:cs="Times New Roman"/>
          <w:sz w:val="24"/>
          <w:szCs w:val="24"/>
        </w:rPr>
        <w:t xml:space="preserve">případné </w:t>
      </w:r>
      <w:r w:rsidRPr="00B528A4">
        <w:rPr>
          <w:rFonts w:ascii="Times New Roman" w:hAnsi="Times New Roman" w:cs="Times New Roman"/>
          <w:sz w:val="24"/>
          <w:szCs w:val="24"/>
        </w:rPr>
        <w:t xml:space="preserve">nevedení z důvodu mimořádně naléhavého případu musí odůvodnit. </w:t>
      </w:r>
    </w:p>
    <w:p w:rsidR="00B85FF1" w:rsidRPr="00B528A4" w:rsidRDefault="00B85FF1" w:rsidP="0015497C">
      <w:pPr>
        <w:spacing w:after="0" w:line="360" w:lineRule="auto"/>
        <w:ind w:firstLine="708"/>
        <w:jc w:val="both"/>
        <w:rPr>
          <w:rFonts w:ascii="Times New Roman" w:hAnsi="Times New Roman" w:cs="Times New Roman"/>
          <w:sz w:val="24"/>
          <w:szCs w:val="24"/>
        </w:rPr>
      </w:pPr>
      <w:r w:rsidRPr="002033DB">
        <w:rPr>
          <w:rFonts w:ascii="Times New Roman" w:hAnsi="Times New Roman" w:cs="Times New Roman"/>
          <w:sz w:val="24"/>
          <w:szCs w:val="24"/>
        </w:rPr>
        <w:t>Po</w:t>
      </w:r>
      <w:r>
        <w:rPr>
          <w:rFonts w:ascii="Times New Roman" w:hAnsi="Times New Roman" w:cs="Times New Roman"/>
          <w:sz w:val="24"/>
          <w:szCs w:val="24"/>
        </w:rPr>
        <w:t xml:space="preserve"> postoupení návrhu</w:t>
      </w:r>
      <w:r w:rsidRPr="00B528A4">
        <w:rPr>
          <w:rFonts w:ascii="Times New Roman" w:hAnsi="Times New Roman" w:cs="Times New Roman"/>
          <w:sz w:val="24"/>
          <w:szCs w:val="24"/>
        </w:rPr>
        <w:t xml:space="preserve"> mají parlamenty</w:t>
      </w:r>
      <w:r>
        <w:rPr>
          <w:rStyle w:val="Znakapoznpodarou"/>
          <w:rFonts w:ascii="Times New Roman" w:hAnsi="Times New Roman" w:cs="Times New Roman"/>
          <w:sz w:val="24"/>
          <w:szCs w:val="24"/>
        </w:rPr>
        <w:footnoteReference w:id="159"/>
      </w:r>
      <w:r w:rsidRPr="00B528A4">
        <w:rPr>
          <w:rFonts w:ascii="Times New Roman" w:hAnsi="Times New Roman" w:cs="Times New Roman"/>
          <w:sz w:val="24"/>
          <w:szCs w:val="24"/>
        </w:rPr>
        <w:t xml:space="preserve"> osmitýdenní lhůtu</w:t>
      </w:r>
      <w:r w:rsidRPr="00B528A4">
        <w:rPr>
          <w:rStyle w:val="Znakapoznpodarou"/>
          <w:rFonts w:ascii="Times New Roman" w:hAnsi="Times New Roman" w:cs="Times New Roman"/>
          <w:sz w:val="24"/>
          <w:szCs w:val="24"/>
        </w:rPr>
        <w:footnoteReference w:id="160"/>
      </w:r>
      <w:r w:rsidRPr="00B528A4">
        <w:rPr>
          <w:rFonts w:ascii="Times New Roman" w:hAnsi="Times New Roman" w:cs="Times New Roman"/>
          <w:sz w:val="24"/>
          <w:szCs w:val="24"/>
        </w:rPr>
        <w:t xml:space="preserve"> na posouzení, zda je návrh v souladu či v roz</w:t>
      </w:r>
      <w:r w:rsidR="00464B44">
        <w:rPr>
          <w:rFonts w:ascii="Times New Roman" w:hAnsi="Times New Roman" w:cs="Times New Roman"/>
          <w:sz w:val="24"/>
          <w:szCs w:val="24"/>
        </w:rPr>
        <w:t>poru se zásadou subsidiarity</w:t>
      </w:r>
      <w:r w:rsidR="000C0DB3">
        <w:rPr>
          <w:rFonts w:ascii="Times New Roman" w:hAnsi="Times New Roman" w:cs="Times New Roman"/>
          <w:sz w:val="24"/>
          <w:szCs w:val="24"/>
        </w:rPr>
        <w:t>. Tutéž lhůtu mají</w:t>
      </w:r>
      <w:r w:rsidRPr="00B528A4">
        <w:rPr>
          <w:rFonts w:ascii="Times New Roman" w:hAnsi="Times New Roman" w:cs="Times New Roman"/>
          <w:sz w:val="24"/>
          <w:szCs w:val="24"/>
        </w:rPr>
        <w:t xml:space="preserve"> na případné zaslání odůvodněného stanoviska. To je z našeho pohledu</w:t>
      </w:r>
      <w:r w:rsidR="00201DE2">
        <w:rPr>
          <w:rFonts w:ascii="Times New Roman" w:hAnsi="Times New Roman" w:cs="Times New Roman"/>
          <w:sz w:val="24"/>
          <w:szCs w:val="24"/>
        </w:rPr>
        <w:t xml:space="preserve"> základním stavebním kamenem systému včasného varování</w:t>
      </w:r>
      <w:r w:rsidRPr="00B528A4">
        <w:rPr>
          <w:rFonts w:ascii="Times New Roman" w:hAnsi="Times New Roman" w:cs="Times New Roman"/>
          <w:sz w:val="24"/>
          <w:szCs w:val="24"/>
        </w:rPr>
        <w:t>. Jde zjednodušeně řečeno o jakousi písemnou stížnost</w:t>
      </w:r>
      <w:r w:rsidR="00FA5A7B">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61"/>
      </w:r>
      <w:r w:rsidR="00E30370">
        <w:rPr>
          <w:rFonts w:ascii="Times New Roman" w:hAnsi="Times New Roman" w:cs="Times New Roman"/>
          <w:sz w:val="24"/>
          <w:szCs w:val="24"/>
        </w:rPr>
        <w:t xml:space="preserve"> </w:t>
      </w:r>
      <w:r w:rsidRPr="00B528A4">
        <w:rPr>
          <w:rFonts w:ascii="Times New Roman" w:hAnsi="Times New Roman" w:cs="Times New Roman"/>
          <w:sz w:val="24"/>
          <w:szCs w:val="24"/>
        </w:rPr>
        <w:t xml:space="preserve">jíž obsahem má být, z jakých důvodů </w:t>
      </w:r>
      <w:r w:rsidR="00D76A42">
        <w:rPr>
          <w:rFonts w:ascii="Times New Roman" w:hAnsi="Times New Roman" w:cs="Times New Roman"/>
          <w:sz w:val="24"/>
          <w:szCs w:val="24"/>
        </w:rPr>
        <w:t>parlament</w:t>
      </w:r>
      <w:r w:rsidRPr="00B528A4">
        <w:rPr>
          <w:rFonts w:ascii="Times New Roman" w:hAnsi="Times New Roman" w:cs="Times New Roman"/>
          <w:sz w:val="24"/>
          <w:szCs w:val="24"/>
        </w:rPr>
        <w:t xml:space="preserve"> </w:t>
      </w:r>
      <w:r w:rsidRPr="00B528A4">
        <w:rPr>
          <w:rFonts w:ascii="Times New Roman" w:hAnsi="Times New Roman" w:cs="Times New Roman"/>
          <w:i/>
          <w:sz w:val="24"/>
          <w:szCs w:val="24"/>
        </w:rPr>
        <w:t>„soudí, že dotyčný návrh není v souladu se zásadou subsidiarity.“</w:t>
      </w:r>
      <w:r w:rsidRPr="00B528A4">
        <w:rPr>
          <w:rStyle w:val="Znakapoznpodarou"/>
          <w:rFonts w:ascii="Times New Roman" w:hAnsi="Times New Roman" w:cs="Times New Roman"/>
          <w:i/>
          <w:sz w:val="24"/>
          <w:szCs w:val="24"/>
        </w:rPr>
        <w:footnoteReference w:id="162"/>
      </w:r>
      <w:r w:rsidRPr="00B528A4">
        <w:rPr>
          <w:rFonts w:ascii="Times New Roman" w:hAnsi="Times New Roman" w:cs="Times New Roman"/>
          <w:sz w:val="24"/>
          <w:szCs w:val="24"/>
        </w:rPr>
        <w:t xml:space="preserve"> Z uvedené citace jasně v</w:t>
      </w:r>
      <w:r w:rsidR="002B2912">
        <w:rPr>
          <w:rFonts w:ascii="Times New Roman" w:hAnsi="Times New Roman" w:cs="Times New Roman"/>
          <w:sz w:val="24"/>
          <w:szCs w:val="24"/>
        </w:rPr>
        <w:t>yplývá, že odůvodněná stanoviska</w:t>
      </w:r>
      <w:r w:rsidRPr="00B528A4">
        <w:rPr>
          <w:rFonts w:ascii="Times New Roman" w:hAnsi="Times New Roman" w:cs="Times New Roman"/>
          <w:sz w:val="24"/>
          <w:szCs w:val="24"/>
        </w:rPr>
        <w:t xml:space="preserve"> mají být negati</w:t>
      </w:r>
      <w:r w:rsidR="006334C4">
        <w:rPr>
          <w:rFonts w:ascii="Times New Roman" w:hAnsi="Times New Roman" w:cs="Times New Roman"/>
          <w:sz w:val="24"/>
          <w:szCs w:val="24"/>
        </w:rPr>
        <w:t>vní a upozorňovat na rozpor</w:t>
      </w:r>
      <w:r>
        <w:rPr>
          <w:rFonts w:ascii="Times New Roman" w:hAnsi="Times New Roman" w:cs="Times New Roman"/>
          <w:sz w:val="24"/>
          <w:szCs w:val="24"/>
        </w:rPr>
        <w:t>. Přesto se některé parlamenty</w:t>
      </w:r>
      <w:r w:rsidRPr="00B528A4">
        <w:rPr>
          <w:rFonts w:ascii="Times New Roman" w:hAnsi="Times New Roman" w:cs="Times New Roman"/>
          <w:sz w:val="24"/>
          <w:szCs w:val="24"/>
        </w:rPr>
        <w:t xml:space="preserve"> nevyvarovaly těch pozitivních, kde konstatovaly, že nemají n</w:t>
      </w:r>
      <w:r w:rsidR="004326B1">
        <w:rPr>
          <w:rFonts w:ascii="Times New Roman" w:hAnsi="Times New Roman" w:cs="Times New Roman"/>
          <w:sz w:val="24"/>
          <w:szCs w:val="24"/>
        </w:rPr>
        <w:t>ámitek nebo</w:t>
      </w:r>
      <w:r w:rsidR="00F463FB">
        <w:rPr>
          <w:rFonts w:ascii="Times New Roman" w:hAnsi="Times New Roman" w:cs="Times New Roman"/>
          <w:sz w:val="24"/>
          <w:szCs w:val="24"/>
        </w:rPr>
        <w:t xml:space="preserve"> neshledaly konflikt se zásadou subsidiarity</w:t>
      </w:r>
      <w:r w:rsidRPr="00B528A4">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63"/>
      </w:r>
      <w:r w:rsidRPr="00B528A4">
        <w:rPr>
          <w:rFonts w:ascii="Times New Roman" w:hAnsi="Times New Roman" w:cs="Times New Roman"/>
          <w:sz w:val="24"/>
          <w:szCs w:val="24"/>
        </w:rPr>
        <w:t xml:space="preserve"> Tyto však </w:t>
      </w:r>
      <w:r>
        <w:rPr>
          <w:rFonts w:ascii="Times New Roman" w:hAnsi="Times New Roman" w:cs="Times New Roman"/>
          <w:sz w:val="24"/>
          <w:szCs w:val="24"/>
        </w:rPr>
        <w:t xml:space="preserve">logicky </w:t>
      </w:r>
      <w:r w:rsidRPr="00B528A4">
        <w:rPr>
          <w:rFonts w:ascii="Times New Roman" w:hAnsi="Times New Roman" w:cs="Times New Roman"/>
          <w:sz w:val="24"/>
          <w:szCs w:val="24"/>
        </w:rPr>
        <w:t>nemají žádný význam pro dosažení prahů potřebných pr</w:t>
      </w:r>
      <w:r w:rsidR="00821E6E">
        <w:rPr>
          <w:rFonts w:ascii="Times New Roman" w:hAnsi="Times New Roman" w:cs="Times New Roman"/>
          <w:sz w:val="24"/>
          <w:szCs w:val="24"/>
        </w:rPr>
        <w:t xml:space="preserve">o </w:t>
      </w:r>
      <w:r w:rsidR="00A23C40">
        <w:rPr>
          <w:rFonts w:ascii="Times New Roman" w:hAnsi="Times New Roman" w:cs="Times New Roman"/>
          <w:sz w:val="24"/>
          <w:szCs w:val="24"/>
        </w:rPr>
        <w:t>žlutou či oranžovou kartu</w:t>
      </w:r>
      <w:r w:rsidRPr="00B528A4">
        <w:rPr>
          <w:rFonts w:ascii="Times New Roman" w:hAnsi="Times New Roman" w:cs="Times New Roman"/>
          <w:sz w:val="24"/>
          <w:szCs w:val="24"/>
        </w:rPr>
        <w:t xml:space="preserve">. Ještě zdůrazněme, že </w:t>
      </w:r>
      <w:r w:rsidR="00116DD6">
        <w:rPr>
          <w:rFonts w:ascii="Times New Roman" w:hAnsi="Times New Roman" w:cs="Times New Roman"/>
          <w:sz w:val="24"/>
          <w:szCs w:val="24"/>
        </w:rPr>
        <w:t>vydání odůvodněného stanoviska</w:t>
      </w:r>
      <w:r w:rsidRPr="00B528A4">
        <w:rPr>
          <w:rFonts w:ascii="Times New Roman" w:hAnsi="Times New Roman" w:cs="Times New Roman"/>
          <w:sz w:val="24"/>
          <w:szCs w:val="24"/>
        </w:rPr>
        <w:t xml:space="preserve"> je možností, nikoli povinností pa</w:t>
      </w:r>
      <w:r w:rsidR="003414DE">
        <w:rPr>
          <w:rFonts w:ascii="Times New Roman" w:hAnsi="Times New Roman" w:cs="Times New Roman"/>
          <w:sz w:val="24"/>
          <w:szCs w:val="24"/>
        </w:rPr>
        <w:t>rlamentů. Účast a aktivita v systému včasného varování</w:t>
      </w:r>
      <w:r w:rsidRPr="00B528A4">
        <w:rPr>
          <w:rFonts w:ascii="Times New Roman" w:hAnsi="Times New Roman" w:cs="Times New Roman"/>
          <w:sz w:val="24"/>
          <w:szCs w:val="24"/>
        </w:rPr>
        <w:t xml:space="preserve"> je tak z jejich strany dobrovolná.</w:t>
      </w:r>
    </w:p>
    <w:p w:rsidR="00B85FF1" w:rsidRDefault="000811BD" w:rsidP="00B85F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Jaký je</w:t>
      </w:r>
      <w:r w:rsidR="00B85FF1" w:rsidRPr="00B528A4">
        <w:rPr>
          <w:rFonts w:ascii="Times New Roman" w:hAnsi="Times New Roman" w:cs="Times New Roman"/>
          <w:sz w:val="24"/>
          <w:szCs w:val="24"/>
        </w:rPr>
        <w:t xml:space="preserve"> dle protokolu č. 2 dopad č</w:t>
      </w:r>
      <w:r w:rsidR="00D54CC0">
        <w:rPr>
          <w:rFonts w:ascii="Times New Roman" w:hAnsi="Times New Roman" w:cs="Times New Roman"/>
          <w:sz w:val="24"/>
          <w:szCs w:val="24"/>
        </w:rPr>
        <w:t>i význam odůvodněných stanovisek</w:t>
      </w:r>
      <w:r w:rsidR="00B85FF1" w:rsidRPr="00B528A4">
        <w:rPr>
          <w:rFonts w:ascii="Times New Roman" w:hAnsi="Times New Roman" w:cs="Times New Roman"/>
          <w:sz w:val="24"/>
          <w:szCs w:val="24"/>
        </w:rPr>
        <w:t xml:space="preserve">? V první </w:t>
      </w:r>
      <w:r w:rsidR="00B85FF1">
        <w:rPr>
          <w:rFonts w:ascii="Times New Roman" w:hAnsi="Times New Roman" w:cs="Times New Roman"/>
          <w:sz w:val="24"/>
          <w:szCs w:val="24"/>
        </w:rPr>
        <w:t>řadě orgán, od ně</w:t>
      </w:r>
      <w:r w:rsidR="00B85FF1" w:rsidRPr="00B528A4">
        <w:rPr>
          <w:rFonts w:ascii="Times New Roman" w:hAnsi="Times New Roman" w:cs="Times New Roman"/>
          <w:sz w:val="24"/>
          <w:szCs w:val="24"/>
        </w:rPr>
        <w:t>hož</w:t>
      </w:r>
      <w:r w:rsidR="00B85FF1">
        <w:rPr>
          <w:rFonts w:ascii="Times New Roman" w:hAnsi="Times New Roman" w:cs="Times New Roman"/>
          <w:sz w:val="24"/>
          <w:szCs w:val="24"/>
        </w:rPr>
        <w:t xml:space="preserve"> návrh</w:t>
      </w:r>
      <w:r w:rsidR="00B85FF1" w:rsidRPr="00B528A4">
        <w:rPr>
          <w:rFonts w:ascii="Times New Roman" w:hAnsi="Times New Roman" w:cs="Times New Roman"/>
          <w:sz w:val="24"/>
          <w:szCs w:val="24"/>
        </w:rPr>
        <w:t xml:space="preserve"> pochází, bez dalšího přihlíží k</w:t>
      </w:r>
      <w:r w:rsidR="00D54CC0">
        <w:rPr>
          <w:rFonts w:ascii="Times New Roman" w:hAnsi="Times New Roman" w:cs="Times New Roman"/>
          <w:sz w:val="24"/>
          <w:szCs w:val="24"/>
        </w:rPr>
        <w:t> vydaným stanoviskům</w:t>
      </w:r>
      <w:r w:rsidR="00B85FF1" w:rsidRPr="00B528A4">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64"/>
      </w:r>
      <w:r w:rsidR="00821E32">
        <w:rPr>
          <w:rFonts w:ascii="Times New Roman" w:hAnsi="Times New Roman" w:cs="Times New Roman"/>
          <w:sz w:val="24"/>
          <w:szCs w:val="24"/>
        </w:rPr>
        <w:t xml:space="preserve"> Nad</w:t>
      </w:r>
      <w:r w:rsidR="00B85FF1" w:rsidRPr="00B528A4">
        <w:rPr>
          <w:rFonts w:ascii="Times New Roman" w:hAnsi="Times New Roman" w:cs="Times New Roman"/>
          <w:sz w:val="24"/>
          <w:szCs w:val="24"/>
        </w:rPr>
        <w:t xml:space="preserve">to, </w:t>
      </w:r>
      <w:r w:rsidR="00B85FF1" w:rsidRPr="00B528A4">
        <w:rPr>
          <w:rFonts w:ascii="Times New Roman" w:hAnsi="Times New Roman" w:cs="Times New Roman"/>
          <w:sz w:val="24"/>
          <w:szCs w:val="24"/>
        </w:rPr>
        <w:lastRenderedPageBreak/>
        <w:t>dosáhne-</w:t>
      </w:r>
      <w:r w:rsidR="00B85FF1">
        <w:rPr>
          <w:rFonts w:ascii="Times New Roman" w:hAnsi="Times New Roman" w:cs="Times New Roman"/>
          <w:sz w:val="24"/>
          <w:szCs w:val="24"/>
        </w:rPr>
        <w:t>li jejich počet</w:t>
      </w:r>
      <w:r w:rsidR="00B85FF1" w:rsidRPr="00B528A4">
        <w:rPr>
          <w:rFonts w:ascii="Times New Roman" w:hAnsi="Times New Roman" w:cs="Times New Roman"/>
          <w:sz w:val="24"/>
          <w:szCs w:val="24"/>
        </w:rPr>
        <w:t xml:space="preserve"> k určitému návrhu hranic stanoven</w:t>
      </w:r>
      <w:r w:rsidR="00271FED">
        <w:rPr>
          <w:rFonts w:ascii="Times New Roman" w:hAnsi="Times New Roman" w:cs="Times New Roman"/>
          <w:sz w:val="24"/>
          <w:szCs w:val="24"/>
        </w:rPr>
        <w:t>ých v čl. 7 odst. 2, případně</w:t>
      </w:r>
      <w:r w:rsidR="00B85FF1" w:rsidRPr="00B528A4">
        <w:rPr>
          <w:rFonts w:ascii="Times New Roman" w:hAnsi="Times New Roman" w:cs="Times New Roman"/>
          <w:sz w:val="24"/>
          <w:szCs w:val="24"/>
        </w:rPr>
        <w:t xml:space="preserve"> v čl.</w:t>
      </w:r>
      <w:r w:rsidR="00271FED">
        <w:rPr>
          <w:rFonts w:ascii="Times New Roman" w:hAnsi="Times New Roman" w:cs="Times New Roman"/>
          <w:sz w:val="24"/>
          <w:szCs w:val="24"/>
        </w:rPr>
        <w:t xml:space="preserve"> 7 odst. 3</w:t>
      </w:r>
      <w:r w:rsidR="00CF211C">
        <w:rPr>
          <w:rFonts w:ascii="Times New Roman" w:hAnsi="Times New Roman" w:cs="Times New Roman"/>
          <w:sz w:val="24"/>
          <w:szCs w:val="24"/>
        </w:rPr>
        <w:t xml:space="preserve"> protokolu č. 2</w:t>
      </w:r>
      <w:r w:rsidR="00B85FF1" w:rsidRPr="00B528A4">
        <w:rPr>
          <w:rFonts w:ascii="Times New Roman" w:hAnsi="Times New Roman" w:cs="Times New Roman"/>
          <w:sz w:val="24"/>
          <w:szCs w:val="24"/>
        </w:rPr>
        <w:t xml:space="preserve">, přicházejí na řadu další povinnosti. </w:t>
      </w:r>
    </w:p>
    <w:p w:rsidR="00B85FF1" w:rsidRDefault="00B85FF1" w:rsidP="004112C5">
      <w:pPr>
        <w:pStyle w:val="Nadpis2"/>
        <w:numPr>
          <w:ilvl w:val="1"/>
          <w:numId w:val="3"/>
        </w:numPr>
      </w:pPr>
      <w:bookmarkStart w:id="22" w:name="_Toc478235168"/>
      <w:r w:rsidRPr="00CA752B">
        <w:t>Žlutá karta</w:t>
      </w:r>
      <w:bookmarkEnd w:id="22"/>
    </w:p>
    <w:p w:rsidR="004112C5" w:rsidRPr="004112C5" w:rsidRDefault="004112C5" w:rsidP="004112C5">
      <w:pPr>
        <w:pStyle w:val="Odstavecseseznamem"/>
        <w:ind w:left="780"/>
      </w:pPr>
    </w:p>
    <w:p w:rsidR="00204C7C" w:rsidRDefault="00B85FF1" w:rsidP="001549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jde o </w:t>
      </w:r>
      <w:r w:rsidR="00227B9A">
        <w:rPr>
          <w:rFonts w:ascii="Times New Roman" w:hAnsi="Times New Roman" w:cs="Times New Roman"/>
          <w:sz w:val="24"/>
          <w:szCs w:val="24"/>
        </w:rPr>
        <w:t>žlutou kartu</w:t>
      </w:r>
      <w:r w:rsidR="00B716B5">
        <w:rPr>
          <w:rFonts w:ascii="Times New Roman" w:hAnsi="Times New Roman" w:cs="Times New Roman"/>
          <w:sz w:val="24"/>
          <w:szCs w:val="24"/>
        </w:rPr>
        <w:t>,</w:t>
      </w:r>
      <w:r w:rsidRPr="00B528A4">
        <w:rPr>
          <w:rStyle w:val="Znakapoznpodarou"/>
          <w:rFonts w:ascii="Times New Roman" w:hAnsi="Times New Roman" w:cs="Times New Roman"/>
          <w:sz w:val="24"/>
          <w:szCs w:val="24"/>
        </w:rPr>
        <w:footnoteReference w:id="165"/>
      </w:r>
      <w:r w:rsidRPr="00B528A4">
        <w:rPr>
          <w:rFonts w:ascii="Times New Roman" w:hAnsi="Times New Roman" w:cs="Times New Roman"/>
          <w:sz w:val="24"/>
          <w:szCs w:val="24"/>
        </w:rPr>
        <w:t xml:space="preserve"> je tato udělena, když</w:t>
      </w:r>
      <w:r w:rsidR="007F7867">
        <w:rPr>
          <w:rFonts w:ascii="Times New Roman" w:hAnsi="Times New Roman" w:cs="Times New Roman"/>
          <w:sz w:val="24"/>
          <w:szCs w:val="24"/>
        </w:rPr>
        <w:t xml:space="preserve"> odůvodněná stanoviska</w:t>
      </w:r>
      <w:r w:rsidRPr="00B528A4">
        <w:rPr>
          <w:rFonts w:ascii="Times New Roman" w:hAnsi="Times New Roman" w:cs="Times New Roman"/>
          <w:sz w:val="24"/>
          <w:szCs w:val="24"/>
        </w:rPr>
        <w:t xml:space="preserve"> reprezentují jednu třetinu všech hlasů, jež jsou parlamentům přiděleny, či více. </w:t>
      </w:r>
      <w:r w:rsidRPr="00B528A4">
        <w:rPr>
          <w:rFonts w:ascii="Times New Roman" w:hAnsi="Times New Roman" w:cs="Times New Roman"/>
          <w:i/>
          <w:sz w:val="24"/>
          <w:szCs w:val="24"/>
        </w:rPr>
        <w:t>„Jde-li o návrh legislativního aktu předloženého na základě článku 76 Smlouvy o fungování Evropské unie a týkajícího se prostoru svobody, bezpečnosti a práva, je třeba jedné čtvrtiny hlasů.“</w:t>
      </w:r>
      <w:r w:rsidRPr="00B528A4">
        <w:rPr>
          <w:rStyle w:val="Znakapoznpodarou"/>
          <w:rFonts w:ascii="Times New Roman" w:hAnsi="Times New Roman" w:cs="Times New Roman"/>
          <w:i/>
          <w:sz w:val="24"/>
          <w:szCs w:val="24"/>
        </w:rPr>
        <w:footnoteReference w:id="166"/>
      </w:r>
      <w:r w:rsidRPr="00B528A4">
        <w:rPr>
          <w:rFonts w:ascii="Times New Roman" w:hAnsi="Times New Roman" w:cs="Times New Roman"/>
          <w:i/>
          <w:sz w:val="24"/>
          <w:szCs w:val="24"/>
        </w:rPr>
        <w:t xml:space="preserve"> </w:t>
      </w:r>
      <w:r w:rsidRPr="00B528A4">
        <w:rPr>
          <w:rFonts w:ascii="Times New Roman" w:hAnsi="Times New Roman" w:cs="Times New Roman"/>
          <w:sz w:val="24"/>
          <w:szCs w:val="24"/>
        </w:rPr>
        <w:t xml:space="preserve">Zastavme se na chvíli u hlasovacího systému. </w:t>
      </w:r>
      <w:r w:rsidRPr="00B528A4">
        <w:rPr>
          <w:rFonts w:ascii="Times New Roman" w:hAnsi="Times New Roman" w:cs="Times New Roman"/>
          <w:i/>
          <w:sz w:val="24"/>
          <w:szCs w:val="24"/>
        </w:rPr>
        <w:t xml:space="preserve">„Každý vnitrostátní parlament má dva hlasy rozdělené na základě vnitrostátního parlamentního systému. </w:t>
      </w:r>
      <w:proofErr w:type="gramStart"/>
      <w:r w:rsidRPr="00B528A4">
        <w:rPr>
          <w:rFonts w:ascii="Times New Roman" w:hAnsi="Times New Roman" w:cs="Times New Roman"/>
          <w:i/>
          <w:sz w:val="24"/>
          <w:szCs w:val="24"/>
        </w:rPr>
        <w:t>V</w:t>
      </w:r>
      <w:proofErr w:type="gramEnd"/>
      <w:r w:rsidRPr="00B528A4">
        <w:rPr>
          <w:rFonts w:ascii="Times New Roman" w:hAnsi="Times New Roman" w:cs="Times New Roman"/>
          <w:i/>
          <w:sz w:val="24"/>
          <w:szCs w:val="24"/>
        </w:rPr>
        <w:t xml:space="preserve"> dvoukomorovém parlamentním systému má každá komora jeden hlas.“</w:t>
      </w:r>
      <w:r w:rsidRPr="00B528A4">
        <w:rPr>
          <w:rStyle w:val="Znakapoznpodarou"/>
          <w:rFonts w:ascii="Times New Roman" w:hAnsi="Times New Roman" w:cs="Times New Roman"/>
          <w:i/>
          <w:sz w:val="24"/>
          <w:szCs w:val="24"/>
        </w:rPr>
        <w:footnoteReference w:id="167"/>
      </w:r>
      <w:r>
        <w:rPr>
          <w:rFonts w:ascii="Times New Roman" w:hAnsi="Times New Roman" w:cs="Times New Roman"/>
          <w:sz w:val="24"/>
          <w:szCs w:val="24"/>
        </w:rPr>
        <w:t xml:space="preserve"> V případě 28 ČS</w:t>
      </w:r>
      <w:r w:rsidRPr="00B528A4">
        <w:rPr>
          <w:rFonts w:ascii="Times New Roman" w:hAnsi="Times New Roman" w:cs="Times New Roman"/>
          <w:sz w:val="24"/>
          <w:szCs w:val="24"/>
        </w:rPr>
        <w:t xml:space="preserve"> jde o maximální počet 56 hlasů. </w:t>
      </w:r>
      <w:r w:rsidR="00DA46E9">
        <w:rPr>
          <w:rFonts w:ascii="Times New Roman" w:hAnsi="Times New Roman" w:cs="Times New Roman"/>
          <w:sz w:val="24"/>
          <w:szCs w:val="24"/>
        </w:rPr>
        <w:t>Odůvodněné stanovisko</w:t>
      </w:r>
      <w:r w:rsidRPr="00B528A4">
        <w:rPr>
          <w:rFonts w:ascii="Times New Roman" w:hAnsi="Times New Roman" w:cs="Times New Roman"/>
          <w:sz w:val="24"/>
          <w:szCs w:val="24"/>
        </w:rPr>
        <w:t xml:space="preserve"> vydané jednokomorovým parlamentem představuje dva hlasy, to vydané komorou bikamerálního parlamentu má váhu jednoho hlasu. Komorám jednoho parlamentu je přirozeně umožněno vydávat odůvodněná stanoviska nezávisle na sobě.</w:t>
      </w:r>
      <w:r w:rsidRPr="00B528A4">
        <w:rPr>
          <w:rStyle w:val="Znakapoznpodarou"/>
          <w:rFonts w:ascii="Times New Roman" w:hAnsi="Times New Roman" w:cs="Times New Roman"/>
          <w:sz w:val="24"/>
          <w:szCs w:val="24"/>
        </w:rPr>
        <w:footnoteReference w:id="168"/>
      </w:r>
      <w:r w:rsidRPr="00B528A4">
        <w:rPr>
          <w:rFonts w:ascii="Times New Roman" w:hAnsi="Times New Roman" w:cs="Times New Roman"/>
          <w:sz w:val="24"/>
          <w:szCs w:val="24"/>
        </w:rPr>
        <w:t xml:space="preserve"> </w:t>
      </w:r>
    </w:p>
    <w:p w:rsidR="00C00ED5" w:rsidRDefault="006E4F20" w:rsidP="0015497C">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Vraťme se ale k</w:t>
      </w:r>
      <w:r w:rsidR="004A141A">
        <w:rPr>
          <w:rFonts w:ascii="Times New Roman" w:hAnsi="Times New Roman" w:cs="Times New Roman"/>
          <w:sz w:val="24"/>
          <w:szCs w:val="24"/>
        </w:rPr>
        <w:t>e</w:t>
      </w:r>
      <w:r>
        <w:rPr>
          <w:rFonts w:ascii="Times New Roman" w:hAnsi="Times New Roman" w:cs="Times New Roman"/>
          <w:sz w:val="24"/>
          <w:szCs w:val="24"/>
        </w:rPr>
        <w:t> žluté kartě</w:t>
      </w:r>
      <w:r w:rsidR="00B85FF1" w:rsidRPr="00B528A4">
        <w:rPr>
          <w:rFonts w:ascii="Times New Roman" w:hAnsi="Times New Roman" w:cs="Times New Roman"/>
          <w:sz w:val="24"/>
          <w:szCs w:val="24"/>
        </w:rPr>
        <w:t xml:space="preserve">. </w:t>
      </w:r>
      <w:r w:rsidR="00B85FF1">
        <w:rPr>
          <w:rFonts w:ascii="Times New Roman" w:hAnsi="Times New Roman" w:cs="Times New Roman"/>
          <w:sz w:val="24"/>
          <w:szCs w:val="24"/>
        </w:rPr>
        <w:t>Jaké jsou</w:t>
      </w:r>
      <w:r w:rsidR="00B85FF1" w:rsidRPr="00B528A4">
        <w:rPr>
          <w:rFonts w:ascii="Times New Roman" w:hAnsi="Times New Roman" w:cs="Times New Roman"/>
          <w:sz w:val="24"/>
          <w:szCs w:val="24"/>
        </w:rPr>
        <w:t xml:space="preserve"> dopady jejího udělení ve smyslu protokolu č. 2? Je-li udělena, návrh musí být jeho iniciátorem přezkoumán. Po tomto přezkoumání následuje rozhodnutí orgánu, od kterého návrh vzešel, zda jej zachovat, změnit či stáhnout. Povinností orgánu je rozhodnutí náležitě odůvodnit. Zde upozorněme zejména na možnost zachování návrhu beze změny. Je třeba mít na paměti, že</w:t>
      </w:r>
      <w:r w:rsidR="00BF2BE0">
        <w:rPr>
          <w:rFonts w:ascii="Times New Roman" w:hAnsi="Times New Roman" w:cs="Times New Roman"/>
          <w:sz w:val="24"/>
          <w:szCs w:val="24"/>
        </w:rPr>
        <w:t xml:space="preserve"> procedura spojená s udělením žluté karty</w:t>
      </w:r>
      <w:r w:rsidR="00B85FF1" w:rsidRPr="00B528A4">
        <w:rPr>
          <w:rFonts w:ascii="Times New Roman" w:hAnsi="Times New Roman" w:cs="Times New Roman"/>
          <w:sz w:val="24"/>
          <w:szCs w:val="24"/>
        </w:rPr>
        <w:t xml:space="preserve"> v sobě nezahrnuje povinnost změny či stažení návrhu.</w:t>
      </w:r>
      <w:r w:rsidR="00E03059">
        <w:rPr>
          <w:rFonts w:ascii="Times New Roman" w:hAnsi="Times New Roman" w:cs="Times New Roman"/>
          <w:sz w:val="24"/>
          <w:szCs w:val="24"/>
        </w:rPr>
        <w:t xml:space="preserve"> Nezbývá tak</w:t>
      </w:r>
      <w:r w:rsidR="003F7C36">
        <w:rPr>
          <w:rFonts w:ascii="Times New Roman" w:hAnsi="Times New Roman" w:cs="Times New Roman"/>
          <w:sz w:val="24"/>
          <w:szCs w:val="24"/>
        </w:rPr>
        <w:t xml:space="preserve"> než souhlasit se Svobodovou, že </w:t>
      </w:r>
      <w:r w:rsidR="00F36AAC" w:rsidRPr="00F36AAC">
        <w:rPr>
          <w:rFonts w:ascii="Times New Roman" w:hAnsi="Times New Roman" w:cs="Times New Roman"/>
          <w:i/>
          <w:sz w:val="24"/>
          <w:szCs w:val="24"/>
        </w:rPr>
        <w:t>„</w:t>
      </w:r>
      <w:r w:rsidR="003F7C36">
        <w:rPr>
          <w:rFonts w:ascii="Times New Roman" w:hAnsi="Times New Roman" w:cs="Times New Roman"/>
          <w:i/>
          <w:sz w:val="24"/>
          <w:szCs w:val="24"/>
        </w:rPr>
        <w:t>z</w:t>
      </w:r>
      <w:r w:rsidR="00F36AAC" w:rsidRPr="00F36AAC">
        <w:rPr>
          <w:rFonts w:ascii="Times New Roman" w:hAnsi="Times New Roman" w:cs="Times New Roman"/>
          <w:i/>
          <w:sz w:val="24"/>
          <w:szCs w:val="24"/>
        </w:rPr>
        <w:t xml:space="preserve"> právního pohledu je tedy tato pravomoc vnitrostátních parlamentů velmi slabá.“</w:t>
      </w:r>
      <w:r w:rsidR="00585F9B">
        <w:rPr>
          <w:rStyle w:val="Znakapoznpodarou"/>
          <w:rFonts w:ascii="Times New Roman" w:hAnsi="Times New Roman" w:cs="Times New Roman"/>
          <w:i/>
          <w:sz w:val="24"/>
          <w:szCs w:val="24"/>
        </w:rPr>
        <w:footnoteReference w:id="169"/>
      </w:r>
    </w:p>
    <w:p w:rsidR="0015497C" w:rsidRDefault="0015497C" w:rsidP="0015497C">
      <w:pPr>
        <w:spacing w:after="0" w:line="360" w:lineRule="auto"/>
        <w:ind w:firstLine="708"/>
        <w:jc w:val="both"/>
        <w:rPr>
          <w:rFonts w:ascii="Times New Roman" w:hAnsi="Times New Roman" w:cs="Times New Roman"/>
          <w:i/>
          <w:sz w:val="24"/>
          <w:szCs w:val="24"/>
        </w:rPr>
      </w:pPr>
    </w:p>
    <w:p w:rsidR="0015497C" w:rsidRDefault="0015497C" w:rsidP="0015497C">
      <w:pPr>
        <w:spacing w:after="0" w:line="360" w:lineRule="auto"/>
        <w:ind w:firstLine="708"/>
        <w:jc w:val="both"/>
        <w:rPr>
          <w:rFonts w:ascii="Times New Roman" w:hAnsi="Times New Roman" w:cs="Times New Roman"/>
          <w:i/>
          <w:sz w:val="24"/>
          <w:szCs w:val="24"/>
        </w:rPr>
      </w:pPr>
    </w:p>
    <w:p w:rsidR="0015497C" w:rsidRDefault="0015497C" w:rsidP="0015497C">
      <w:pPr>
        <w:spacing w:after="0" w:line="360" w:lineRule="auto"/>
        <w:ind w:firstLine="708"/>
        <w:jc w:val="both"/>
        <w:rPr>
          <w:rFonts w:ascii="Times New Roman" w:hAnsi="Times New Roman" w:cs="Times New Roman"/>
          <w:i/>
          <w:sz w:val="24"/>
          <w:szCs w:val="24"/>
        </w:rPr>
      </w:pPr>
    </w:p>
    <w:p w:rsidR="0015497C" w:rsidRDefault="0015497C" w:rsidP="008B2DA4">
      <w:pPr>
        <w:spacing w:after="0" w:line="360" w:lineRule="auto"/>
        <w:jc w:val="both"/>
        <w:rPr>
          <w:rFonts w:ascii="Times New Roman" w:hAnsi="Times New Roman" w:cs="Times New Roman"/>
          <w:i/>
          <w:sz w:val="24"/>
          <w:szCs w:val="24"/>
        </w:rPr>
      </w:pPr>
    </w:p>
    <w:p w:rsidR="004A141A" w:rsidRDefault="004A141A" w:rsidP="008B2DA4">
      <w:pPr>
        <w:spacing w:after="0" w:line="360" w:lineRule="auto"/>
        <w:jc w:val="both"/>
        <w:rPr>
          <w:rFonts w:ascii="Times New Roman" w:hAnsi="Times New Roman" w:cs="Times New Roman"/>
          <w:i/>
          <w:sz w:val="24"/>
          <w:szCs w:val="24"/>
        </w:rPr>
      </w:pPr>
    </w:p>
    <w:p w:rsidR="004A141A" w:rsidRPr="0015497C" w:rsidRDefault="004A141A" w:rsidP="008B2DA4">
      <w:pPr>
        <w:spacing w:after="0" w:line="360" w:lineRule="auto"/>
        <w:jc w:val="both"/>
        <w:rPr>
          <w:rFonts w:ascii="Times New Roman" w:hAnsi="Times New Roman" w:cs="Times New Roman"/>
          <w:i/>
          <w:sz w:val="24"/>
          <w:szCs w:val="24"/>
        </w:rPr>
      </w:pPr>
    </w:p>
    <w:p w:rsidR="00B85FF1" w:rsidRDefault="00B85FF1" w:rsidP="004112C5">
      <w:pPr>
        <w:pStyle w:val="Nadpis2"/>
        <w:numPr>
          <w:ilvl w:val="1"/>
          <w:numId w:val="3"/>
        </w:numPr>
      </w:pPr>
      <w:bookmarkStart w:id="23" w:name="_Toc478235169"/>
      <w:r w:rsidRPr="005F77F9">
        <w:lastRenderedPageBreak/>
        <w:t>Oranžová karta</w:t>
      </w:r>
      <w:bookmarkEnd w:id="23"/>
    </w:p>
    <w:p w:rsidR="004112C5" w:rsidRPr="004112C5" w:rsidRDefault="004112C5" w:rsidP="004112C5">
      <w:pPr>
        <w:pStyle w:val="Odstavecseseznamem"/>
        <w:ind w:left="780"/>
      </w:pPr>
    </w:p>
    <w:p w:rsidR="00B85FF1" w:rsidRPr="00B528A4" w:rsidRDefault="00613518" w:rsidP="00B85F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jde o oranžovou kartu</w:t>
      </w:r>
      <w:r w:rsidR="002515BF">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70"/>
      </w:r>
      <w:r w:rsidR="00B85FF1" w:rsidRPr="00B528A4">
        <w:rPr>
          <w:rFonts w:ascii="Times New Roman" w:hAnsi="Times New Roman" w:cs="Times New Roman"/>
          <w:sz w:val="24"/>
          <w:szCs w:val="24"/>
        </w:rPr>
        <w:t xml:space="preserve"> která v neúspěšné Smlouvě o Ústavě pro Evropu nebyla zahrnuta</w:t>
      </w:r>
      <w:r w:rsidR="00FD78F2">
        <w:rPr>
          <w:rFonts w:ascii="Times New Roman" w:hAnsi="Times New Roman" w:cs="Times New Roman"/>
          <w:sz w:val="24"/>
          <w:szCs w:val="24"/>
        </w:rPr>
        <w:t>,</w:t>
      </w:r>
      <w:r w:rsidR="00B85FF1" w:rsidRPr="00B528A4">
        <w:rPr>
          <w:rStyle w:val="Znakapoznpodarou"/>
          <w:rFonts w:ascii="Times New Roman" w:hAnsi="Times New Roman" w:cs="Times New Roman"/>
          <w:sz w:val="24"/>
          <w:szCs w:val="24"/>
        </w:rPr>
        <w:footnoteReference w:id="171"/>
      </w:r>
      <w:r w:rsidR="00B85FF1" w:rsidRPr="00B528A4">
        <w:rPr>
          <w:rFonts w:ascii="Times New Roman" w:hAnsi="Times New Roman" w:cs="Times New Roman"/>
          <w:sz w:val="24"/>
          <w:szCs w:val="24"/>
        </w:rPr>
        <w:t xml:space="preserve"> tak předně </w:t>
      </w:r>
      <w:r w:rsidR="0034609A">
        <w:rPr>
          <w:rFonts w:ascii="Times New Roman" w:hAnsi="Times New Roman" w:cs="Times New Roman"/>
          <w:sz w:val="24"/>
          <w:szCs w:val="24"/>
        </w:rPr>
        <w:t>uveďme, že na rozdíl od žluté</w:t>
      </w:r>
      <w:r w:rsidR="00B85FF1" w:rsidRPr="00B528A4">
        <w:rPr>
          <w:rFonts w:ascii="Times New Roman" w:hAnsi="Times New Roman" w:cs="Times New Roman"/>
          <w:sz w:val="24"/>
          <w:szCs w:val="24"/>
        </w:rPr>
        <w:t xml:space="preserve"> se vztahuje pouze k řádnému legislativnímu postupu. Proce</w:t>
      </w:r>
      <w:r w:rsidR="00882140">
        <w:rPr>
          <w:rFonts w:ascii="Times New Roman" w:hAnsi="Times New Roman" w:cs="Times New Roman"/>
          <w:sz w:val="24"/>
          <w:szCs w:val="24"/>
        </w:rPr>
        <w:t>dura</w:t>
      </w:r>
      <w:r w:rsidR="00B85FF1">
        <w:rPr>
          <w:rFonts w:ascii="Times New Roman" w:hAnsi="Times New Roman" w:cs="Times New Roman"/>
          <w:sz w:val="24"/>
          <w:szCs w:val="24"/>
        </w:rPr>
        <w:t xml:space="preserve"> nepokrývá akty přijímané</w:t>
      </w:r>
      <w:r w:rsidR="00B264E2">
        <w:rPr>
          <w:rFonts w:ascii="Times New Roman" w:hAnsi="Times New Roman" w:cs="Times New Roman"/>
          <w:sz w:val="24"/>
          <w:szCs w:val="24"/>
        </w:rPr>
        <w:t xml:space="preserve"> tím</w:t>
      </w:r>
      <w:r w:rsidR="00B85FF1" w:rsidRPr="00B528A4">
        <w:rPr>
          <w:rFonts w:ascii="Times New Roman" w:hAnsi="Times New Roman" w:cs="Times New Roman"/>
          <w:sz w:val="24"/>
          <w:szCs w:val="24"/>
        </w:rPr>
        <w:t xml:space="preserve"> </w:t>
      </w:r>
      <w:r w:rsidR="00B264E2">
        <w:rPr>
          <w:rFonts w:ascii="Times New Roman" w:hAnsi="Times New Roman" w:cs="Times New Roman"/>
          <w:sz w:val="24"/>
          <w:szCs w:val="24"/>
        </w:rPr>
        <w:t>zvláštním</w:t>
      </w:r>
      <w:r w:rsidR="00B85FF1" w:rsidRPr="00B528A4">
        <w:rPr>
          <w:rFonts w:ascii="Times New Roman" w:hAnsi="Times New Roman" w:cs="Times New Roman"/>
          <w:sz w:val="24"/>
          <w:szCs w:val="24"/>
        </w:rPr>
        <w:t xml:space="preserve">. </w:t>
      </w:r>
      <w:r w:rsidR="007B2A3A">
        <w:rPr>
          <w:rFonts w:ascii="Times New Roman" w:hAnsi="Times New Roman" w:cs="Times New Roman"/>
          <w:sz w:val="24"/>
          <w:szCs w:val="24"/>
        </w:rPr>
        <w:t>Práh pro spuštění oranžové karty je vyšší než u té žluté</w:t>
      </w:r>
      <w:r w:rsidR="00B85FF1" w:rsidRPr="00B528A4">
        <w:rPr>
          <w:rFonts w:ascii="Times New Roman" w:hAnsi="Times New Roman" w:cs="Times New Roman"/>
          <w:sz w:val="24"/>
          <w:szCs w:val="24"/>
        </w:rPr>
        <w:t>. Je vyžadována nejméně prostá většina</w:t>
      </w:r>
      <w:r w:rsidR="00B85FF1" w:rsidRPr="00B528A4">
        <w:rPr>
          <w:rStyle w:val="Znakapoznpodarou"/>
          <w:rFonts w:ascii="Times New Roman" w:hAnsi="Times New Roman" w:cs="Times New Roman"/>
          <w:sz w:val="24"/>
          <w:szCs w:val="24"/>
        </w:rPr>
        <w:footnoteReference w:id="172"/>
      </w:r>
      <w:r w:rsidR="00B85FF1" w:rsidRPr="00B528A4">
        <w:rPr>
          <w:rFonts w:ascii="Times New Roman" w:hAnsi="Times New Roman" w:cs="Times New Roman"/>
          <w:sz w:val="24"/>
          <w:szCs w:val="24"/>
        </w:rPr>
        <w:t xml:space="preserve"> hlasů v rámci výše přiblíženého hlasovacího systému. I vzhledem k</w:t>
      </w:r>
      <w:r w:rsidR="00900BE2">
        <w:rPr>
          <w:rFonts w:ascii="Times New Roman" w:hAnsi="Times New Roman" w:cs="Times New Roman"/>
          <w:sz w:val="24"/>
          <w:szCs w:val="24"/>
        </w:rPr>
        <w:t> tomu se již v době zavádění systému včasného varování</w:t>
      </w:r>
      <w:r w:rsidR="00B85FF1" w:rsidRPr="00B528A4">
        <w:rPr>
          <w:rFonts w:ascii="Times New Roman" w:hAnsi="Times New Roman" w:cs="Times New Roman"/>
          <w:sz w:val="24"/>
          <w:szCs w:val="24"/>
        </w:rPr>
        <w:t xml:space="preserve"> </w:t>
      </w:r>
      <w:r w:rsidR="00496EEE">
        <w:rPr>
          <w:rFonts w:ascii="Times New Roman" w:hAnsi="Times New Roman" w:cs="Times New Roman"/>
          <w:sz w:val="24"/>
          <w:szCs w:val="24"/>
        </w:rPr>
        <w:t>dalo očekávat, že oranžová karta</w:t>
      </w:r>
      <w:r w:rsidR="00B85FF1" w:rsidRPr="00B528A4">
        <w:rPr>
          <w:rFonts w:ascii="Times New Roman" w:hAnsi="Times New Roman" w:cs="Times New Roman"/>
          <w:sz w:val="24"/>
          <w:szCs w:val="24"/>
        </w:rPr>
        <w:t xml:space="preserve"> bude velmi vzácnou událostí.</w:t>
      </w:r>
      <w:r w:rsidR="00B85FF1" w:rsidRPr="00B528A4">
        <w:rPr>
          <w:rStyle w:val="Znakapoznpodarou"/>
          <w:rFonts w:ascii="Times New Roman" w:hAnsi="Times New Roman" w:cs="Times New Roman"/>
          <w:sz w:val="24"/>
          <w:szCs w:val="24"/>
        </w:rPr>
        <w:footnoteReference w:id="173"/>
      </w:r>
      <w:r w:rsidR="00B85FF1" w:rsidRPr="00B528A4">
        <w:rPr>
          <w:rFonts w:ascii="Times New Roman" w:hAnsi="Times New Roman" w:cs="Times New Roman"/>
          <w:sz w:val="24"/>
          <w:szCs w:val="24"/>
        </w:rPr>
        <w:t xml:space="preserve"> To se doposud potvrzuje, když zatím nebyla oranžová karta udělena ani jednou. I přesto se</w:t>
      </w:r>
      <w:r w:rsidR="00B85FF1">
        <w:rPr>
          <w:rFonts w:ascii="Times New Roman" w:hAnsi="Times New Roman" w:cs="Times New Roman"/>
          <w:sz w:val="24"/>
          <w:szCs w:val="24"/>
        </w:rPr>
        <w:t xml:space="preserve"> </w:t>
      </w:r>
      <w:r w:rsidR="00B85FF1" w:rsidRPr="00B528A4">
        <w:rPr>
          <w:rFonts w:ascii="Times New Roman" w:hAnsi="Times New Roman" w:cs="Times New Roman"/>
          <w:sz w:val="24"/>
          <w:szCs w:val="24"/>
        </w:rPr>
        <w:t xml:space="preserve">zabývejme případnými </w:t>
      </w:r>
      <w:r w:rsidR="00FB2DC6">
        <w:rPr>
          <w:rFonts w:ascii="Times New Roman" w:hAnsi="Times New Roman" w:cs="Times New Roman"/>
          <w:sz w:val="24"/>
          <w:szCs w:val="24"/>
        </w:rPr>
        <w:t>dopady</w:t>
      </w:r>
      <w:r w:rsidR="00B85FF1" w:rsidRPr="00B528A4">
        <w:rPr>
          <w:rFonts w:ascii="Times New Roman" w:hAnsi="Times New Roman" w:cs="Times New Roman"/>
          <w:sz w:val="24"/>
          <w:szCs w:val="24"/>
        </w:rPr>
        <w:t>, jak jsou upraveny protokolem č. 2. Návrh musí být prvně,</w:t>
      </w:r>
      <w:r w:rsidR="00E97B21">
        <w:rPr>
          <w:rFonts w:ascii="Times New Roman" w:hAnsi="Times New Roman" w:cs="Times New Roman"/>
          <w:sz w:val="24"/>
          <w:szCs w:val="24"/>
        </w:rPr>
        <w:t xml:space="preserve"> jako v případě žluté karty</w:t>
      </w:r>
      <w:r w:rsidR="00B85FF1" w:rsidRPr="00B528A4">
        <w:rPr>
          <w:rFonts w:ascii="Times New Roman" w:hAnsi="Times New Roman" w:cs="Times New Roman"/>
          <w:sz w:val="24"/>
          <w:szCs w:val="24"/>
        </w:rPr>
        <w:t xml:space="preserve">, přezkoumán. </w:t>
      </w:r>
      <w:r w:rsidR="00B85FF1" w:rsidRPr="00B528A4">
        <w:rPr>
          <w:rFonts w:ascii="Times New Roman" w:hAnsi="Times New Roman" w:cs="Times New Roman"/>
          <w:i/>
          <w:sz w:val="24"/>
          <w:szCs w:val="24"/>
        </w:rPr>
        <w:t>„Po takovém přezkoumání může Komise rozhodnout, že návrh buď zachová, změní nebo jej stáhne.“</w:t>
      </w:r>
      <w:r w:rsidR="00B85FF1" w:rsidRPr="00B528A4">
        <w:rPr>
          <w:rStyle w:val="Znakapoznpodarou"/>
          <w:rFonts w:ascii="Times New Roman" w:hAnsi="Times New Roman" w:cs="Times New Roman"/>
          <w:i/>
          <w:sz w:val="24"/>
          <w:szCs w:val="24"/>
        </w:rPr>
        <w:footnoteReference w:id="174"/>
      </w:r>
      <w:r w:rsidR="00B85FF1" w:rsidRPr="00B528A4">
        <w:rPr>
          <w:rFonts w:ascii="Times New Roman" w:hAnsi="Times New Roman" w:cs="Times New Roman"/>
          <w:i/>
          <w:sz w:val="24"/>
          <w:szCs w:val="24"/>
        </w:rPr>
        <w:t xml:space="preserve"> </w:t>
      </w:r>
      <w:r w:rsidR="00B85FF1" w:rsidRPr="00B528A4">
        <w:rPr>
          <w:rFonts w:ascii="Times New Roman" w:hAnsi="Times New Roman" w:cs="Times New Roman"/>
          <w:sz w:val="24"/>
          <w:szCs w:val="24"/>
        </w:rPr>
        <w:t xml:space="preserve">Rozhodne-li se Komise pro první jmenovanou možnost, tedy zachování návrhu, </w:t>
      </w:r>
      <w:r w:rsidR="00B85FF1" w:rsidRPr="00B528A4">
        <w:rPr>
          <w:rFonts w:ascii="Times New Roman" w:hAnsi="Times New Roman" w:cs="Times New Roman"/>
          <w:i/>
          <w:sz w:val="24"/>
          <w:szCs w:val="24"/>
        </w:rPr>
        <w:t>„musí v odůvodněném stanovisku uvést, proč se domnívá, že daný návrh je v souladu se zásadou subsidiarity</w:t>
      </w:r>
      <w:r w:rsidR="00AF52E3">
        <w:rPr>
          <w:rFonts w:ascii="Times New Roman" w:hAnsi="Times New Roman" w:cs="Times New Roman"/>
          <w:i/>
          <w:sz w:val="24"/>
          <w:szCs w:val="24"/>
        </w:rPr>
        <w:t>.“</w:t>
      </w:r>
      <w:r w:rsidR="00B85FF1" w:rsidRPr="00B528A4">
        <w:rPr>
          <w:rStyle w:val="Znakapoznpodarou"/>
          <w:rFonts w:ascii="Times New Roman" w:hAnsi="Times New Roman" w:cs="Times New Roman"/>
          <w:i/>
          <w:sz w:val="24"/>
          <w:szCs w:val="24"/>
        </w:rPr>
        <w:footnoteReference w:id="175"/>
      </w:r>
      <w:r w:rsidR="00B85FF1" w:rsidRPr="00B528A4">
        <w:rPr>
          <w:rFonts w:ascii="Times New Roman" w:hAnsi="Times New Roman" w:cs="Times New Roman"/>
          <w:i/>
          <w:sz w:val="24"/>
          <w:szCs w:val="24"/>
        </w:rPr>
        <w:t xml:space="preserve"> </w:t>
      </w:r>
      <w:r w:rsidR="00B85FF1" w:rsidRPr="00B528A4">
        <w:rPr>
          <w:rFonts w:ascii="Times New Roman" w:hAnsi="Times New Roman" w:cs="Times New Roman"/>
          <w:sz w:val="24"/>
          <w:szCs w:val="24"/>
        </w:rPr>
        <w:t>Potud lze pozorovat výraznou podobnost s postupem, který následuje po ud</w:t>
      </w:r>
      <w:r w:rsidR="0084465F">
        <w:rPr>
          <w:rFonts w:ascii="Times New Roman" w:hAnsi="Times New Roman" w:cs="Times New Roman"/>
          <w:sz w:val="24"/>
          <w:szCs w:val="24"/>
        </w:rPr>
        <w:t>ělení žluté karty</w:t>
      </w:r>
      <w:r w:rsidR="00B85FF1" w:rsidRPr="00B528A4">
        <w:rPr>
          <w:rFonts w:ascii="Times New Roman" w:hAnsi="Times New Roman" w:cs="Times New Roman"/>
          <w:sz w:val="24"/>
          <w:szCs w:val="24"/>
        </w:rPr>
        <w:t>. Odlišnost lze, pokud jde o úpravu protokolem č. 2, spatřovat v tom, že Komise nemá povinnost odůvodňovat změnu či stažení návrhu.</w:t>
      </w:r>
      <w:r w:rsidR="00B85FF1" w:rsidRPr="00B528A4">
        <w:rPr>
          <w:rStyle w:val="Znakapoznpodarou"/>
          <w:rFonts w:ascii="Times New Roman" w:hAnsi="Times New Roman" w:cs="Times New Roman"/>
          <w:sz w:val="24"/>
          <w:szCs w:val="24"/>
        </w:rPr>
        <w:footnoteReference w:id="176"/>
      </w:r>
      <w:r w:rsidR="00B85FF1" w:rsidRPr="00B528A4">
        <w:rPr>
          <w:rFonts w:ascii="Times New Roman" w:hAnsi="Times New Roman" w:cs="Times New Roman"/>
          <w:sz w:val="24"/>
          <w:szCs w:val="24"/>
        </w:rPr>
        <w:t xml:space="preserve"> Také upozorněme, že odůvodnění Komise u zachování návrhu normotvůrci nazvali</w:t>
      </w:r>
      <w:r w:rsidR="00E340CD">
        <w:rPr>
          <w:rFonts w:ascii="Times New Roman" w:hAnsi="Times New Roman" w:cs="Times New Roman"/>
          <w:sz w:val="24"/>
          <w:szCs w:val="24"/>
        </w:rPr>
        <w:t xml:space="preserve"> odůvodněné stanovisko</w:t>
      </w:r>
      <w:r w:rsidR="00B85FF1" w:rsidRPr="00B528A4">
        <w:rPr>
          <w:rFonts w:ascii="Times New Roman" w:hAnsi="Times New Roman" w:cs="Times New Roman"/>
          <w:sz w:val="24"/>
          <w:szCs w:val="24"/>
        </w:rPr>
        <w:t xml:space="preserve">. Jeho obsah má být ovšem logicky na rozdíl od </w:t>
      </w:r>
      <w:r w:rsidR="00E340CD">
        <w:rPr>
          <w:rFonts w:ascii="Times New Roman" w:hAnsi="Times New Roman" w:cs="Times New Roman"/>
          <w:sz w:val="24"/>
          <w:szCs w:val="24"/>
        </w:rPr>
        <w:t>stanovisek</w:t>
      </w:r>
      <w:r w:rsidR="00B85FF1">
        <w:rPr>
          <w:rFonts w:ascii="Times New Roman" w:hAnsi="Times New Roman" w:cs="Times New Roman"/>
          <w:sz w:val="24"/>
          <w:szCs w:val="24"/>
        </w:rPr>
        <w:t xml:space="preserve"> </w:t>
      </w:r>
      <w:r w:rsidR="005A37B6">
        <w:rPr>
          <w:rFonts w:ascii="Times New Roman" w:hAnsi="Times New Roman" w:cs="Times New Roman"/>
          <w:sz w:val="24"/>
          <w:szCs w:val="24"/>
        </w:rPr>
        <w:t>parlamentů směrem k naplnění zásady subsidiarity</w:t>
      </w:r>
      <w:r w:rsidR="00B85FF1" w:rsidRPr="00B528A4">
        <w:rPr>
          <w:rFonts w:ascii="Times New Roman" w:hAnsi="Times New Roman" w:cs="Times New Roman"/>
          <w:sz w:val="24"/>
          <w:szCs w:val="24"/>
        </w:rPr>
        <w:t xml:space="preserve"> pozitivní. Další kroky jsou</w:t>
      </w:r>
      <w:r w:rsidR="00400AF6">
        <w:rPr>
          <w:rFonts w:ascii="Times New Roman" w:hAnsi="Times New Roman" w:cs="Times New Roman"/>
          <w:sz w:val="24"/>
          <w:szCs w:val="24"/>
        </w:rPr>
        <w:t xml:space="preserve"> při zachování návrhu</w:t>
      </w:r>
      <w:r w:rsidR="00CC31BD">
        <w:rPr>
          <w:rFonts w:ascii="Times New Roman" w:hAnsi="Times New Roman" w:cs="Times New Roman"/>
          <w:sz w:val="24"/>
          <w:szCs w:val="24"/>
        </w:rPr>
        <w:t xml:space="preserve"> následující. Všechna odůvodněná stanoviska</w:t>
      </w:r>
      <w:r w:rsidR="00B85FF1" w:rsidRPr="00B528A4">
        <w:rPr>
          <w:rFonts w:ascii="Times New Roman" w:hAnsi="Times New Roman" w:cs="Times New Roman"/>
          <w:sz w:val="24"/>
          <w:szCs w:val="24"/>
        </w:rPr>
        <w:t xml:space="preserve"> jsou předložena EP a Radě. Tyto orgány před tím, než je skončeno první čtení na jejic</w:t>
      </w:r>
      <w:r w:rsidR="00CE798D">
        <w:rPr>
          <w:rFonts w:ascii="Times New Roman" w:hAnsi="Times New Roman" w:cs="Times New Roman"/>
          <w:sz w:val="24"/>
          <w:szCs w:val="24"/>
        </w:rPr>
        <w:t xml:space="preserve">h půdě, posoudí, zda je </w:t>
      </w:r>
      <w:r w:rsidR="00B85FF1" w:rsidRPr="00B528A4">
        <w:rPr>
          <w:rFonts w:ascii="Times New Roman" w:hAnsi="Times New Roman" w:cs="Times New Roman"/>
          <w:sz w:val="24"/>
          <w:szCs w:val="24"/>
        </w:rPr>
        <w:t>pře</w:t>
      </w:r>
      <w:r w:rsidR="00B85FF1">
        <w:rPr>
          <w:rFonts w:ascii="Times New Roman" w:hAnsi="Times New Roman" w:cs="Times New Roman"/>
          <w:sz w:val="24"/>
          <w:szCs w:val="24"/>
        </w:rPr>
        <w:t>dmětný návrh</w:t>
      </w:r>
      <w:r w:rsidR="00AC4E9F">
        <w:rPr>
          <w:rFonts w:ascii="Times New Roman" w:hAnsi="Times New Roman" w:cs="Times New Roman"/>
          <w:sz w:val="24"/>
          <w:szCs w:val="24"/>
        </w:rPr>
        <w:t xml:space="preserve"> souladný se zásadou subsidiarity</w:t>
      </w:r>
      <w:r w:rsidR="00B85FF1" w:rsidRPr="00B528A4">
        <w:rPr>
          <w:rFonts w:ascii="Times New Roman" w:hAnsi="Times New Roman" w:cs="Times New Roman"/>
          <w:sz w:val="24"/>
          <w:szCs w:val="24"/>
        </w:rPr>
        <w:t>. Pokud následně Rada nebo EP zaujme stanovi</w:t>
      </w:r>
      <w:r w:rsidR="008720A4">
        <w:rPr>
          <w:rFonts w:ascii="Times New Roman" w:hAnsi="Times New Roman" w:cs="Times New Roman"/>
          <w:sz w:val="24"/>
          <w:szCs w:val="24"/>
        </w:rPr>
        <w:t>sko, že návrh je v rozporu</w:t>
      </w:r>
      <w:r w:rsidR="00B85FF1" w:rsidRPr="00B528A4">
        <w:rPr>
          <w:rFonts w:ascii="Times New Roman" w:hAnsi="Times New Roman" w:cs="Times New Roman"/>
          <w:sz w:val="24"/>
          <w:szCs w:val="24"/>
        </w:rPr>
        <w:t>, pak te</w:t>
      </w:r>
      <w:r w:rsidR="00E650C4">
        <w:rPr>
          <w:rFonts w:ascii="Times New Roman" w:hAnsi="Times New Roman" w:cs="Times New Roman"/>
          <w:sz w:val="24"/>
          <w:szCs w:val="24"/>
        </w:rPr>
        <w:t>nto není dále zvažován a jde</w:t>
      </w:r>
      <w:r w:rsidR="00B85FF1" w:rsidRPr="00B528A4">
        <w:rPr>
          <w:rFonts w:ascii="Times New Roman" w:hAnsi="Times New Roman" w:cs="Times New Roman"/>
          <w:sz w:val="24"/>
          <w:szCs w:val="24"/>
        </w:rPr>
        <w:t xml:space="preserve"> o konec řádného legislativního postupu. K přijetí zmíněného </w:t>
      </w:r>
      <w:r w:rsidR="00B85FF1" w:rsidRPr="00B528A4">
        <w:rPr>
          <w:rFonts w:ascii="Times New Roman" w:hAnsi="Times New Roman" w:cs="Times New Roman"/>
          <w:sz w:val="24"/>
          <w:szCs w:val="24"/>
        </w:rPr>
        <w:lastRenderedPageBreak/>
        <w:t xml:space="preserve">stanoviska Radou je třeba většina </w:t>
      </w:r>
      <w:r w:rsidR="00B85FF1">
        <w:rPr>
          <w:rFonts w:ascii="Times New Roman" w:hAnsi="Times New Roman" w:cs="Times New Roman"/>
          <w:sz w:val="24"/>
          <w:szCs w:val="24"/>
        </w:rPr>
        <w:t xml:space="preserve">v podobě </w:t>
      </w:r>
      <w:r w:rsidR="00B85FF1" w:rsidRPr="00B528A4">
        <w:rPr>
          <w:rFonts w:ascii="Times New Roman" w:hAnsi="Times New Roman" w:cs="Times New Roman"/>
          <w:sz w:val="24"/>
          <w:szCs w:val="24"/>
        </w:rPr>
        <w:t>55</w:t>
      </w:r>
      <w:r w:rsidR="00FF24D7">
        <w:rPr>
          <w:rFonts w:ascii="Times New Roman" w:hAnsi="Times New Roman" w:cs="Times New Roman"/>
          <w:sz w:val="24"/>
          <w:szCs w:val="24"/>
        </w:rPr>
        <w:t xml:space="preserve"> </w:t>
      </w:r>
      <w:r w:rsidR="00B85FF1" w:rsidRPr="00B528A4">
        <w:rPr>
          <w:rFonts w:ascii="Times New Roman" w:hAnsi="Times New Roman" w:cs="Times New Roman"/>
          <w:sz w:val="24"/>
          <w:szCs w:val="24"/>
        </w:rPr>
        <w:t>% členů.</w:t>
      </w:r>
      <w:r w:rsidR="00B85FF1" w:rsidRPr="00B528A4">
        <w:rPr>
          <w:rStyle w:val="Znakapoznpodarou"/>
          <w:rFonts w:ascii="Times New Roman" w:hAnsi="Times New Roman" w:cs="Times New Roman"/>
          <w:sz w:val="24"/>
          <w:szCs w:val="24"/>
        </w:rPr>
        <w:footnoteReference w:id="177"/>
      </w:r>
      <w:r w:rsidR="00B85FF1" w:rsidRPr="00B528A4">
        <w:rPr>
          <w:rFonts w:ascii="Times New Roman" w:hAnsi="Times New Roman" w:cs="Times New Roman"/>
          <w:sz w:val="24"/>
          <w:szCs w:val="24"/>
        </w:rPr>
        <w:t xml:space="preserve"> V případě EP je k jeho přijetí třeba většina odevzdaných hlasů. </w:t>
      </w:r>
      <w:r w:rsidR="00B85FF1">
        <w:rPr>
          <w:rFonts w:ascii="Times New Roman" w:hAnsi="Times New Roman" w:cs="Times New Roman"/>
          <w:sz w:val="24"/>
          <w:szCs w:val="24"/>
        </w:rPr>
        <w:t>Požadované počty hlasů, většiny,</w:t>
      </w:r>
      <w:r w:rsidR="00B85FF1" w:rsidRPr="00B528A4">
        <w:rPr>
          <w:rFonts w:ascii="Times New Roman" w:hAnsi="Times New Roman" w:cs="Times New Roman"/>
          <w:sz w:val="24"/>
          <w:szCs w:val="24"/>
        </w:rPr>
        <w:t xml:space="preserve"> v obou orgánech l</w:t>
      </w:r>
      <w:r w:rsidR="00BF403B">
        <w:rPr>
          <w:rFonts w:ascii="Times New Roman" w:hAnsi="Times New Roman" w:cs="Times New Roman"/>
          <w:sz w:val="24"/>
          <w:szCs w:val="24"/>
        </w:rPr>
        <w:t>ze hodnotit jako poměrně vysoké vzhledem k tomu, že jde vlastně o blokaci návrhu.</w:t>
      </w:r>
      <w:r w:rsidR="00B85FF1" w:rsidRPr="00B528A4">
        <w:rPr>
          <w:rStyle w:val="Znakapoznpodarou"/>
          <w:rFonts w:ascii="Times New Roman" w:hAnsi="Times New Roman" w:cs="Times New Roman"/>
          <w:sz w:val="24"/>
          <w:szCs w:val="24"/>
        </w:rPr>
        <w:footnoteReference w:id="178"/>
      </w:r>
      <w:r w:rsidR="00B85FF1" w:rsidRPr="00B528A4">
        <w:rPr>
          <w:rFonts w:ascii="Times New Roman" w:hAnsi="Times New Roman" w:cs="Times New Roman"/>
          <w:sz w:val="24"/>
          <w:szCs w:val="24"/>
        </w:rPr>
        <w:t xml:space="preserve"> Z uvedeného je </w:t>
      </w:r>
      <w:r w:rsidR="00B85FF1">
        <w:rPr>
          <w:rFonts w:ascii="Times New Roman" w:hAnsi="Times New Roman" w:cs="Times New Roman"/>
          <w:sz w:val="24"/>
          <w:szCs w:val="24"/>
        </w:rPr>
        <w:t xml:space="preserve">také </w:t>
      </w:r>
      <w:r w:rsidR="00B85FF1" w:rsidRPr="00B528A4">
        <w:rPr>
          <w:rFonts w:ascii="Times New Roman" w:hAnsi="Times New Roman" w:cs="Times New Roman"/>
          <w:sz w:val="24"/>
          <w:szCs w:val="24"/>
        </w:rPr>
        <w:t xml:space="preserve">zřejmé, </w:t>
      </w:r>
      <w:r w:rsidR="00EC60D9">
        <w:rPr>
          <w:rFonts w:ascii="Times New Roman" w:hAnsi="Times New Roman" w:cs="Times New Roman"/>
          <w:sz w:val="24"/>
          <w:szCs w:val="24"/>
        </w:rPr>
        <w:t xml:space="preserve">že parlamenty nedisponují v systému včasného varování </w:t>
      </w:r>
      <w:r w:rsidR="00B85FF1" w:rsidRPr="00B528A4">
        <w:rPr>
          <w:rFonts w:ascii="Times New Roman" w:hAnsi="Times New Roman" w:cs="Times New Roman"/>
          <w:sz w:val="24"/>
          <w:szCs w:val="24"/>
        </w:rPr>
        <w:t>přímým právem veta.</w:t>
      </w:r>
      <w:r w:rsidR="007E5D2A">
        <w:rPr>
          <w:rFonts w:ascii="Times New Roman" w:hAnsi="Times New Roman" w:cs="Times New Roman"/>
          <w:sz w:val="24"/>
          <w:szCs w:val="24"/>
        </w:rPr>
        <w:t xml:space="preserve"> I u oranžové karty</w:t>
      </w:r>
      <w:r w:rsidR="00251E1C">
        <w:rPr>
          <w:rFonts w:ascii="Times New Roman" w:hAnsi="Times New Roman" w:cs="Times New Roman"/>
          <w:sz w:val="24"/>
          <w:szCs w:val="24"/>
        </w:rPr>
        <w:t xml:space="preserve"> </w:t>
      </w:r>
      <w:r w:rsidR="00251E1C" w:rsidRPr="00251E1C">
        <w:rPr>
          <w:rFonts w:ascii="Times New Roman" w:hAnsi="Times New Roman" w:cs="Times New Roman"/>
          <w:i/>
          <w:sz w:val="24"/>
          <w:szCs w:val="24"/>
        </w:rPr>
        <w:t>„konečné rozhodnutí o návrhu daného legislativního aktu opět spočívá na unijních orgánech</w:t>
      </w:r>
      <w:r w:rsidR="002741EB">
        <w:rPr>
          <w:rFonts w:ascii="Times New Roman" w:hAnsi="Times New Roman" w:cs="Times New Roman"/>
          <w:i/>
          <w:sz w:val="24"/>
          <w:szCs w:val="24"/>
        </w:rPr>
        <w:t>.</w:t>
      </w:r>
      <w:r w:rsidR="00251E1C" w:rsidRPr="00251E1C">
        <w:rPr>
          <w:rFonts w:ascii="Times New Roman" w:hAnsi="Times New Roman" w:cs="Times New Roman"/>
          <w:i/>
          <w:sz w:val="24"/>
          <w:szCs w:val="24"/>
        </w:rPr>
        <w:t>“</w:t>
      </w:r>
      <w:r w:rsidR="009941B8">
        <w:rPr>
          <w:rStyle w:val="Znakapoznpodarou"/>
          <w:rFonts w:ascii="Times New Roman" w:hAnsi="Times New Roman" w:cs="Times New Roman"/>
          <w:sz w:val="24"/>
          <w:szCs w:val="24"/>
        </w:rPr>
        <w:footnoteReference w:id="179"/>
      </w:r>
      <w:r w:rsidR="00B85FF1" w:rsidRPr="00B528A4">
        <w:rPr>
          <w:rFonts w:ascii="Times New Roman" w:hAnsi="Times New Roman" w:cs="Times New Roman"/>
          <w:sz w:val="24"/>
          <w:szCs w:val="24"/>
        </w:rPr>
        <w:t xml:space="preserve"> Lze snad hovořit o jakési upozorňovací pravomoci. </w:t>
      </w:r>
    </w:p>
    <w:p w:rsidR="00B85FF1" w:rsidRDefault="00B85FF1"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B53445" w:rsidRDefault="00B53445" w:rsidP="00BF57AF">
      <w:pPr>
        <w:spacing w:line="360" w:lineRule="auto"/>
        <w:ind w:firstLine="708"/>
        <w:jc w:val="both"/>
        <w:rPr>
          <w:rFonts w:ascii="Times New Roman" w:hAnsi="Times New Roman" w:cs="Times New Roman"/>
          <w:sz w:val="24"/>
        </w:rPr>
      </w:pPr>
    </w:p>
    <w:p w:rsidR="005A5FCD" w:rsidRDefault="005A5FCD" w:rsidP="00BF57AF">
      <w:pPr>
        <w:spacing w:line="360" w:lineRule="auto"/>
        <w:ind w:firstLine="708"/>
        <w:jc w:val="both"/>
        <w:rPr>
          <w:rFonts w:ascii="Times New Roman" w:hAnsi="Times New Roman" w:cs="Times New Roman"/>
          <w:sz w:val="24"/>
        </w:rPr>
      </w:pPr>
    </w:p>
    <w:p w:rsidR="005A5FCD" w:rsidRDefault="005A5FCD" w:rsidP="00BF57AF">
      <w:pPr>
        <w:spacing w:line="360" w:lineRule="auto"/>
        <w:ind w:firstLine="708"/>
        <w:jc w:val="both"/>
        <w:rPr>
          <w:rFonts w:ascii="Times New Roman" w:hAnsi="Times New Roman" w:cs="Times New Roman"/>
          <w:sz w:val="24"/>
        </w:rPr>
      </w:pPr>
    </w:p>
    <w:p w:rsidR="005A5FCD" w:rsidRDefault="005A5FCD" w:rsidP="00BF57AF">
      <w:pPr>
        <w:spacing w:line="360" w:lineRule="auto"/>
        <w:ind w:firstLine="708"/>
        <w:jc w:val="both"/>
        <w:rPr>
          <w:rFonts w:ascii="Times New Roman" w:hAnsi="Times New Roman" w:cs="Times New Roman"/>
          <w:sz w:val="24"/>
        </w:rPr>
      </w:pPr>
    </w:p>
    <w:p w:rsidR="005A5FCD" w:rsidRDefault="005A5FCD" w:rsidP="00BF57AF">
      <w:pPr>
        <w:spacing w:line="360" w:lineRule="auto"/>
        <w:ind w:firstLine="708"/>
        <w:jc w:val="both"/>
        <w:rPr>
          <w:rFonts w:ascii="Times New Roman" w:hAnsi="Times New Roman" w:cs="Times New Roman"/>
          <w:sz w:val="24"/>
        </w:rPr>
      </w:pPr>
    </w:p>
    <w:p w:rsidR="005A5FCD" w:rsidRDefault="005A5FCD" w:rsidP="00BF57AF">
      <w:pPr>
        <w:spacing w:line="360" w:lineRule="auto"/>
        <w:ind w:firstLine="708"/>
        <w:jc w:val="both"/>
        <w:rPr>
          <w:rFonts w:ascii="Times New Roman" w:hAnsi="Times New Roman" w:cs="Times New Roman"/>
          <w:sz w:val="24"/>
        </w:rPr>
      </w:pPr>
    </w:p>
    <w:p w:rsidR="00B677F4" w:rsidRDefault="00B677F4" w:rsidP="00BF57AF">
      <w:pPr>
        <w:spacing w:line="360" w:lineRule="auto"/>
        <w:ind w:firstLine="708"/>
        <w:jc w:val="both"/>
        <w:rPr>
          <w:rFonts w:ascii="Times New Roman" w:hAnsi="Times New Roman" w:cs="Times New Roman"/>
          <w:sz w:val="24"/>
        </w:rPr>
      </w:pPr>
    </w:p>
    <w:p w:rsidR="00B677F4" w:rsidRDefault="00B677F4" w:rsidP="00BF57AF">
      <w:pPr>
        <w:spacing w:line="360" w:lineRule="auto"/>
        <w:ind w:firstLine="708"/>
        <w:jc w:val="both"/>
        <w:rPr>
          <w:rFonts w:ascii="Times New Roman" w:hAnsi="Times New Roman" w:cs="Times New Roman"/>
          <w:sz w:val="24"/>
        </w:rPr>
      </w:pPr>
    </w:p>
    <w:p w:rsidR="00B677F4" w:rsidRDefault="00B677F4" w:rsidP="00BC79D7">
      <w:pPr>
        <w:spacing w:line="360" w:lineRule="auto"/>
        <w:jc w:val="both"/>
        <w:rPr>
          <w:rFonts w:ascii="Times New Roman" w:hAnsi="Times New Roman" w:cs="Times New Roman"/>
          <w:sz w:val="24"/>
        </w:rPr>
      </w:pPr>
    </w:p>
    <w:p w:rsidR="00A11525" w:rsidRPr="007214F1" w:rsidRDefault="00282173" w:rsidP="008B60F2">
      <w:pPr>
        <w:pStyle w:val="Nadpis1"/>
        <w:numPr>
          <w:ilvl w:val="0"/>
          <w:numId w:val="3"/>
        </w:numPr>
      </w:pPr>
      <w:bookmarkStart w:id="24" w:name="_Toc478235170"/>
      <w:r w:rsidRPr="007214F1">
        <w:lastRenderedPageBreak/>
        <w:t>Systém včasného varování</w:t>
      </w:r>
      <w:r w:rsidR="00A11525" w:rsidRPr="007214F1">
        <w:t xml:space="preserve"> v</w:t>
      </w:r>
      <w:r w:rsidR="004112C5" w:rsidRPr="007214F1">
        <w:t> </w:t>
      </w:r>
      <w:r w:rsidR="00A11525" w:rsidRPr="007214F1">
        <w:t>praxi</w:t>
      </w:r>
      <w:bookmarkEnd w:id="24"/>
    </w:p>
    <w:p w:rsidR="004112C5" w:rsidRPr="004112C5" w:rsidRDefault="004112C5" w:rsidP="004112C5">
      <w:pPr>
        <w:pStyle w:val="Odstavecseseznamem"/>
      </w:pPr>
    </w:p>
    <w:p w:rsidR="00F10698" w:rsidRPr="00F10698" w:rsidRDefault="00F10698" w:rsidP="00B53445">
      <w:pPr>
        <w:spacing w:line="360" w:lineRule="auto"/>
        <w:jc w:val="both"/>
        <w:rPr>
          <w:rFonts w:ascii="Times New Roman" w:hAnsi="Times New Roman" w:cs="Times New Roman"/>
          <w:sz w:val="24"/>
        </w:rPr>
      </w:pPr>
      <w:r>
        <w:rPr>
          <w:rFonts w:ascii="Times New Roman" w:hAnsi="Times New Roman" w:cs="Times New Roman"/>
          <w:b/>
          <w:sz w:val="24"/>
        </w:rPr>
        <w:tab/>
      </w:r>
      <w:r w:rsidR="00FA56DF">
        <w:rPr>
          <w:rFonts w:ascii="Times New Roman" w:hAnsi="Times New Roman" w:cs="Times New Roman"/>
          <w:sz w:val="24"/>
        </w:rPr>
        <w:t>Ve středu</w:t>
      </w:r>
      <w:r w:rsidR="00EE38C4">
        <w:rPr>
          <w:rFonts w:ascii="Times New Roman" w:hAnsi="Times New Roman" w:cs="Times New Roman"/>
          <w:sz w:val="24"/>
        </w:rPr>
        <w:t xml:space="preserve"> zájmu </w:t>
      </w:r>
      <w:r w:rsidR="00FA56DF">
        <w:rPr>
          <w:rFonts w:ascii="Times New Roman" w:hAnsi="Times New Roman" w:cs="Times New Roman"/>
          <w:sz w:val="24"/>
        </w:rPr>
        <w:t xml:space="preserve">kapitoly </w:t>
      </w:r>
      <w:r w:rsidR="00E13763">
        <w:rPr>
          <w:rFonts w:ascii="Times New Roman" w:hAnsi="Times New Roman" w:cs="Times New Roman"/>
          <w:sz w:val="24"/>
        </w:rPr>
        <w:t>je praktické fungování systému</w:t>
      </w:r>
      <w:r w:rsidR="00E065C2">
        <w:rPr>
          <w:rFonts w:ascii="Times New Roman" w:hAnsi="Times New Roman" w:cs="Times New Roman"/>
          <w:sz w:val="24"/>
        </w:rPr>
        <w:t>.</w:t>
      </w:r>
      <w:r w:rsidR="00583732">
        <w:rPr>
          <w:rFonts w:ascii="Times New Roman" w:hAnsi="Times New Roman" w:cs="Times New Roman"/>
          <w:sz w:val="24"/>
        </w:rPr>
        <w:t xml:space="preserve"> </w:t>
      </w:r>
      <w:r w:rsidR="00D235CF">
        <w:rPr>
          <w:rFonts w:ascii="Times New Roman" w:hAnsi="Times New Roman" w:cs="Times New Roman"/>
          <w:sz w:val="24"/>
        </w:rPr>
        <w:t xml:space="preserve">Nejprve cílíme na </w:t>
      </w:r>
      <w:r w:rsidR="00583732">
        <w:rPr>
          <w:rFonts w:ascii="Times New Roman" w:hAnsi="Times New Roman" w:cs="Times New Roman"/>
          <w:sz w:val="24"/>
        </w:rPr>
        <w:t>odůvodňování náv</w:t>
      </w:r>
      <w:r w:rsidR="00D235CF">
        <w:rPr>
          <w:rFonts w:ascii="Times New Roman" w:hAnsi="Times New Roman" w:cs="Times New Roman"/>
          <w:sz w:val="24"/>
        </w:rPr>
        <w:t>rhů Komisí</w:t>
      </w:r>
      <w:r w:rsidR="00583732">
        <w:rPr>
          <w:rFonts w:ascii="Times New Roman" w:hAnsi="Times New Roman" w:cs="Times New Roman"/>
          <w:sz w:val="24"/>
        </w:rPr>
        <w:t xml:space="preserve">. </w:t>
      </w:r>
      <w:r w:rsidR="00150B60">
        <w:rPr>
          <w:rFonts w:ascii="Times New Roman" w:hAnsi="Times New Roman" w:cs="Times New Roman"/>
          <w:sz w:val="24"/>
        </w:rPr>
        <w:t>Pak se věnujeme</w:t>
      </w:r>
      <w:r w:rsidR="00583732">
        <w:rPr>
          <w:rFonts w:ascii="Times New Roman" w:hAnsi="Times New Roman" w:cs="Times New Roman"/>
          <w:sz w:val="24"/>
        </w:rPr>
        <w:t xml:space="preserve"> </w:t>
      </w:r>
      <w:r w:rsidR="00093567">
        <w:rPr>
          <w:rFonts w:ascii="Times New Roman" w:hAnsi="Times New Roman" w:cs="Times New Roman"/>
          <w:sz w:val="24"/>
        </w:rPr>
        <w:t>rozdílnému přístupu</w:t>
      </w:r>
      <w:r w:rsidR="00150B60">
        <w:rPr>
          <w:rFonts w:ascii="Times New Roman" w:hAnsi="Times New Roman" w:cs="Times New Roman"/>
          <w:sz w:val="24"/>
        </w:rPr>
        <w:t xml:space="preserve"> parlamentů a</w:t>
      </w:r>
      <w:r w:rsidR="00093567">
        <w:rPr>
          <w:rFonts w:ascii="Times New Roman" w:hAnsi="Times New Roman" w:cs="Times New Roman"/>
          <w:sz w:val="24"/>
        </w:rPr>
        <w:t xml:space="preserve"> Komise</w:t>
      </w:r>
      <w:r w:rsidR="0030242C">
        <w:rPr>
          <w:rFonts w:ascii="Times New Roman" w:hAnsi="Times New Roman" w:cs="Times New Roman"/>
          <w:sz w:val="24"/>
        </w:rPr>
        <w:t xml:space="preserve"> k odůvodněným stanoviskům</w:t>
      </w:r>
      <w:r w:rsidR="00093567">
        <w:rPr>
          <w:rFonts w:ascii="Times New Roman" w:hAnsi="Times New Roman" w:cs="Times New Roman"/>
          <w:sz w:val="24"/>
        </w:rPr>
        <w:t>.</w:t>
      </w:r>
      <w:r w:rsidR="00583732">
        <w:rPr>
          <w:rFonts w:ascii="Times New Roman" w:hAnsi="Times New Roman" w:cs="Times New Roman"/>
          <w:sz w:val="24"/>
        </w:rPr>
        <w:t xml:space="preserve"> </w:t>
      </w:r>
      <w:r w:rsidR="00D63885">
        <w:rPr>
          <w:rFonts w:ascii="Times New Roman" w:hAnsi="Times New Roman" w:cs="Times New Roman"/>
          <w:sz w:val="24"/>
        </w:rPr>
        <w:t xml:space="preserve">Zabýváme se </w:t>
      </w:r>
      <w:r w:rsidR="00D07FB0">
        <w:rPr>
          <w:rFonts w:ascii="Times New Roman" w:hAnsi="Times New Roman" w:cs="Times New Roman"/>
          <w:sz w:val="24"/>
        </w:rPr>
        <w:t xml:space="preserve">také </w:t>
      </w:r>
      <w:r w:rsidR="00CF26AE">
        <w:rPr>
          <w:rFonts w:ascii="Times New Roman" w:hAnsi="Times New Roman" w:cs="Times New Roman"/>
          <w:sz w:val="24"/>
        </w:rPr>
        <w:t>počty stanovisek</w:t>
      </w:r>
      <w:r w:rsidR="00D63885">
        <w:rPr>
          <w:rFonts w:ascii="Times New Roman" w:hAnsi="Times New Roman" w:cs="Times New Roman"/>
          <w:sz w:val="24"/>
        </w:rPr>
        <w:t xml:space="preserve">. </w:t>
      </w:r>
      <w:r w:rsidR="00443847">
        <w:rPr>
          <w:rFonts w:ascii="Times New Roman" w:hAnsi="Times New Roman" w:cs="Times New Roman"/>
          <w:sz w:val="24"/>
        </w:rPr>
        <w:t>Přibližujeme reakce</w:t>
      </w:r>
      <w:r w:rsidR="00583732">
        <w:rPr>
          <w:rFonts w:ascii="Times New Roman" w:hAnsi="Times New Roman" w:cs="Times New Roman"/>
          <w:sz w:val="24"/>
        </w:rPr>
        <w:t xml:space="preserve"> Komise</w:t>
      </w:r>
      <w:r w:rsidR="00EE073E">
        <w:rPr>
          <w:rFonts w:ascii="Times New Roman" w:hAnsi="Times New Roman" w:cs="Times New Roman"/>
          <w:sz w:val="24"/>
        </w:rPr>
        <w:t xml:space="preserve"> a dopad</w:t>
      </w:r>
      <w:r w:rsidR="00443847">
        <w:rPr>
          <w:rFonts w:ascii="Times New Roman" w:hAnsi="Times New Roman" w:cs="Times New Roman"/>
          <w:sz w:val="24"/>
        </w:rPr>
        <w:t xml:space="preserve"> na osud návrhu, respektive legislativního procesu</w:t>
      </w:r>
      <w:r w:rsidR="00583732">
        <w:rPr>
          <w:rFonts w:ascii="Times New Roman" w:hAnsi="Times New Roman" w:cs="Times New Roman"/>
          <w:sz w:val="24"/>
        </w:rPr>
        <w:t xml:space="preserve">. Prostor je dán i procesním mechanismům </w:t>
      </w:r>
      <w:r w:rsidR="00DA4885">
        <w:rPr>
          <w:rFonts w:ascii="Times New Roman" w:hAnsi="Times New Roman" w:cs="Times New Roman"/>
          <w:sz w:val="24"/>
        </w:rPr>
        <w:t xml:space="preserve">používaným </w:t>
      </w:r>
      <w:r w:rsidR="00583732">
        <w:rPr>
          <w:rFonts w:ascii="Times New Roman" w:hAnsi="Times New Roman" w:cs="Times New Roman"/>
          <w:sz w:val="24"/>
        </w:rPr>
        <w:t>v rámci parlamentů.</w:t>
      </w:r>
    </w:p>
    <w:p w:rsidR="00B53445" w:rsidRDefault="00B53445" w:rsidP="004112C5">
      <w:pPr>
        <w:pStyle w:val="Nadpis2"/>
        <w:numPr>
          <w:ilvl w:val="1"/>
          <w:numId w:val="3"/>
        </w:numPr>
      </w:pPr>
      <w:bookmarkStart w:id="25" w:name="_Toc478235171"/>
      <w:r w:rsidRPr="00B0583B">
        <w:t>Komise a odůvodňování návrhů z hlediska zásady subsidiarity</w:t>
      </w:r>
      <w:bookmarkEnd w:id="25"/>
    </w:p>
    <w:p w:rsidR="004112C5" w:rsidRPr="004112C5" w:rsidRDefault="004112C5" w:rsidP="004112C5">
      <w:pPr>
        <w:pStyle w:val="Odstavecseseznamem"/>
        <w:ind w:left="780"/>
      </w:pPr>
    </w:p>
    <w:p w:rsidR="00B53445" w:rsidRPr="00B0583B" w:rsidRDefault="00B53445" w:rsidP="00E80AA6">
      <w:pPr>
        <w:spacing w:after="0" w:line="360" w:lineRule="auto"/>
        <w:ind w:firstLine="708"/>
        <w:jc w:val="both"/>
        <w:rPr>
          <w:rFonts w:ascii="Times New Roman" w:hAnsi="Times New Roman" w:cs="Times New Roman"/>
          <w:sz w:val="24"/>
        </w:rPr>
      </w:pPr>
      <w:r w:rsidRPr="00B0583B">
        <w:rPr>
          <w:rFonts w:ascii="Times New Roman" w:hAnsi="Times New Roman" w:cs="Times New Roman"/>
          <w:i/>
          <w:sz w:val="24"/>
        </w:rPr>
        <w:t>„Návrhy legislativních aktů se odůvodňují s ohledem na zásady subsidiarity a proporcionality. Každý návrh legislativního aktu by měl obsahovat zevrubnou informaci umožňující posoudit soulad se zásadami subsidiarity a proporcionality.“</w:t>
      </w:r>
      <w:r w:rsidRPr="00B0583B">
        <w:rPr>
          <w:rStyle w:val="Znakapoznpodarou"/>
          <w:rFonts w:ascii="Times New Roman" w:hAnsi="Times New Roman" w:cs="Times New Roman"/>
          <w:i/>
          <w:sz w:val="24"/>
        </w:rPr>
        <w:footnoteReference w:id="180"/>
      </w:r>
      <w:r w:rsidR="007A0062">
        <w:rPr>
          <w:rFonts w:ascii="Times New Roman" w:hAnsi="Times New Roman" w:cs="Times New Roman"/>
          <w:sz w:val="24"/>
        </w:rPr>
        <w:t xml:space="preserve"> </w:t>
      </w:r>
    </w:p>
    <w:p w:rsidR="00B53445" w:rsidRPr="00B0583B" w:rsidRDefault="00B53445" w:rsidP="00E80AA6">
      <w:pPr>
        <w:spacing w:after="0" w:line="360" w:lineRule="auto"/>
        <w:ind w:firstLine="708"/>
        <w:jc w:val="both"/>
        <w:rPr>
          <w:rFonts w:ascii="Times New Roman" w:hAnsi="Times New Roman" w:cs="Times New Roman"/>
          <w:sz w:val="24"/>
        </w:rPr>
      </w:pPr>
      <w:r w:rsidRPr="00B0583B">
        <w:rPr>
          <w:rFonts w:ascii="Times New Roman" w:hAnsi="Times New Roman" w:cs="Times New Roman"/>
          <w:sz w:val="24"/>
        </w:rPr>
        <w:t>Od</w:t>
      </w:r>
      <w:r w:rsidR="008E1E3E">
        <w:rPr>
          <w:rFonts w:ascii="Times New Roman" w:hAnsi="Times New Roman" w:cs="Times New Roman"/>
          <w:sz w:val="24"/>
        </w:rPr>
        <w:t>ůvodňováním návrhů z hlediska zásady subsidiarity</w:t>
      </w:r>
      <w:r w:rsidRPr="00B0583B">
        <w:rPr>
          <w:rFonts w:ascii="Times New Roman" w:hAnsi="Times New Roman" w:cs="Times New Roman"/>
          <w:sz w:val="24"/>
        </w:rPr>
        <w:t xml:space="preserve"> je třeba se z</w:t>
      </w:r>
      <w:r w:rsidR="00EC6332">
        <w:rPr>
          <w:rFonts w:ascii="Times New Roman" w:hAnsi="Times New Roman" w:cs="Times New Roman"/>
          <w:sz w:val="24"/>
        </w:rPr>
        <w:t>abývat. Jde o důležitou část systému včasného varování</w:t>
      </w:r>
      <w:r w:rsidRPr="00B0583B">
        <w:rPr>
          <w:rFonts w:ascii="Times New Roman" w:hAnsi="Times New Roman" w:cs="Times New Roman"/>
          <w:sz w:val="24"/>
        </w:rPr>
        <w:t xml:space="preserve">. </w:t>
      </w:r>
      <w:proofErr w:type="spellStart"/>
      <w:r w:rsidRPr="00B0583B">
        <w:rPr>
          <w:rFonts w:ascii="Times New Roman" w:hAnsi="Times New Roman" w:cs="Times New Roman"/>
          <w:sz w:val="24"/>
        </w:rPr>
        <w:t>Kiiver</w:t>
      </w:r>
      <w:proofErr w:type="spellEnd"/>
      <w:r w:rsidR="00EC6332">
        <w:rPr>
          <w:rFonts w:ascii="Times New Roman" w:hAnsi="Times New Roman" w:cs="Times New Roman"/>
          <w:sz w:val="24"/>
        </w:rPr>
        <w:t xml:space="preserve"> dokonce uvádí, že podstatou systému</w:t>
      </w:r>
      <w:r w:rsidRPr="00B0583B">
        <w:rPr>
          <w:rFonts w:ascii="Times New Roman" w:hAnsi="Times New Roman" w:cs="Times New Roman"/>
          <w:sz w:val="24"/>
        </w:rPr>
        <w:t xml:space="preserve"> je právě povinnost </w:t>
      </w:r>
      <w:r w:rsidR="00CF3380">
        <w:rPr>
          <w:rFonts w:ascii="Times New Roman" w:hAnsi="Times New Roman" w:cs="Times New Roman"/>
          <w:sz w:val="24"/>
        </w:rPr>
        <w:t>„</w:t>
      </w:r>
      <w:r w:rsidRPr="00B0583B">
        <w:rPr>
          <w:rFonts w:ascii="Times New Roman" w:hAnsi="Times New Roman" w:cs="Times New Roman"/>
          <w:sz w:val="24"/>
        </w:rPr>
        <w:t>Bruselu</w:t>
      </w:r>
      <w:r w:rsidR="00CF3380">
        <w:rPr>
          <w:rFonts w:ascii="Times New Roman" w:hAnsi="Times New Roman" w:cs="Times New Roman"/>
          <w:sz w:val="24"/>
        </w:rPr>
        <w:t>“</w:t>
      </w:r>
      <w:r w:rsidRPr="00B0583B">
        <w:rPr>
          <w:rFonts w:ascii="Times New Roman" w:hAnsi="Times New Roman" w:cs="Times New Roman"/>
          <w:sz w:val="24"/>
        </w:rPr>
        <w:t xml:space="preserve"> vysvětlit a odůvodnit to, co je navrhováno.</w:t>
      </w:r>
      <w:r w:rsidRPr="00B0583B">
        <w:rPr>
          <w:rStyle w:val="Znakapoznpodarou"/>
          <w:rFonts w:ascii="Times New Roman" w:hAnsi="Times New Roman" w:cs="Times New Roman"/>
          <w:sz w:val="24"/>
        </w:rPr>
        <w:footnoteReference w:id="181"/>
      </w:r>
      <w:r w:rsidRPr="00B0583B">
        <w:rPr>
          <w:rFonts w:ascii="Times New Roman" w:hAnsi="Times New Roman" w:cs="Times New Roman"/>
          <w:sz w:val="24"/>
        </w:rPr>
        <w:t xml:space="preserve"> Opět se zaměřme na Komisi.</w:t>
      </w:r>
      <w:r w:rsidR="0039060C" w:rsidRPr="00B0583B">
        <w:rPr>
          <w:rFonts w:ascii="Times New Roman" w:hAnsi="Times New Roman" w:cs="Times New Roman"/>
          <w:sz w:val="24"/>
        </w:rPr>
        <w:t xml:space="preserve"> </w:t>
      </w:r>
      <w:r w:rsidRPr="00B0583B">
        <w:rPr>
          <w:rFonts w:ascii="Times New Roman" w:hAnsi="Times New Roman" w:cs="Times New Roman"/>
          <w:sz w:val="24"/>
        </w:rPr>
        <w:t>Její povinnost odůvod</w:t>
      </w:r>
      <w:r>
        <w:rPr>
          <w:rFonts w:ascii="Times New Roman" w:hAnsi="Times New Roman" w:cs="Times New Roman"/>
          <w:sz w:val="24"/>
        </w:rPr>
        <w:t>ňovat návrhy</w:t>
      </w:r>
      <w:r w:rsidR="00740E09">
        <w:rPr>
          <w:rFonts w:ascii="Times New Roman" w:hAnsi="Times New Roman" w:cs="Times New Roman"/>
          <w:sz w:val="24"/>
        </w:rPr>
        <w:t xml:space="preserve"> s ohledem na zásadu subsidiarity</w:t>
      </w:r>
      <w:r w:rsidRPr="00B0583B">
        <w:rPr>
          <w:rFonts w:ascii="Times New Roman" w:hAnsi="Times New Roman" w:cs="Times New Roman"/>
          <w:sz w:val="24"/>
        </w:rPr>
        <w:t xml:space="preserve"> jasně plyne přímo z primárního práva. Navíc je t</w:t>
      </w:r>
      <w:r>
        <w:rPr>
          <w:rFonts w:ascii="Times New Roman" w:hAnsi="Times New Roman" w:cs="Times New Roman"/>
          <w:sz w:val="24"/>
        </w:rPr>
        <w:t>ento závazek zařazen</w:t>
      </w:r>
      <w:r w:rsidRPr="00B0583B">
        <w:rPr>
          <w:rFonts w:ascii="Times New Roman" w:hAnsi="Times New Roman" w:cs="Times New Roman"/>
          <w:sz w:val="24"/>
        </w:rPr>
        <w:t xml:space="preserve"> i v interinstitucionální dohodě o zdokonalení tvorby právních předpisů.</w:t>
      </w:r>
      <w:r w:rsidRPr="00B0583B">
        <w:rPr>
          <w:rStyle w:val="Znakapoznpodarou"/>
          <w:rFonts w:ascii="Times New Roman" w:hAnsi="Times New Roman" w:cs="Times New Roman"/>
          <w:sz w:val="24"/>
        </w:rPr>
        <w:footnoteReference w:id="182"/>
      </w:r>
      <w:r w:rsidRPr="00B0583B">
        <w:rPr>
          <w:rFonts w:ascii="Times New Roman" w:hAnsi="Times New Roman" w:cs="Times New Roman"/>
          <w:sz w:val="24"/>
        </w:rPr>
        <w:t xml:space="preserve"> Sama Komise pak věnuje </w:t>
      </w:r>
      <w:r w:rsidR="005E1DD0">
        <w:rPr>
          <w:rFonts w:ascii="Times New Roman" w:hAnsi="Times New Roman" w:cs="Times New Roman"/>
          <w:sz w:val="24"/>
        </w:rPr>
        <w:t xml:space="preserve">této </w:t>
      </w:r>
      <w:r w:rsidRPr="00B0583B">
        <w:rPr>
          <w:rFonts w:ascii="Times New Roman" w:hAnsi="Times New Roman" w:cs="Times New Roman"/>
          <w:sz w:val="24"/>
        </w:rPr>
        <w:t>problemati</w:t>
      </w:r>
      <w:r>
        <w:rPr>
          <w:rFonts w:ascii="Times New Roman" w:hAnsi="Times New Roman" w:cs="Times New Roman"/>
          <w:sz w:val="24"/>
        </w:rPr>
        <w:t xml:space="preserve">ce </w:t>
      </w:r>
      <w:r w:rsidRPr="00B0583B">
        <w:rPr>
          <w:rFonts w:ascii="Times New Roman" w:hAnsi="Times New Roman" w:cs="Times New Roman"/>
          <w:sz w:val="24"/>
        </w:rPr>
        <w:t>prostor i ve svých obecných pracovních dokumentech</w:t>
      </w:r>
      <w:r w:rsidR="00F61CAF">
        <w:rPr>
          <w:rFonts w:ascii="Times New Roman" w:hAnsi="Times New Roman" w:cs="Times New Roman"/>
          <w:sz w:val="24"/>
        </w:rPr>
        <w:t>. Vhodné je nahlédnout do pracovního dokumentu</w:t>
      </w:r>
      <w:r w:rsidR="00357F26">
        <w:rPr>
          <w:rFonts w:ascii="Times New Roman" w:hAnsi="Times New Roman" w:cs="Times New Roman"/>
          <w:sz w:val="24"/>
        </w:rPr>
        <w:t xml:space="preserve"> Komise</w:t>
      </w:r>
      <w:r w:rsidRPr="00B0583B">
        <w:rPr>
          <w:rFonts w:ascii="Times New Roman" w:hAnsi="Times New Roman" w:cs="Times New Roman"/>
          <w:sz w:val="24"/>
        </w:rPr>
        <w:t xml:space="preserve"> ke zlepšování právní úpravy</w:t>
      </w:r>
      <w:r w:rsidR="00983117">
        <w:rPr>
          <w:rFonts w:ascii="Times New Roman" w:hAnsi="Times New Roman" w:cs="Times New Roman"/>
          <w:sz w:val="24"/>
        </w:rPr>
        <w:t>,</w:t>
      </w:r>
      <w:r w:rsidRPr="00B0583B">
        <w:rPr>
          <w:rStyle w:val="Znakapoznpodarou"/>
          <w:rFonts w:ascii="Times New Roman" w:hAnsi="Times New Roman" w:cs="Times New Roman"/>
          <w:sz w:val="24"/>
        </w:rPr>
        <w:footnoteReference w:id="183"/>
      </w:r>
      <w:r w:rsidR="00B253B6">
        <w:rPr>
          <w:rFonts w:ascii="Times New Roman" w:hAnsi="Times New Roman" w:cs="Times New Roman"/>
          <w:sz w:val="24"/>
        </w:rPr>
        <w:t xml:space="preserve"> když subsidiaritě</w:t>
      </w:r>
      <w:r w:rsidRPr="00B0583B">
        <w:rPr>
          <w:rFonts w:ascii="Times New Roman" w:hAnsi="Times New Roman" w:cs="Times New Roman"/>
          <w:sz w:val="24"/>
        </w:rPr>
        <w:t xml:space="preserve"> se věnuje </w:t>
      </w:r>
      <w:r w:rsidR="00086D89">
        <w:rPr>
          <w:rFonts w:ascii="Times New Roman" w:hAnsi="Times New Roman" w:cs="Times New Roman"/>
          <w:sz w:val="24"/>
        </w:rPr>
        <w:t>především kapitola</w:t>
      </w:r>
      <w:r w:rsidRPr="00B0583B">
        <w:rPr>
          <w:rFonts w:ascii="Times New Roman" w:hAnsi="Times New Roman" w:cs="Times New Roman"/>
          <w:sz w:val="24"/>
        </w:rPr>
        <w:t xml:space="preserve"> k posouzení dopadů. Konkrétní posouzení dopa</w:t>
      </w:r>
      <w:r>
        <w:rPr>
          <w:rFonts w:ascii="Times New Roman" w:hAnsi="Times New Roman" w:cs="Times New Roman"/>
          <w:sz w:val="24"/>
        </w:rPr>
        <w:t>dů, je-li pro návrh</w:t>
      </w:r>
      <w:r w:rsidRPr="00B0583B">
        <w:rPr>
          <w:rFonts w:ascii="Times New Roman" w:hAnsi="Times New Roman" w:cs="Times New Roman"/>
          <w:sz w:val="24"/>
        </w:rPr>
        <w:t xml:space="preserve"> vypracováno, je nutno zkoumat. </w:t>
      </w:r>
      <w:r>
        <w:rPr>
          <w:rFonts w:ascii="Times New Roman" w:hAnsi="Times New Roman" w:cs="Times New Roman"/>
          <w:sz w:val="24"/>
        </w:rPr>
        <w:t>Právě tento dokument může</w:t>
      </w:r>
      <w:r w:rsidRPr="00B0583B">
        <w:rPr>
          <w:rFonts w:ascii="Times New Roman" w:hAnsi="Times New Roman" w:cs="Times New Roman"/>
          <w:sz w:val="24"/>
        </w:rPr>
        <w:t xml:space="preserve"> obsahovat zásadní argum</w:t>
      </w:r>
      <w:r w:rsidR="00A25860">
        <w:rPr>
          <w:rFonts w:ascii="Times New Roman" w:hAnsi="Times New Roman" w:cs="Times New Roman"/>
          <w:sz w:val="24"/>
        </w:rPr>
        <w:t>enty pro posouzení souladu se zásadou subsidiarity</w:t>
      </w:r>
      <w:r w:rsidR="00D73C7E">
        <w:rPr>
          <w:rFonts w:ascii="Times New Roman" w:hAnsi="Times New Roman" w:cs="Times New Roman"/>
          <w:sz w:val="24"/>
        </w:rPr>
        <w:t xml:space="preserve">. </w:t>
      </w:r>
      <w:r w:rsidRPr="00B0583B">
        <w:rPr>
          <w:rFonts w:ascii="Times New Roman" w:hAnsi="Times New Roman" w:cs="Times New Roman"/>
          <w:sz w:val="24"/>
        </w:rPr>
        <w:t>Komise plní svou povinnost odůvodnění nejen v důvodových zprávách návrhů či jejich preambulích, ale i ve zmíněných průvodních či podpůrných dokumentech.</w:t>
      </w:r>
      <w:r w:rsidRPr="00B0583B">
        <w:rPr>
          <w:rStyle w:val="Znakapoznpodarou"/>
          <w:rFonts w:ascii="Times New Roman" w:hAnsi="Times New Roman" w:cs="Times New Roman"/>
          <w:sz w:val="24"/>
        </w:rPr>
        <w:footnoteReference w:id="184"/>
      </w:r>
      <w:r w:rsidRPr="00B0583B">
        <w:rPr>
          <w:rFonts w:ascii="Times New Roman" w:hAnsi="Times New Roman" w:cs="Times New Roman"/>
          <w:sz w:val="24"/>
        </w:rPr>
        <w:t xml:space="preserve"> </w:t>
      </w:r>
    </w:p>
    <w:p w:rsidR="00700D57" w:rsidRDefault="00B53445" w:rsidP="00700D57">
      <w:pPr>
        <w:spacing w:line="360" w:lineRule="auto"/>
        <w:ind w:firstLine="708"/>
        <w:jc w:val="both"/>
        <w:rPr>
          <w:rFonts w:ascii="Times New Roman" w:hAnsi="Times New Roman" w:cs="Times New Roman"/>
          <w:sz w:val="24"/>
        </w:rPr>
      </w:pPr>
      <w:r w:rsidRPr="00B0583B">
        <w:rPr>
          <w:rFonts w:ascii="Times New Roman" w:hAnsi="Times New Roman" w:cs="Times New Roman"/>
          <w:sz w:val="24"/>
        </w:rPr>
        <w:lastRenderedPageBreak/>
        <w:t>Způsob, jakým Komise odůvodňování</w:t>
      </w:r>
      <w:r>
        <w:rPr>
          <w:rFonts w:ascii="Times New Roman" w:hAnsi="Times New Roman" w:cs="Times New Roman"/>
          <w:sz w:val="24"/>
        </w:rPr>
        <w:t xml:space="preserve"> provádí, je předmětem</w:t>
      </w:r>
      <w:r w:rsidRPr="00B0583B">
        <w:rPr>
          <w:rFonts w:ascii="Times New Roman" w:hAnsi="Times New Roman" w:cs="Times New Roman"/>
          <w:sz w:val="24"/>
        </w:rPr>
        <w:t xml:space="preserve"> časté kritiky odborné veřejnosti i parlamentů. </w:t>
      </w:r>
      <w:r w:rsidRPr="00B0583B">
        <w:rPr>
          <w:rFonts w:ascii="Times New Roman" w:hAnsi="Times New Roman" w:cs="Times New Roman"/>
          <w:i/>
          <w:sz w:val="24"/>
        </w:rPr>
        <w:t>„Komise často nepředloží podrobnou srovnávací analýzu a uvede velmi vágní argumenty, proč je jednání EU výhodnější.“</w:t>
      </w:r>
      <w:r w:rsidRPr="00B0583B">
        <w:rPr>
          <w:rStyle w:val="Znakapoznpodarou"/>
          <w:rFonts w:ascii="Times New Roman" w:hAnsi="Times New Roman" w:cs="Times New Roman"/>
          <w:i/>
          <w:sz w:val="24"/>
        </w:rPr>
        <w:footnoteReference w:id="185"/>
      </w:r>
      <w:r w:rsidR="00C308EF">
        <w:rPr>
          <w:rFonts w:ascii="Times New Roman" w:hAnsi="Times New Roman" w:cs="Times New Roman"/>
          <w:sz w:val="24"/>
        </w:rPr>
        <w:t xml:space="preserve"> Lze</w:t>
      </w:r>
      <w:r w:rsidRPr="00B0583B">
        <w:rPr>
          <w:rFonts w:ascii="Times New Roman" w:hAnsi="Times New Roman" w:cs="Times New Roman"/>
          <w:sz w:val="24"/>
        </w:rPr>
        <w:t xml:space="preserve"> říci, že Komise v tomto ohledu navazuje na neurčité znění principu. Máme ovšem</w:t>
      </w:r>
      <w:r>
        <w:rPr>
          <w:rFonts w:ascii="Times New Roman" w:hAnsi="Times New Roman" w:cs="Times New Roman"/>
          <w:sz w:val="24"/>
        </w:rPr>
        <w:t xml:space="preserve"> za to, že obecné znění</w:t>
      </w:r>
      <w:r w:rsidRPr="00B0583B">
        <w:rPr>
          <w:rFonts w:ascii="Times New Roman" w:hAnsi="Times New Roman" w:cs="Times New Roman"/>
          <w:sz w:val="24"/>
        </w:rPr>
        <w:t xml:space="preserve"> nevylučuje možnost provedení detailních analýz týkajících se specifických oblastí</w:t>
      </w:r>
      <w:r>
        <w:rPr>
          <w:rFonts w:ascii="Times New Roman" w:hAnsi="Times New Roman" w:cs="Times New Roman"/>
          <w:sz w:val="24"/>
        </w:rPr>
        <w:t>. T</w:t>
      </w:r>
      <w:r w:rsidRPr="00B0583B">
        <w:rPr>
          <w:rFonts w:ascii="Times New Roman" w:hAnsi="Times New Roman" w:cs="Times New Roman"/>
          <w:sz w:val="24"/>
        </w:rPr>
        <w:t>udíž tam, kde tak Komise nečiní, jde o její volbu, nikoli nemožnost propracovan</w:t>
      </w:r>
      <w:r w:rsidR="00DD132A">
        <w:rPr>
          <w:rFonts w:ascii="Times New Roman" w:hAnsi="Times New Roman" w:cs="Times New Roman"/>
          <w:sz w:val="24"/>
        </w:rPr>
        <w:t>ějšího uchopení. Výjimkou</w:t>
      </w:r>
      <w:r w:rsidRPr="00B0583B">
        <w:rPr>
          <w:rFonts w:ascii="Times New Roman" w:hAnsi="Times New Roman" w:cs="Times New Roman"/>
          <w:sz w:val="24"/>
        </w:rPr>
        <w:t xml:space="preserve"> nejsou případy, kdy je v odůvodnění pouze ci</w:t>
      </w:r>
      <w:r w:rsidR="007F6045">
        <w:rPr>
          <w:rFonts w:ascii="Times New Roman" w:hAnsi="Times New Roman" w:cs="Times New Roman"/>
          <w:sz w:val="24"/>
        </w:rPr>
        <w:t>továno či parafrázováno znění zásady subsidiarity</w:t>
      </w:r>
      <w:r w:rsidRPr="00B0583B">
        <w:rPr>
          <w:rFonts w:ascii="Times New Roman" w:hAnsi="Times New Roman" w:cs="Times New Roman"/>
          <w:sz w:val="24"/>
        </w:rPr>
        <w:t xml:space="preserve"> v čl. 5 odst. 3 SEU.</w:t>
      </w:r>
      <w:r w:rsidRPr="00B0583B">
        <w:rPr>
          <w:rStyle w:val="Znakapoznpodarou"/>
          <w:rFonts w:ascii="Times New Roman" w:hAnsi="Times New Roman" w:cs="Times New Roman"/>
          <w:sz w:val="24"/>
        </w:rPr>
        <w:footnoteReference w:id="186"/>
      </w:r>
      <w:r w:rsidRPr="00B0583B">
        <w:rPr>
          <w:rFonts w:ascii="Times New Roman" w:hAnsi="Times New Roman" w:cs="Times New Roman"/>
          <w:sz w:val="24"/>
        </w:rPr>
        <w:t xml:space="preserve"> Ze</w:t>
      </w:r>
      <w:r w:rsidR="00B1179B">
        <w:rPr>
          <w:rFonts w:ascii="Times New Roman" w:hAnsi="Times New Roman" w:cs="Times New Roman"/>
          <w:sz w:val="24"/>
        </w:rPr>
        <w:t xml:space="preserve"> strany parlamentů pak mj.</w:t>
      </w:r>
      <w:r w:rsidRPr="00B0583B">
        <w:rPr>
          <w:rFonts w:ascii="Times New Roman" w:hAnsi="Times New Roman" w:cs="Times New Roman"/>
          <w:sz w:val="24"/>
        </w:rPr>
        <w:t xml:space="preserve"> zaznělo, že pro přílišnou obecnost odůvodnění nejs</w:t>
      </w:r>
      <w:r w:rsidR="00D93D2E">
        <w:rPr>
          <w:rFonts w:ascii="Times New Roman" w:hAnsi="Times New Roman" w:cs="Times New Roman"/>
          <w:sz w:val="24"/>
        </w:rPr>
        <w:t>ou schopny posoudit soulad se zásadou subsidiarity</w:t>
      </w:r>
      <w:r w:rsidR="00B1179B">
        <w:rPr>
          <w:rFonts w:ascii="Times New Roman" w:hAnsi="Times New Roman" w:cs="Times New Roman"/>
          <w:sz w:val="24"/>
        </w:rPr>
        <w:t>.</w:t>
      </w:r>
      <w:r w:rsidRPr="00B0583B">
        <w:rPr>
          <w:rStyle w:val="Znakapoznpodarou"/>
          <w:rFonts w:ascii="Times New Roman" w:hAnsi="Times New Roman" w:cs="Times New Roman"/>
          <w:sz w:val="24"/>
        </w:rPr>
        <w:footnoteReference w:id="187"/>
      </w:r>
      <w:r w:rsidR="00B1179B">
        <w:rPr>
          <w:rFonts w:ascii="Times New Roman" w:hAnsi="Times New Roman" w:cs="Times New Roman"/>
          <w:sz w:val="24"/>
        </w:rPr>
        <w:t xml:space="preserve"> Dále obecně namítaly,</w:t>
      </w:r>
      <w:r w:rsidRPr="00B0583B">
        <w:rPr>
          <w:rFonts w:ascii="Times New Roman" w:hAnsi="Times New Roman" w:cs="Times New Roman"/>
          <w:sz w:val="24"/>
        </w:rPr>
        <w:t xml:space="preserve"> že povinnost odůvodňovat není ze strany Komise důsledně plněna</w:t>
      </w:r>
      <w:r w:rsidR="000411C2">
        <w:rPr>
          <w:rFonts w:ascii="Times New Roman" w:hAnsi="Times New Roman" w:cs="Times New Roman"/>
          <w:sz w:val="24"/>
        </w:rPr>
        <w:t>.</w:t>
      </w:r>
      <w:r w:rsidRPr="00B0583B">
        <w:rPr>
          <w:rStyle w:val="Znakapoznpodarou"/>
          <w:rFonts w:ascii="Times New Roman" w:hAnsi="Times New Roman" w:cs="Times New Roman"/>
          <w:sz w:val="24"/>
        </w:rPr>
        <w:footnoteReference w:id="188"/>
      </w:r>
      <w:r w:rsidR="004167DC">
        <w:rPr>
          <w:rFonts w:ascii="Times New Roman" w:hAnsi="Times New Roman" w:cs="Times New Roman"/>
          <w:sz w:val="24"/>
        </w:rPr>
        <w:t xml:space="preserve"> Dále by dle parlamentů odůvodnění</w:t>
      </w:r>
      <w:r w:rsidRPr="00B0583B">
        <w:rPr>
          <w:rFonts w:ascii="Times New Roman" w:hAnsi="Times New Roman" w:cs="Times New Roman"/>
          <w:sz w:val="24"/>
        </w:rPr>
        <w:t xml:space="preserve"> nemělo být omezeno na jeden či několik málo argumentů potřeby konat na úrovni EU.</w:t>
      </w:r>
      <w:r w:rsidRPr="00B0583B">
        <w:rPr>
          <w:rStyle w:val="Znakapoznpodarou"/>
          <w:rFonts w:ascii="Times New Roman" w:hAnsi="Times New Roman" w:cs="Times New Roman"/>
          <w:sz w:val="24"/>
        </w:rPr>
        <w:footnoteReference w:id="189"/>
      </w:r>
      <w:r w:rsidRPr="00B0583B">
        <w:rPr>
          <w:rFonts w:ascii="Times New Roman" w:hAnsi="Times New Roman" w:cs="Times New Roman"/>
          <w:sz w:val="24"/>
        </w:rPr>
        <w:t xml:space="preserve"> Navzdory kritice ale také uveďme, že neuspokojivé odůvodnění Komise automaticky neznamená, </w:t>
      </w:r>
      <w:r w:rsidR="00665A60">
        <w:rPr>
          <w:rFonts w:ascii="Times New Roman" w:hAnsi="Times New Roman" w:cs="Times New Roman"/>
          <w:sz w:val="24"/>
        </w:rPr>
        <w:t>že je daný návrh v rozporu se zásadou subsidiarity</w:t>
      </w:r>
      <w:r w:rsidRPr="00B0583B">
        <w:rPr>
          <w:rFonts w:ascii="Times New Roman" w:hAnsi="Times New Roman" w:cs="Times New Roman"/>
          <w:sz w:val="24"/>
        </w:rPr>
        <w:t>.</w:t>
      </w:r>
      <w:r w:rsidRPr="00B0583B">
        <w:rPr>
          <w:rStyle w:val="Znakapoznpodarou"/>
          <w:rFonts w:ascii="Times New Roman" w:hAnsi="Times New Roman" w:cs="Times New Roman"/>
          <w:sz w:val="24"/>
        </w:rPr>
        <w:footnoteReference w:id="190"/>
      </w:r>
      <w:r w:rsidR="00116DBA">
        <w:rPr>
          <w:rFonts w:ascii="Times New Roman" w:hAnsi="Times New Roman" w:cs="Times New Roman"/>
          <w:sz w:val="24"/>
        </w:rPr>
        <w:t xml:space="preserve"> Dokonce</w:t>
      </w:r>
      <w:r w:rsidRPr="00B0583B">
        <w:rPr>
          <w:rFonts w:ascii="Times New Roman" w:hAnsi="Times New Roman" w:cs="Times New Roman"/>
          <w:sz w:val="24"/>
        </w:rPr>
        <w:t xml:space="preserve"> </w:t>
      </w:r>
      <w:r w:rsidR="003974D5">
        <w:rPr>
          <w:rFonts w:ascii="Times New Roman" w:hAnsi="Times New Roman" w:cs="Times New Roman"/>
          <w:sz w:val="24"/>
        </w:rPr>
        <w:t xml:space="preserve">snad </w:t>
      </w:r>
      <w:r w:rsidRPr="00B0583B">
        <w:rPr>
          <w:rFonts w:ascii="Times New Roman" w:hAnsi="Times New Roman" w:cs="Times New Roman"/>
          <w:sz w:val="24"/>
        </w:rPr>
        <w:t>existuje</w:t>
      </w:r>
      <w:r w:rsidR="00116DBA">
        <w:rPr>
          <w:rFonts w:ascii="Times New Roman" w:hAnsi="Times New Roman" w:cs="Times New Roman"/>
          <w:sz w:val="24"/>
        </w:rPr>
        <w:t xml:space="preserve"> shoda, že většina návrhů</w:t>
      </w:r>
      <w:r w:rsidRPr="00B0583B">
        <w:rPr>
          <w:rFonts w:ascii="Times New Roman" w:hAnsi="Times New Roman" w:cs="Times New Roman"/>
          <w:sz w:val="24"/>
        </w:rPr>
        <w:t>, pomineme-li nedostatk</w:t>
      </w:r>
      <w:r w:rsidR="00586470">
        <w:rPr>
          <w:rFonts w:ascii="Times New Roman" w:hAnsi="Times New Roman" w:cs="Times New Roman"/>
          <w:sz w:val="24"/>
        </w:rPr>
        <w:t>y odůvodnění, je s ní v souladu</w:t>
      </w:r>
      <w:r w:rsidRPr="00B0583B">
        <w:rPr>
          <w:rFonts w:ascii="Times New Roman" w:hAnsi="Times New Roman" w:cs="Times New Roman"/>
          <w:sz w:val="24"/>
        </w:rPr>
        <w:t xml:space="preserve">. Co se týká kvality odůvodňování, lze kvitovat záměr současné Komise předkládat </w:t>
      </w:r>
      <w:r w:rsidRPr="00B0583B">
        <w:rPr>
          <w:rFonts w:ascii="Times New Roman" w:hAnsi="Times New Roman" w:cs="Times New Roman"/>
          <w:i/>
          <w:sz w:val="24"/>
        </w:rPr>
        <w:t>„omezený počet nových iniciativ</w:t>
      </w:r>
      <w:r w:rsidR="00C8177F">
        <w:rPr>
          <w:rFonts w:ascii="Times New Roman" w:hAnsi="Times New Roman" w:cs="Times New Roman"/>
          <w:i/>
          <w:sz w:val="24"/>
        </w:rPr>
        <w:t>.</w:t>
      </w:r>
      <w:r w:rsidRPr="00B0583B">
        <w:rPr>
          <w:rFonts w:ascii="Times New Roman" w:hAnsi="Times New Roman" w:cs="Times New Roman"/>
          <w:i/>
          <w:sz w:val="24"/>
        </w:rPr>
        <w:t>“</w:t>
      </w:r>
      <w:r w:rsidRPr="00B0583B">
        <w:rPr>
          <w:rStyle w:val="Znakapoznpodarou"/>
          <w:rFonts w:ascii="Times New Roman" w:hAnsi="Times New Roman" w:cs="Times New Roman"/>
          <w:i/>
          <w:sz w:val="24"/>
        </w:rPr>
        <w:footnoteReference w:id="191"/>
      </w:r>
      <w:r w:rsidRPr="00B0583B">
        <w:rPr>
          <w:rFonts w:ascii="Times New Roman" w:hAnsi="Times New Roman" w:cs="Times New Roman"/>
          <w:i/>
          <w:sz w:val="24"/>
        </w:rPr>
        <w:t xml:space="preserve"> </w:t>
      </w:r>
      <w:r>
        <w:rPr>
          <w:rFonts w:ascii="Times New Roman" w:hAnsi="Times New Roman" w:cs="Times New Roman"/>
          <w:sz w:val="24"/>
        </w:rPr>
        <w:t>Dle našeho názoru</w:t>
      </w:r>
      <w:r w:rsidRPr="00B0583B">
        <w:rPr>
          <w:rFonts w:ascii="Times New Roman" w:hAnsi="Times New Roman" w:cs="Times New Roman"/>
          <w:sz w:val="24"/>
        </w:rPr>
        <w:t xml:space="preserve"> </w:t>
      </w:r>
      <w:r>
        <w:rPr>
          <w:rFonts w:ascii="Times New Roman" w:hAnsi="Times New Roman" w:cs="Times New Roman"/>
          <w:sz w:val="24"/>
        </w:rPr>
        <w:t>je totiž menší počet návrhů základním předpokladem</w:t>
      </w:r>
      <w:r w:rsidRPr="00B0583B">
        <w:rPr>
          <w:rFonts w:ascii="Times New Roman" w:hAnsi="Times New Roman" w:cs="Times New Roman"/>
          <w:sz w:val="24"/>
        </w:rPr>
        <w:t xml:space="preserve"> ke kvalitnějšímu a hlubšímu odůvodň</w:t>
      </w:r>
      <w:r w:rsidR="009A42DF">
        <w:rPr>
          <w:rFonts w:ascii="Times New Roman" w:hAnsi="Times New Roman" w:cs="Times New Roman"/>
          <w:sz w:val="24"/>
        </w:rPr>
        <w:t>ování návrhů</w:t>
      </w:r>
      <w:r w:rsidRPr="00B0583B">
        <w:rPr>
          <w:rFonts w:ascii="Times New Roman" w:hAnsi="Times New Roman" w:cs="Times New Roman"/>
          <w:sz w:val="24"/>
        </w:rPr>
        <w:t>.</w:t>
      </w:r>
    </w:p>
    <w:p w:rsidR="0037425B" w:rsidRDefault="0037425B" w:rsidP="00700D57">
      <w:pPr>
        <w:spacing w:line="360" w:lineRule="auto"/>
        <w:ind w:firstLine="708"/>
        <w:jc w:val="both"/>
        <w:rPr>
          <w:rFonts w:ascii="Times New Roman" w:hAnsi="Times New Roman" w:cs="Times New Roman"/>
          <w:sz w:val="24"/>
        </w:rPr>
      </w:pPr>
    </w:p>
    <w:p w:rsidR="00252671" w:rsidRDefault="00252671" w:rsidP="00700D57">
      <w:pPr>
        <w:spacing w:line="360" w:lineRule="auto"/>
        <w:ind w:firstLine="708"/>
        <w:jc w:val="both"/>
        <w:rPr>
          <w:rFonts w:ascii="Times New Roman" w:hAnsi="Times New Roman" w:cs="Times New Roman"/>
          <w:sz w:val="24"/>
        </w:rPr>
      </w:pPr>
    </w:p>
    <w:p w:rsidR="00252671" w:rsidRDefault="00252671" w:rsidP="00700D57">
      <w:pPr>
        <w:spacing w:line="360" w:lineRule="auto"/>
        <w:ind w:firstLine="708"/>
        <w:jc w:val="both"/>
        <w:rPr>
          <w:rFonts w:ascii="Times New Roman" w:hAnsi="Times New Roman" w:cs="Times New Roman"/>
          <w:sz w:val="24"/>
        </w:rPr>
      </w:pPr>
    </w:p>
    <w:p w:rsidR="003B3F5B" w:rsidRDefault="003B3F5B" w:rsidP="00700D57">
      <w:pPr>
        <w:spacing w:line="360" w:lineRule="auto"/>
        <w:ind w:firstLine="708"/>
        <w:jc w:val="both"/>
        <w:rPr>
          <w:rFonts w:ascii="Times New Roman" w:hAnsi="Times New Roman" w:cs="Times New Roman"/>
          <w:sz w:val="24"/>
        </w:rPr>
      </w:pPr>
    </w:p>
    <w:p w:rsidR="004112C5" w:rsidRDefault="003C71F1" w:rsidP="003C71F1">
      <w:pPr>
        <w:pStyle w:val="Nadpis2"/>
        <w:numPr>
          <w:ilvl w:val="1"/>
          <w:numId w:val="3"/>
        </w:numPr>
      </w:pPr>
      <w:bookmarkStart w:id="26" w:name="_Toc478235172"/>
      <w:r w:rsidRPr="006F60AA">
        <w:lastRenderedPageBreak/>
        <w:t>Roz</w:t>
      </w:r>
      <w:r w:rsidR="003B3F5B" w:rsidRPr="006F60AA">
        <w:t>dílný</w:t>
      </w:r>
      <w:r w:rsidR="003B3F5B">
        <w:t xml:space="preserve"> přístup Komise a</w:t>
      </w:r>
      <w:r w:rsidRPr="003C71F1">
        <w:t xml:space="preserve"> parlamentů k odůvodněným stanoviskům</w:t>
      </w:r>
      <w:bookmarkEnd w:id="26"/>
    </w:p>
    <w:p w:rsidR="0059300B" w:rsidRPr="0059300B" w:rsidRDefault="0059300B" w:rsidP="0059300B"/>
    <w:p w:rsidR="00B53445" w:rsidRPr="00B0583B" w:rsidRDefault="00B53445" w:rsidP="00200ABE">
      <w:pPr>
        <w:spacing w:after="0" w:line="360" w:lineRule="auto"/>
        <w:ind w:firstLine="709"/>
        <w:jc w:val="both"/>
        <w:rPr>
          <w:rFonts w:ascii="Times New Roman" w:hAnsi="Times New Roman" w:cs="Times New Roman"/>
          <w:sz w:val="24"/>
        </w:rPr>
      </w:pPr>
      <w:r w:rsidRPr="00B0583B">
        <w:rPr>
          <w:rFonts w:ascii="Times New Roman" w:hAnsi="Times New Roman" w:cs="Times New Roman"/>
          <w:sz w:val="24"/>
        </w:rPr>
        <w:t xml:space="preserve">V této podkapitole se soustřeďme na </w:t>
      </w:r>
      <w:r w:rsidR="002C3258">
        <w:rPr>
          <w:rFonts w:ascii="Times New Roman" w:hAnsi="Times New Roman" w:cs="Times New Roman"/>
          <w:sz w:val="24"/>
        </w:rPr>
        <w:t>odůvodněná stanoviska</w:t>
      </w:r>
      <w:r w:rsidRPr="00B0583B">
        <w:rPr>
          <w:rFonts w:ascii="Times New Roman" w:hAnsi="Times New Roman" w:cs="Times New Roman"/>
          <w:sz w:val="24"/>
        </w:rPr>
        <w:t>. Předně uveďme, že p</w:t>
      </w:r>
      <w:r w:rsidR="00FF5FEE">
        <w:rPr>
          <w:rFonts w:ascii="Times New Roman" w:hAnsi="Times New Roman" w:cs="Times New Roman"/>
          <w:sz w:val="24"/>
        </w:rPr>
        <w:t xml:space="preserve">arlamenty uplatňují </w:t>
      </w:r>
      <w:r w:rsidRPr="00B0583B">
        <w:rPr>
          <w:rFonts w:ascii="Times New Roman" w:hAnsi="Times New Roman" w:cs="Times New Roman"/>
          <w:sz w:val="24"/>
        </w:rPr>
        <w:t>širší koncept testu subsidiarity než Komise</w:t>
      </w:r>
      <w:r w:rsidRPr="00B0583B">
        <w:rPr>
          <w:rStyle w:val="Znakapoznpodarou"/>
          <w:rFonts w:ascii="Times New Roman" w:hAnsi="Times New Roman" w:cs="Times New Roman"/>
          <w:sz w:val="24"/>
        </w:rPr>
        <w:footnoteReference w:id="192"/>
      </w:r>
      <w:r w:rsidRPr="00B0583B">
        <w:rPr>
          <w:rFonts w:ascii="Times New Roman" w:hAnsi="Times New Roman" w:cs="Times New Roman"/>
          <w:sz w:val="24"/>
        </w:rPr>
        <w:t xml:space="preserve"> a svou interpretací tak do jisté míry nahrazují vynechání zá</w:t>
      </w:r>
      <w:r w:rsidR="00B813F0">
        <w:rPr>
          <w:rFonts w:ascii="Times New Roman" w:hAnsi="Times New Roman" w:cs="Times New Roman"/>
          <w:sz w:val="24"/>
        </w:rPr>
        <w:t>sady proporcionality a</w:t>
      </w:r>
      <w:r w:rsidRPr="00B0583B">
        <w:rPr>
          <w:rFonts w:ascii="Times New Roman" w:hAnsi="Times New Roman" w:cs="Times New Roman"/>
          <w:sz w:val="24"/>
        </w:rPr>
        <w:t xml:space="preserve"> zásady svěření pravomocí, které výs</w:t>
      </w:r>
      <w:r w:rsidR="00D20262">
        <w:rPr>
          <w:rFonts w:ascii="Times New Roman" w:hAnsi="Times New Roman" w:cs="Times New Roman"/>
          <w:sz w:val="24"/>
        </w:rPr>
        <w:t>lovně nejsou uvedeny jako ty</w:t>
      </w:r>
      <w:r w:rsidRPr="00B0583B">
        <w:rPr>
          <w:rFonts w:ascii="Times New Roman" w:hAnsi="Times New Roman" w:cs="Times New Roman"/>
          <w:sz w:val="24"/>
        </w:rPr>
        <w:t>, s nimiž má být</w:t>
      </w:r>
      <w:r w:rsidR="00903AE6">
        <w:rPr>
          <w:rFonts w:ascii="Times New Roman" w:hAnsi="Times New Roman" w:cs="Times New Roman"/>
          <w:sz w:val="24"/>
        </w:rPr>
        <w:t xml:space="preserve"> v rámci systému včasného varování</w:t>
      </w:r>
      <w:r w:rsidRPr="00B0583B">
        <w:rPr>
          <w:rFonts w:ascii="Times New Roman" w:hAnsi="Times New Roman" w:cs="Times New Roman"/>
          <w:sz w:val="24"/>
        </w:rPr>
        <w:t xml:space="preserve"> posuzován soulad návrhů.</w:t>
      </w:r>
      <w:r w:rsidRPr="00B0583B">
        <w:rPr>
          <w:rStyle w:val="Znakapoznpodarou"/>
          <w:rFonts w:ascii="Times New Roman" w:hAnsi="Times New Roman" w:cs="Times New Roman"/>
          <w:sz w:val="24"/>
        </w:rPr>
        <w:footnoteReference w:id="193"/>
      </w:r>
      <w:r w:rsidRPr="00B0583B">
        <w:rPr>
          <w:rFonts w:ascii="Times New Roman" w:hAnsi="Times New Roman" w:cs="Times New Roman"/>
          <w:sz w:val="24"/>
        </w:rPr>
        <w:t xml:space="preserve"> Uvedené potvrzuje i obsahová analýza provedená </w:t>
      </w:r>
      <w:proofErr w:type="spellStart"/>
      <w:r w:rsidRPr="00B0583B">
        <w:rPr>
          <w:rFonts w:ascii="Times New Roman" w:hAnsi="Times New Roman" w:cs="Times New Roman"/>
          <w:sz w:val="24"/>
        </w:rPr>
        <w:t>Kaniokem</w:t>
      </w:r>
      <w:proofErr w:type="spellEnd"/>
      <w:r w:rsidRPr="00B0583B">
        <w:rPr>
          <w:rFonts w:ascii="Times New Roman" w:hAnsi="Times New Roman" w:cs="Times New Roman"/>
          <w:sz w:val="24"/>
        </w:rPr>
        <w:t xml:space="preserve"> pro </w:t>
      </w:r>
      <w:r w:rsidR="001D3FF7">
        <w:rPr>
          <w:rFonts w:ascii="Times New Roman" w:hAnsi="Times New Roman" w:cs="Times New Roman"/>
          <w:sz w:val="24"/>
        </w:rPr>
        <w:t>odůvodněná stanoviska</w:t>
      </w:r>
      <w:r w:rsidR="008C5B85">
        <w:rPr>
          <w:rFonts w:ascii="Times New Roman" w:hAnsi="Times New Roman" w:cs="Times New Roman"/>
          <w:sz w:val="24"/>
        </w:rPr>
        <w:t xml:space="preserve"> vydaná v letech 2010-</w:t>
      </w:r>
      <w:r w:rsidR="000900F7">
        <w:rPr>
          <w:rFonts w:ascii="Times New Roman" w:hAnsi="Times New Roman" w:cs="Times New Roman"/>
          <w:sz w:val="24"/>
        </w:rPr>
        <w:t>2014.</w:t>
      </w:r>
      <w:r w:rsidRPr="00B0583B">
        <w:rPr>
          <w:rFonts w:ascii="Times New Roman" w:hAnsi="Times New Roman" w:cs="Times New Roman"/>
          <w:sz w:val="24"/>
        </w:rPr>
        <w:t xml:space="preserve"> </w:t>
      </w:r>
      <w:r w:rsidRPr="00B0583B">
        <w:rPr>
          <w:rFonts w:ascii="Times New Roman" w:hAnsi="Times New Roman" w:cs="Times New Roman"/>
          <w:i/>
          <w:sz w:val="24"/>
        </w:rPr>
        <w:t>„Národní parlamenty a jejich komory v naprosté většině případů překračovaly rigidní pojetí subsidiarity a šly za jeho rámec.“</w:t>
      </w:r>
      <w:r w:rsidRPr="00B0583B">
        <w:rPr>
          <w:rStyle w:val="Znakapoznpodarou"/>
          <w:rFonts w:ascii="Times New Roman" w:hAnsi="Times New Roman" w:cs="Times New Roman"/>
          <w:i/>
          <w:sz w:val="24"/>
        </w:rPr>
        <w:footnoteReference w:id="194"/>
      </w:r>
      <w:r w:rsidRPr="00B0583B">
        <w:rPr>
          <w:rFonts w:ascii="Times New Roman" w:hAnsi="Times New Roman" w:cs="Times New Roman"/>
          <w:i/>
          <w:sz w:val="24"/>
        </w:rPr>
        <w:t xml:space="preserve"> </w:t>
      </w:r>
      <w:r w:rsidRPr="00B0583B">
        <w:rPr>
          <w:rFonts w:ascii="Times New Roman" w:hAnsi="Times New Roman" w:cs="Times New Roman"/>
          <w:sz w:val="24"/>
        </w:rPr>
        <w:t xml:space="preserve">Kromě nesouladu s výše </w:t>
      </w:r>
      <w:r w:rsidR="00D72688">
        <w:rPr>
          <w:rFonts w:ascii="Times New Roman" w:hAnsi="Times New Roman" w:cs="Times New Roman"/>
          <w:sz w:val="24"/>
        </w:rPr>
        <w:t>uvedenými zásadami argumentují</w:t>
      </w:r>
      <w:r w:rsidRPr="00B0583B">
        <w:rPr>
          <w:rFonts w:ascii="Times New Roman" w:hAnsi="Times New Roman" w:cs="Times New Roman"/>
          <w:sz w:val="24"/>
        </w:rPr>
        <w:t xml:space="preserve"> parlamenty</w:t>
      </w:r>
      <w:r w:rsidR="00D72688">
        <w:rPr>
          <w:rFonts w:ascii="Times New Roman" w:hAnsi="Times New Roman" w:cs="Times New Roman"/>
          <w:sz w:val="24"/>
        </w:rPr>
        <w:t xml:space="preserve"> často</w:t>
      </w:r>
      <w:r w:rsidRPr="00B0583B">
        <w:rPr>
          <w:rFonts w:ascii="Times New Roman" w:hAnsi="Times New Roman" w:cs="Times New Roman"/>
          <w:sz w:val="24"/>
        </w:rPr>
        <w:t xml:space="preserve"> i proti obsahu či podstatě návrhů. K takovému širšímu přístupu pa</w:t>
      </w:r>
      <w:r w:rsidR="00160E30">
        <w:rPr>
          <w:rFonts w:ascii="Times New Roman" w:hAnsi="Times New Roman" w:cs="Times New Roman"/>
          <w:sz w:val="24"/>
        </w:rPr>
        <w:t>rlamentů se přikláníme. J</w:t>
      </w:r>
      <w:r w:rsidRPr="00B0583B">
        <w:rPr>
          <w:rFonts w:ascii="Times New Roman" w:hAnsi="Times New Roman" w:cs="Times New Roman"/>
          <w:sz w:val="24"/>
        </w:rPr>
        <w:t>e totiž</w:t>
      </w:r>
      <w:r w:rsidR="00167E0E">
        <w:rPr>
          <w:rFonts w:ascii="Times New Roman" w:hAnsi="Times New Roman" w:cs="Times New Roman"/>
          <w:sz w:val="24"/>
        </w:rPr>
        <w:t xml:space="preserve"> třeba vzít v úvahu </w:t>
      </w:r>
      <w:r w:rsidRPr="00B0583B">
        <w:rPr>
          <w:rFonts w:ascii="Times New Roman" w:hAnsi="Times New Roman" w:cs="Times New Roman"/>
          <w:sz w:val="24"/>
        </w:rPr>
        <w:t>argumenty</w:t>
      </w:r>
      <w:r w:rsidR="00167E0E">
        <w:rPr>
          <w:rFonts w:ascii="Times New Roman" w:hAnsi="Times New Roman" w:cs="Times New Roman"/>
          <w:sz w:val="24"/>
        </w:rPr>
        <w:t xml:space="preserve"> podporující</w:t>
      </w:r>
      <w:r w:rsidR="00CF1D37">
        <w:rPr>
          <w:rFonts w:ascii="Times New Roman" w:hAnsi="Times New Roman" w:cs="Times New Roman"/>
          <w:sz w:val="24"/>
        </w:rPr>
        <w:t xml:space="preserve"> tento přístup. Za všechny uveď</w:t>
      </w:r>
      <w:r w:rsidR="00167E0E">
        <w:rPr>
          <w:rFonts w:ascii="Times New Roman" w:hAnsi="Times New Roman" w:cs="Times New Roman"/>
          <w:sz w:val="24"/>
        </w:rPr>
        <w:t xml:space="preserve">me následující. </w:t>
      </w:r>
      <w:r w:rsidR="00167E0E" w:rsidRPr="00167E0E">
        <w:rPr>
          <w:rFonts w:ascii="Times New Roman" w:hAnsi="Times New Roman" w:cs="Times New Roman"/>
          <w:sz w:val="24"/>
        </w:rPr>
        <w:t>Nemá-li EU pravomoc jednat, nemůže být předmětn</w:t>
      </w:r>
      <w:r w:rsidR="00F970BE">
        <w:rPr>
          <w:rFonts w:ascii="Times New Roman" w:hAnsi="Times New Roman" w:cs="Times New Roman"/>
          <w:sz w:val="24"/>
        </w:rPr>
        <w:t>ý návrh logicky</w:t>
      </w:r>
      <w:r w:rsidR="00BB4865">
        <w:rPr>
          <w:rFonts w:ascii="Times New Roman" w:hAnsi="Times New Roman" w:cs="Times New Roman"/>
          <w:sz w:val="24"/>
        </w:rPr>
        <w:t xml:space="preserve"> vzhledem ke konstrukci čl. 5 SEU</w:t>
      </w:r>
      <w:r w:rsidR="00F970BE">
        <w:rPr>
          <w:rFonts w:ascii="Times New Roman" w:hAnsi="Times New Roman" w:cs="Times New Roman"/>
          <w:sz w:val="24"/>
        </w:rPr>
        <w:t xml:space="preserve"> v souladu se zásadou subsidiarity.</w:t>
      </w:r>
      <w:r w:rsidR="00E74B5F">
        <w:rPr>
          <w:rFonts w:ascii="Times New Roman" w:hAnsi="Times New Roman" w:cs="Times New Roman"/>
          <w:sz w:val="24"/>
        </w:rPr>
        <w:t xml:space="preserve"> Dále </w:t>
      </w:r>
      <w:r w:rsidR="00161E9A">
        <w:rPr>
          <w:rFonts w:ascii="Times New Roman" w:hAnsi="Times New Roman" w:cs="Times New Roman"/>
          <w:sz w:val="24"/>
        </w:rPr>
        <w:t xml:space="preserve">se jeví platným názor, že </w:t>
      </w:r>
      <w:r w:rsidR="00E74B5F">
        <w:rPr>
          <w:rFonts w:ascii="Times New Roman" w:hAnsi="Times New Roman" w:cs="Times New Roman"/>
          <w:sz w:val="24"/>
        </w:rPr>
        <w:t>p</w:t>
      </w:r>
      <w:r w:rsidR="00167E0E" w:rsidRPr="00167E0E">
        <w:rPr>
          <w:rFonts w:ascii="Times New Roman" w:hAnsi="Times New Roman" w:cs="Times New Roman"/>
          <w:sz w:val="24"/>
        </w:rPr>
        <w:t xml:space="preserve">rvky zásady </w:t>
      </w:r>
      <w:r w:rsidR="00161E9A">
        <w:rPr>
          <w:rFonts w:ascii="Times New Roman" w:hAnsi="Times New Roman" w:cs="Times New Roman"/>
          <w:sz w:val="24"/>
        </w:rPr>
        <w:t>proporcionality jsou i součástí zásady subsidiarity</w:t>
      </w:r>
      <w:r w:rsidR="00392AC8">
        <w:rPr>
          <w:rFonts w:ascii="Times New Roman" w:hAnsi="Times New Roman" w:cs="Times New Roman"/>
          <w:sz w:val="24"/>
        </w:rPr>
        <w:t xml:space="preserve">. </w:t>
      </w:r>
      <w:r w:rsidR="008144D5">
        <w:rPr>
          <w:rFonts w:ascii="Times New Roman" w:hAnsi="Times New Roman" w:cs="Times New Roman"/>
          <w:sz w:val="24"/>
        </w:rPr>
        <w:t>L</w:t>
      </w:r>
      <w:r w:rsidR="00392AC8">
        <w:rPr>
          <w:rFonts w:ascii="Times New Roman" w:hAnsi="Times New Roman" w:cs="Times New Roman"/>
          <w:sz w:val="24"/>
        </w:rPr>
        <w:t>ze</w:t>
      </w:r>
      <w:r w:rsidR="008144D5">
        <w:rPr>
          <w:rFonts w:ascii="Times New Roman" w:hAnsi="Times New Roman" w:cs="Times New Roman"/>
          <w:sz w:val="24"/>
        </w:rPr>
        <w:t xml:space="preserve"> rovněž</w:t>
      </w:r>
      <w:r w:rsidR="00392AC8">
        <w:rPr>
          <w:rFonts w:ascii="Times New Roman" w:hAnsi="Times New Roman" w:cs="Times New Roman"/>
          <w:sz w:val="24"/>
        </w:rPr>
        <w:t xml:space="preserve"> souhlasit s tím, že b</w:t>
      </w:r>
      <w:r w:rsidR="00167E0E" w:rsidRPr="00167E0E">
        <w:rPr>
          <w:rFonts w:ascii="Times New Roman" w:hAnsi="Times New Roman" w:cs="Times New Roman"/>
          <w:sz w:val="24"/>
        </w:rPr>
        <w:t>ez zkoumání a posouzení obsahu návrhu a konkrétního řešení nelze posoudit, zda lze uvažovat o unijní přidané hodnotě.</w:t>
      </w:r>
      <w:r w:rsidR="002E2602">
        <w:rPr>
          <w:rStyle w:val="Znakapoznpodarou"/>
          <w:rFonts w:ascii="Times New Roman" w:hAnsi="Times New Roman" w:cs="Times New Roman"/>
          <w:sz w:val="24"/>
        </w:rPr>
        <w:footnoteReference w:id="195"/>
      </w:r>
      <w:r w:rsidR="00331167">
        <w:rPr>
          <w:rFonts w:ascii="Times New Roman" w:hAnsi="Times New Roman" w:cs="Times New Roman"/>
          <w:sz w:val="24"/>
        </w:rPr>
        <w:t xml:space="preserve"> Vedle zmíněného pak </w:t>
      </w:r>
      <w:r w:rsidRPr="00B0583B">
        <w:rPr>
          <w:rFonts w:ascii="Times New Roman" w:hAnsi="Times New Roman" w:cs="Times New Roman"/>
          <w:sz w:val="24"/>
        </w:rPr>
        <w:t>máme za to, že je třeba mít na paměti cíl</w:t>
      </w:r>
      <w:r w:rsidR="00F60201">
        <w:rPr>
          <w:rFonts w:ascii="Times New Roman" w:hAnsi="Times New Roman" w:cs="Times New Roman"/>
          <w:sz w:val="24"/>
        </w:rPr>
        <w:t xml:space="preserve"> či účel</w:t>
      </w:r>
      <w:r w:rsidR="005C74F3">
        <w:rPr>
          <w:rFonts w:ascii="Times New Roman" w:hAnsi="Times New Roman" w:cs="Times New Roman"/>
          <w:sz w:val="24"/>
        </w:rPr>
        <w:t xml:space="preserve"> zavedení systému včasného varování</w:t>
      </w:r>
      <w:r w:rsidR="00F60201">
        <w:rPr>
          <w:rFonts w:ascii="Times New Roman" w:hAnsi="Times New Roman" w:cs="Times New Roman"/>
          <w:sz w:val="24"/>
        </w:rPr>
        <w:t xml:space="preserve"> spočívající ve větším zapojení parlamentů do unijních záležitostí</w:t>
      </w:r>
      <w:r w:rsidR="00D63646">
        <w:rPr>
          <w:rFonts w:ascii="Times New Roman" w:hAnsi="Times New Roman" w:cs="Times New Roman"/>
          <w:sz w:val="24"/>
        </w:rPr>
        <w:t>, potažmo ve</w:t>
      </w:r>
      <w:r w:rsidR="0053241A">
        <w:rPr>
          <w:rFonts w:ascii="Times New Roman" w:hAnsi="Times New Roman" w:cs="Times New Roman"/>
          <w:sz w:val="24"/>
        </w:rPr>
        <w:t xml:space="preserve"> zvýšení</w:t>
      </w:r>
      <w:r w:rsidR="00AE1E0E">
        <w:rPr>
          <w:rFonts w:ascii="Times New Roman" w:hAnsi="Times New Roman" w:cs="Times New Roman"/>
          <w:sz w:val="24"/>
        </w:rPr>
        <w:t xml:space="preserve"> demokratické</w:t>
      </w:r>
      <w:r w:rsidR="00735152">
        <w:rPr>
          <w:rFonts w:ascii="Times New Roman" w:hAnsi="Times New Roman" w:cs="Times New Roman"/>
          <w:sz w:val="24"/>
        </w:rPr>
        <w:t xml:space="preserve"> legitimity legislativního procesu EU</w:t>
      </w:r>
      <w:r w:rsidRPr="00B0583B">
        <w:rPr>
          <w:rFonts w:ascii="Times New Roman" w:hAnsi="Times New Roman" w:cs="Times New Roman"/>
          <w:sz w:val="24"/>
        </w:rPr>
        <w:t xml:space="preserve">. </w:t>
      </w:r>
    </w:p>
    <w:p w:rsidR="00B53445" w:rsidRPr="00B0583B" w:rsidRDefault="00B53445" w:rsidP="00441DF0">
      <w:pPr>
        <w:spacing w:after="0" w:line="360" w:lineRule="auto"/>
        <w:ind w:firstLine="709"/>
        <w:jc w:val="both"/>
        <w:rPr>
          <w:rFonts w:ascii="Times New Roman" w:hAnsi="Times New Roman" w:cs="Times New Roman"/>
          <w:sz w:val="24"/>
        </w:rPr>
      </w:pPr>
      <w:r w:rsidRPr="00B0583B">
        <w:rPr>
          <w:rFonts w:ascii="Times New Roman" w:hAnsi="Times New Roman" w:cs="Times New Roman"/>
          <w:sz w:val="24"/>
        </w:rPr>
        <w:t xml:space="preserve">V praxi nicméně Komise při analýze </w:t>
      </w:r>
      <w:r w:rsidR="006000F1">
        <w:rPr>
          <w:rFonts w:ascii="Times New Roman" w:hAnsi="Times New Roman" w:cs="Times New Roman"/>
          <w:sz w:val="24"/>
        </w:rPr>
        <w:t>odůvodněných stanovisek</w:t>
      </w:r>
      <w:r w:rsidRPr="00B0583B">
        <w:rPr>
          <w:rFonts w:ascii="Times New Roman" w:hAnsi="Times New Roman" w:cs="Times New Roman"/>
          <w:sz w:val="24"/>
        </w:rPr>
        <w:t xml:space="preserve"> parlamentů ukazuje očekávaný příklon k užšímu pojetí, když sama uvádí, že odli</w:t>
      </w:r>
      <w:r w:rsidR="006F0E0D">
        <w:rPr>
          <w:rFonts w:ascii="Times New Roman" w:hAnsi="Times New Roman" w:cs="Times New Roman"/>
          <w:sz w:val="24"/>
        </w:rPr>
        <w:t>šuje argumenty související se subsidiaritou od těch</w:t>
      </w:r>
      <w:r w:rsidRPr="00B0583B">
        <w:rPr>
          <w:rFonts w:ascii="Times New Roman" w:hAnsi="Times New Roman" w:cs="Times New Roman"/>
          <w:sz w:val="24"/>
        </w:rPr>
        <w:t xml:space="preserve"> ostatní</w:t>
      </w:r>
      <w:r w:rsidR="006F0E0D">
        <w:rPr>
          <w:rFonts w:ascii="Times New Roman" w:hAnsi="Times New Roman" w:cs="Times New Roman"/>
          <w:sz w:val="24"/>
        </w:rPr>
        <w:t>ch</w:t>
      </w:r>
      <w:r w:rsidRPr="00B0583B">
        <w:rPr>
          <w:rFonts w:ascii="Times New Roman" w:hAnsi="Times New Roman" w:cs="Times New Roman"/>
          <w:sz w:val="24"/>
        </w:rPr>
        <w:t>.</w:t>
      </w:r>
      <w:r w:rsidRPr="00B0583B">
        <w:rPr>
          <w:rStyle w:val="Znakapoznpodarou"/>
          <w:rFonts w:ascii="Times New Roman" w:hAnsi="Times New Roman" w:cs="Times New Roman"/>
          <w:sz w:val="24"/>
        </w:rPr>
        <w:footnoteReference w:id="196"/>
      </w:r>
      <w:r w:rsidRPr="00B0583B">
        <w:rPr>
          <w:rFonts w:ascii="Times New Roman" w:hAnsi="Times New Roman" w:cs="Times New Roman"/>
          <w:sz w:val="24"/>
        </w:rPr>
        <w:t xml:space="preserve"> Tyt</w:t>
      </w:r>
      <w:r w:rsidR="00192A73">
        <w:rPr>
          <w:rFonts w:ascii="Times New Roman" w:hAnsi="Times New Roman" w:cs="Times New Roman"/>
          <w:sz w:val="24"/>
        </w:rPr>
        <w:t>o jiné argumenty pak spadají</w:t>
      </w:r>
      <w:r w:rsidRPr="00B0583B">
        <w:rPr>
          <w:rFonts w:ascii="Times New Roman" w:hAnsi="Times New Roman" w:cs="Times New Roman"/>
          <w:sz w:val="24"/>
        </w:rPr>
        <w:t xml:space="preserve"> pod politický dialog. </w:t>
      </w:r>
      <w:r w:rsidR="00717716">
        <w:rPr>
          <w:rFonts w:ascii="Times New Roman" w:hAnsi="Times New Roman" w:cs="Times New Roman"/>
          <w:sz w:val="24"/>
        </w:rPr>
        <w:t>S</w:t>
      </w:r>
      <w:r w:rsidRPr="00B0583B">
        <w:rPr>
          <w:rFonts w:ascii="Times New Roman" w:hAnsi="Times New Roman" w:cs="Times New Roman"/>
          <w:sz w:val="24"/>
        </w:rPr>
        <w:t xml:space="preserve">tanoviska či příspěvky parlamentů </w:t>
      </w:r>
      <w:r>
        <w:rPr>
          <w:rFonts w:ascii="Times New Roman" w:hAnsi="Times New Roman" w:cs="Times New Roman"/>
          <w:sz w:val="24"/>
        </w:rPr>
        <w:t xml:space="preserve">učiněné pouze </w:t>
      </w:r>
      <w:r w:rsidRPr="00B0583B">
        <w:rPr>
          <w:rFonts w:ascii="Times New Roman" w:hAnsi="Times New Roman" w:cs="Times New Roman"/>
          <w:sz w:val="24"/>
        </w:rPr>
        <w:t>v rámci politického dialogu</w:t>
      </w:r>
      <w:r>
        <w:rPr>
          <w:rFonts w:ascii="Times New Roman" w:hAnsi="Times New Roman" w:cs="Times New Roman"/>
          <w:sz w:val="24"/>
        </w:rPr>
        <w:t xml:space="preserve"> </w:t>
      </w:r>
      <w:r w:rsidR="00717716">
        <w:rPr>
          <w:rFonts w:ascii="Times New Roman" w:hAnsi="Times New Roman" w:cs="Times New Roman"/>
          <w:sz w:val="24"/>
        </w:rPr>
        <w:t xml:space="preserve">pak </w:t>
      </w:r>
      <w:r w:rsidRPr="00B0583B">
        <w:rPr>
          <w:rFonts w:ascii="Times New Roman" w:hAnsi="Times New Roman" w:cs="Times New Roman"/>
          <w:sz w:val="24"/>
        </w:rPr>
        <w:t xml:space="preserve">nehrají roli v dosažení </w:t>
      </w:r>
      <w:r w:rsidR="007E0445">
        <w:rPr>
          <w:rFonts w:ascii="Times New Roman" w:hAnsi="Times New Roman" w:cs="Times New Roman"/>
          <w:sz w:val="24"/>
        </w:rPr>
        <w:t>prahů potřebných pro spuštění žluté či oranžové karty</w:t>
      </w:r>
      <w:r w:rsidR="00754FE0">
        <w:rPr>
          <w:rFonts w:ascii="Times New Roman" w:hAnsi="Times New Roman" w:cs="Times New Roman"/>
          <w:sz w:val="24"/>
        </w:rPr>
        <w:t>. J</w:t>
      </w:r>
      <w:r w:rsidRPr="00B0583B">
        <w:rPr>
          <w:rFonts w:ascii="Times New Roman" w:hAnsi="Times New Roman" w:cs="Times New Roman"/>
          <w:sz w:val="24"/>
        </w:rPr>
        <w:t xml:space="preserve">e třeba je odlišovat od </w:t>
      </w:r>
      <w:r w:rsidR="006000F1">
        <w:rPr>
          <w:rFonts w:ascii="Times New Roman" w:hAnsi="Times New Roman" w:cs="Times New Roman"/>
          <w:sz w:val="24"/>
        </w:rPr>
        <w:t>odůvodněných stanovisek</w:t>
      </w:r>
      <w:r w:rsidRPr="00B0583B">
        <w:rPr>
          <w:rFonts w:ascii="Times New Roman" w:hAnsi="Times New Roman" w:cs="Times New Roman"/>
          <w:sz w:val="24"/>
        </w:rPr>
        <w:t>. Mohou pak nasta</w:t>
      </w:r>
      <w:r>
        <w:rPr>
          <w:rFonts w:ascii="Times New Roman" w:hAnsi="Times New Roman" w:cs="Times New Roman"/>
          <w:sz w:val="24"/>
        </w:rPr>
        <w:t>t situace, kdy u</w:t>
      </w:r>
      <w:r w:rsidRPr="00B0583B">
        <w:rPr>
          <w:rFonts w:ascii="Times New Roman" w:hAnsi="Times New Roman" w:cs="Times New Roman"/>
          <w:sz w:val="24"/>
        </w:rPr>
        <w:t xml:space="preserve"> dokumentu zasla</w:t>
      </w:r>
      <w:r w:rsidR="00810834">
        <w:rPr>
          <w:rFonts w:ascii="Times New Roman" w:hAnsi="Times New Roman" w:cs="Times New Roman"/>
          <w:sz w:val="24"/>
        </w:rPr>
        <w:t>ného parlamentem bude, např.</w:t>
      </w:r>
      <w:r w:rsidRPr="00B0583B">
        <w:rPr>
          <w:rFonts w:ascii="Times New Roman" w:hAnsi="Times New Roman" w:cs="Times New Roman"/>
          <w:sz w:val="24"/>
        </w:rPr>
        <w:t xml:space="preserve"> v důsledku dvou konkurujících přístupů, sporné, zda </w:t>
      </w:r>
      <w:r w:rsidR="006215F2">
        <w:rPr>
          <w:rFonts w:ascii="Times New Roman" w:hAnsi="Times New Roman" w:cs="Times New Roman"/>
          <w:sz w:val="24"/>
        </w:rPr>
        <w:t>jde o odůvodněné stanovisko</w:t>
      </w:r>
      <w:r w:rsidR="00BF4D5E">
        <w:rPr>
          <w:rFonts w:ascii="Times New Roman" w:hAnsi="Times New Roman" w:cs="Times New Roman"/>
          <w:sz w:val="24"/>
        </w:rPr>
        <w:t xml:space="preserve"> či pouze komunikaci</w:t>
      </w:r>
      <w:r w:rsidRPr="00B0583B">
        <w:rPr>
          <w:rFonts w:ascii="Times New Roman" w:hAnsi="Times New Roman" w:cs="Times New Roman"/>
          <w:sz w:val="24"/>
        </w:rPr>
        <w:t xml:space="preserve"> v rámci politického dialogu. Minimálně v první fázi je pak tato volba na Komisi.</w:t>
      </w:r>
      <w:r w:rsidRPr="00B0583B">
        <w:rPr>
          <w:rStyle w:val="Znakapoznpodarou"/>
          <w:rFonts w:ascii="Times New Roman" w:hAnsi="Times New Roman" w:cs="Times New Roman"/>
          <w:sz w:val="24"/>
        </w:rPr>
        <w:footnoteReference w:id="197"/>
      </w:r>
    </w:p>
    <w:p w:rsidR="001D1B82" w:rsidRPr="00964B77" w:rsidRDefault="001D1B82" w:rsidP="001D1B82">
      <w:pPr>
        <w:pStyle w:val="Nadpis2"/>
        <w:numPr>
          <w:ilvl w:val="1"/>
          <w:numId w:val="3"/>
        </w:numPr>
      </w:pPr>
      <w:bookmarkStart w:id="27" w:name="_Toc478235173"/>
      <w:r w:rsidRPr="00CC652E">
        <w:lastRenderedPageBreak/>
        <w:t>Počty</w:t>
      </w:r>
      <w:r w:rsidRPr="00964B77">
        <w:t xml:space="preserve"> odůvodněných stanovisek</w:t>
      </w:r>
      <w:bookmarkEnd w:id="27"/>
    </w:p>
    <w:p w:rsidR="001D1B82" w:rsidRPr="001D1B82" w:rsidRDefault="001D1B82" w:rsidP="001D1B82">
      <w:pPr>
        <w:rPr>
          <w:highlight w:val="cyan"/>
        </w:rPr>
      </w:pPr>
    </w:p>
    <w:p w:rsidR="00B53445" w:rsidRDefault="00B53445" w:rsidP="00441DF0">
      <w:pPr>
        <w:spacing w:after="0" w:line="360" w:lineRule="auto"/>
        <w:ind w:firstLine="709"/>
        <w:jc w:val="both"/>
        <w:rPr>
          <w:rFonts w:ascii="Times New Roman" w:hAnsi="Times New Roman" w:cs="Times New Roman"/>
          <w:sz w:val="24"/>
        </w:rPr>
      </w:pPr>
      <w:r w:rsidRPr="00094FF9">
        <w:rPr>
          <w:rFonts w:ascii="Times New Roman" w:hAnsi="Times New Roman" w:cs="Times New Roman"/>
          <w:sz w:val="24"/>
        </w:rPr>
        <w:t>Dalším předmětem naší</w:t>
      </w:r>
      <w:r w:rsidR="00055F26">
        <w:rPr>
          <w:rFonts w:ascii="Times New Roman" w:hAnsi="Times New Roman" w:cs="Times New Roman"/>
          <w:sz w:val="24"/>
        </w:rPr>
        <w:t xml:space="preserve"> pozornosti musí být i počty odůvodněných stanovisek</w:t>
      </w:r>
      <w:r w:rsidR="000D05A8">
        <w:rPr>
          <w:rFonts w:ascii="Times New Roman" w:hAnsi="Times New Roman" w:cs="Times New Roman"/>
          <w:sz w:val="24"/>
        </w:rPr>
        <w:t xml:space="preserve">. </w:t>
      </w:r>
      <w:r>
        <w:rPr>
          <w:rFonts w:ascii="Times New Roman" w:hAnsi="Times New Roman" w:cs="Times New Roman"/>
          <w:sz w:val="24"/>
        </w:rPr>
        <w:t>Z výročních zpráv Komise lze vyčíst, že v lete</w:t>
      </w:r>
      <w:r w:rsidR="00055F26">
        <w:rPr>
          <w:rFonts w:ascii="Times New Roman" w:hAnsi="Times New Roman" w:cs="Times New Roman"/>
          <w:sz w:val="24"/>
        </w:rPr>
        <w:t>ch 2010 až 2013 celkový počet</w:t>
      </w:r>
      <w:r>
        <w:rPr>
          <w:rFonts w:ascii="Times New Roman" w:hAnsi="Times New Roman" w:cs="Times New Roman"/>
          <w:sz w:val="24"/>
        </w:rPr>
        <w:t xml:space="preserve"> rostl, když v roce 2013 se blížil pomyslné hranici 100 vydaných. </w:t>
      </w:r>
      <w:r w:rsidRPr="00B21BAD">
        <w:rPr>
          <w:rFonts w:ascii="Times New Roman" w:hAnsi="Times New Roman" w:cs="Times New Roman"/>
          <w:sz w:val="24"/>
        </w:rPr>
        <w:t>V letech 2014 a 20</w:t>
      </w:r>
      <w:r w:rsidR="00D60259">
        <w:rPr>
          <w:rFonts w:ascii="Times New Roman" w:hAnsi="Times New Roman" w:cs="Times New Roman"/>
          <w:sz w:val="24"/>
        </w:rPr>
        <w:t>15 počet</w:t>
      </w:r>
      <w:r>
        <w:rPr>
          <w:rFonts w:ascii="Times New Roman" w:hAnsi="Times New Roman" w:cs="Times New Roman"/>
          <w:sz w:val="24"/>
        </w:rPr>
        <w:t xml:space="preserve"> strmě </w:t>
      </w:r>
      <w:r w:rsidRPr="00B21BAD">
        <w:rPr>
          <w:rFonts w:ascii="Times New Roman" w:hAnsi="Times New Roman" w:cs="Times New Roman"/>
          <w:sz w:val="24"/>
        </w:rPr>
        <w:t>klesl. V roce 2014 jich parlamenty vyda</w:t>
      </w:r>
      <w:r>
        <w:rPr>
          <w:rFonts w:ascii="Times New Roman" w:hAnsi="Times New Roman" w:cs="Times New Roman"/>
          <w:sz w:val="24"/>
        </w:rPr>
        <w:t>ly 21, zatímco v roce 2015 jen osm</w:t>
      </w:r>
      <w:r w:rsidRPr="00B21BAD">
        <w:rPr>
          <w:rFonts w:ascii="Times New Roman" w:hAnsi="Times New Roman" w:cs="Times New Roman"/>
          <w:sz w:val="24"/>
        </w:rPr>
        <w:t>. Jak</w:t>
      </w:r>
      <w:r>
        <w:rPr>
          <w:rFonts w:ascii="Times New Roman" w:hAnsi="Times New Roman" w:cs="Times New Roman"/>
          <w:sz w:val="24"/>
        </w:rPr>
        <w:t xml:space="preserve"> ovšem správně naznačuje Komise, </w:t>
      </w:r>
      <w:r w:rsidRPr="00B21BAD">
        <w:rPr>
          <w:rFonts w:ascii="Times New Roman" w:hAnsi="Times New Roman" w:cs="Times New Roman"/>
          <w:sz w:val="24"/>
        </w:rPr>
        <w:t xml:space="preserve">uvedené </w:t>
      </w:r>
      <w:r w:rsidRPr="00F52902">
        <w:rPr>
          <w:rFonts w:ascii="Times New Roman" w:hAnsi="Times New Roman" w:cs="Times New Roman"/>
          <w:i/>
          <w:sz w:val="24"/>
        </w:rPr>
        <w:t>„je nutno uvážit v kontextu snížení celkového počtu návrhů</w:t>
      </w:r>
      <w:r w:rsidR="005B515A">
        <w:rPr>
          <w:rFonts w:ascii="Times New Roman" w:hAnsi="Times New Roman" w:cs="Times New Roman"/>
          <w:i/>
          <w:sz w:val="24"/>
        </w:rPr>
        <w:t>.</w:t>
      </w:r>
      <w:r w:rsidRPr="00F52902">
        <w:rPr>
          <w:rFonts w:ascii="Times New Roman" w:hAnsi="Times New Roman" w:cs="Times New Roman"/>
          <w:i/>
          <w:sz w:val="24"/>
        </w:rPr>
        <w:t>“</w:t>
      </w:r>
      <w:r>
        <w:rPr>
          <w:rStyle w:val="Znakapoznpodarou"/>
          <w:rFonts w:ascii="Times New Roman" w:hAnsi="Times New Roman" w:cs="Times New Roman"/>
          <w:i/>
          <w:sz w:val="24"/>
        </w:rPr>
        <w:footnoteReference w:id="198"/>
      </w:r>
      <w:r>
        <w:rPr>
          <w:rFonts w:ascii="Times New Roman" w:hAnsi="Times New Roman" w:cs="Times New Roman"/>
          <w:i/>
          <w:sz w:val="24"/>
        </w:rPr>
        <w:t xml:space="preserve"> </w:t>
      </w:r>
      <w:r w:rsidR="002351C2">
        <w:rPr>
          <w:rFonts w:ascii="Times New Roman" w:hAnsi="Times New Roman" w:cs="Times New Roman"/>
          <w:sz w:val="24"/>
        </w:rPr>
        <w:t>Osm odůvodněných stanovisek</w:t>
      </w:r>
      <w:r>
        <w:rPr>
          <w:rFonts w:ascii="Times New Roman" w:hAnsi="Times New Roman" w:cs="Times New Roman"/>
          <w:sz w:val="24"/>
        </w:rPr>
        <w:t xml:space="preserve"> z roku 2015 smě</w:t>
      </w:r>
      <w:r w:rsidR="00B5372B">
        <w:rPr>
          <w:rFonts w:ascii="Times New Roman" w:hAnsi="Times New Roman" w:cs="Times New Roman"/>
          <w:sz w:val="24"/>
        </w:rPr>
        <w:t>řovalo vůči třem</w:t>
      </w:r>
      <w:r w:rsidR="00BB06E9">
        <w:rPr>
          <w:rFonts w:ascii="Times New Roman" w:hAnsi="Times New Roman" w:cs="Times New Roman"/>
          <w:sz w:val="24"/>
        </w:rPr>
        <w:t xml:space="preserve"> návrhům a </w:t>
      </w:r>
      <w:r>
        <w:rPr>
          <w:rFonts w:ascii="Times New Roman" w:hAnsi="Times New Roman" w:cs="Times New Roman"/>
          <w:sz w:val="24"/>
        </w:rPr>
        <w:t>potvrdilo</w:t>
      </w:r>
      <w:r w:rsidR="00BB06E9">
        <w:rPr>
          <w:rFonts w:ascii="Times New Roman" w:hAnsi="Times New Roman" w:cs="Times New Roman"/>
          <w:sz w:val="24"/>
        </w:rPr>
        <w:t xml:space="preserve"> se</w:t>
      </w:r>
      <w:r>
        <w:rPr>
          <w:rFonts w:ascii="Times New Roman" w:hAnsi="Times New Roman" w:cs="Times New Roman"/>
          <w:sz w:val="24"/>
        </w:rPr>
        <w:t>, že k většině návrhů Komise není vy</w:t>
      </w:r>
      <w:r w:rsidR="002351C2">
        <w:rPr>
          <w:rFonts w:ascii="Times New Roman" w:hAnsi="Times New Roman" w:cs="Times New Roman"/>
          <w:sz w:val="24"/>
        </w:rPr>
        <w:t>dáno ani jedno odůvodněné stanovisko</w:t>
      </w:r>
      <w:r w:rsidR="00234690">
        <w:rPr>
          <w:rFonts w:ascii="Times New Roman" w:hAnsi="Times New Roman" w:cs="Times New Roman"/>
          <w:sz w:val="24"/>
        </w:rPr>
        <w:t>. L</w:t>
      </w:r>
      <w:r>
        <w:rPr>
          <w:rFonts w:ascii="Times New Roman" w:hAnsi="Times New Roman" w:cs="Times New Roman"/>
          <w:sz w:val="24"/>
        </w:rPr>
        <w:t>ze tak dovozovat, že u většiny návrhů nevyv</w:t>
      </w:r>
      <w:r w:rsidR="00BB06E9">
        <w:rPr>
          <w:rFonts w:ascii="Times New Roman" w:hAnsi="Times New Roman" w:cs="Times New Roman"/>
          <w:sz w:val="24"/>
        </w:rPr>
        <w:t>stává pochybnost o souladu se zásadou subsidiarity</w:t>
      </w:r>
      <w:r>
        <w:rPr>
          <w:rFonts w:ascii="Times New Roman" w:hAnsi="Times New Roman" w:cs="Times New Roman"/>
          <w:sz w:val="24"/>
        </w:rPr>
        <w:t>.</w:t>
      </w:r>
      <w:r>
        <w:rPr>
          <w:rStyle w:val="Znakapoznpodarou"/>
          <w:rFonts w:ascii="Times New Roman" w:hAnsi="Times New Roman" w:cs="Times New Roman"/>
          <w:sz w:val="24"/>
        </w:rPr>
        <w:footnoteReference w:id="199"/>
      </w:r>
      <w:r>
        <w:rPr>
          <w:rFonts w:ascii="Times New Roman" w:hAnsi="Times New Roman" w:cs="Times New Roman"/>
          <w:sz w:val="24"/>
        </w:rPr>
        <w:t xml:space="preserve"> S tím koresponduje i f</w:t>
      </w:r>
      <w:r w:rsidR="001F6A6E">
        <w:rPr>
          <w:rFonts w:ascii="Times New Roman" w:hAnsi="Times New Roman" w:cs="Times New Roman"/>
          <w:sz w:val="24"/>
        </w:rPr>
        <w:t>akt, že v roce 2014 tvořila odůvodněná stanoviska</w:t>
      </w:r>
      <w:r w:rsidR="00E423D8">
        <w:rPr>
          <w:rFonts w:ascii="Times New Roman" w:hAnsi="Times New Roman" w:cs="Times New Roman"/>
          <w:sz w:val="24"/>
        </w:rPr>
        <w:t xml:space="preserve"> čtyři </w:t>
      </w:r>
      <w:r w:rsidR="007740E3">
        <w:rPr>
          <w:rFonts w:ascii="Times New Roman" w:hAnsi="Times New Roman" w:cs="Times New Roman"/>
          <w:sz w:val="24"/>
        </w:rPr>
        <w:t>procenta</w:t>
      </w:r>
      <w:r>
        <w:rPr>
          <w:rFonts w:ascii="Times New Roman" w:hAnsi="Times New Roman" w:cs="Times New Roman"/>
          <w:sz w:val="24"/>
        </w:rPr>
        <w:t xml:space="preserve"> z celkového počtu stanovisek či příspěvků zaslaných parla</w:t>
      </w:r>
      <w:r w:rsidR="00E423D8">
        <w:rPr>
          <w:rFonts w:ascii="Times New Roman" w:hAnsi="Times New Roman" w:cs="Times New Roman"/>
          <w:sz w:val="24"/>
        </w:rPr>
        <w:t>menty, v roce 2015 pak již jen dvě</w:t>
      </w:r>
      <w:r>
        <w:rPr>
          <w:rFonts w:ascii="Times New Roman" w:hAnsi="Times New Roman" w:cs="Times New Roman"/>
          <w:sz w:val="24"/>
        </w:rPr>
        <w:t>.</w:t>
      </w:r>
      <w:r w:rsidR="00C03463">
        <w:rPr>
          <w:rFonts w:ascii="Times New Roman" w:hAnsi="Times New Roman" w:cs="Times New Roman"/>
          <w:sz w:val="24"/>
        </w:rPr>
        <w:t xml:space="preserve"> </w:t>
      </w:r>
      <w:r w:rsidR="00C03463" w:rsidRPr="00C03463">
        <w:rPr>
          <w:rFonts w:ascii="Times New Roman" w:hAnsi="Times New Roman" w:cs="Times New Roman"/>
          <w:sz w:val="24"/>
        </w:rPr>
        <w:t xml:space="preserve">Mnohem větší podíl připadá na příspěvky v rámci politického dialogu. </w:t>
      </w:r>
      <w:r>
        <w:rPr>
          <w:rFonts w:ascii="Times New Roman" w:hAnsi="Times New Roman" w:cs="Times New Roman"/>
          <w:sz w:val="24"/>
        </w:rPr>
        <w:t xml:space="preserve"> Návrhem, proti které</w:t>
      </w:r>
      <w:r w:rsidR="00B11AF0">
        <w:rPr>
          <w:rFonts w:ascii="Times New Roman" w:hAnsi="Times New Roman" w:cs="Times New Roman"/>
          <w:sz w:val="24"/>
        </w:rPr>
        <w:t>mu v roce 2015 mířilo nejvíce odůvodněných stanovisek</w:t>
      </w:r>
      <w:r w:rsidR="002E43BF">
        <w:rPr>
          <w:rFonts w:ascii="Times New Roman" w:hAnsi="Times New Roman" w:cs="Times New Roman"/>
          <w:sz w:val="24"/>
        </w:rPr>
        <w:t>, pět, byl</w:t>
      </w:r>
      <w:r>
        <w:rPr>
          <w:rFonts w:ascii="Times New Roman" w:hAnsi="Times New Roman" w:cs="Times New Roman"/>
          <w:sz w:val="24"/>
        </w:rPr>
        <w:t xml:space="preserve"> </w:t>
      </w:r>
      <w:r w:rsidR="00AD6D90" w:rsidRPr="00AD6D90">
        <w:rPr>
          <w:rFonts w:ascii="Times New Roman" w:hAnsi="Times New Roman" w:cs="Times New Roman"/>
          <w:sz w:val="24"/>
        </w:rPr>
        <w:t>návrh</w:t>
      </w:r>
      <w:r w:rsidR="005928B9">
        <w:rPr>
          <w:rFonts w:ascii="Times New Roman" w:hAnsi="Times New Roman" w:cs="Times New Roman"/>
          <w:sz w:val="24"/>
        </w:rPr>
        <w:t xml:space="preserve"> nařízení</w:t>
      </w:r>
      <w:r w:rsidR="00C55A5C">
        <w:rPr>
          <w:rFonts w:ascii="Times New Roman" w:hAnsi="Times New Roman" w:cs="Times New Roman"/>
          <w:sz w:val="24"/>
        </w:rPr>
        <w:t xml:space="preserve"> související s řešením migrační krize. Navrhováno bylo mj.</w:t>
      </w:r>
      <w:r w:rsidR="00AD6D90" w:rsidRPr="00AD6D90">
        <w:rPr>
          <w:rFonts w:ascii="Times New Roman" w:hAnsi="Times New Roman" w:cs="Times New Roman"/>
          <w:sz w:val="24"/>
        </w:rPr>
        <w:t xml:space="preserve"> zřízení krizového relokačního mechanismu</w:t>
      </w:r>
      <w:r>
        <w:rPr>
          <w:rFonts w:ascii="Times New Roman" w:hAnsi="Times New Roman" w:cs="Times New Roman"/>
          <w:sz w:val="24"/>
        </w:rPr>
        <w:t>.</w:t>
      </w:r>
      <w:r w:rsidR="0036155B">
        <w:rPr>
          <w:rStyle w:val="Znakapoznpodarou"/>
          <w:rFonts w:ascii="Times New Roman" w:hAnsi="Times New Roman" w:cs="Times New Roman"/>
          <w:sz w:val="24"/>
        </w:rPr>
        <w:footnoteReference w:id="200"/>
      </w:r>
      <w:r>
        <w:rPr>
          <w:rFonts w:ascii="Times New Roman" w:hAnsi="Times New Roman" w:cs="Times New Roman"/>
          <w:sz w:val="24"/>
        </w:rPr>
        <w:t xml:space="preserve"> V roce 2</w:t>
      </w:r>
      <w:r w:rsidR="0072338D">
        <w:rPr>
          <w:rFonts w:ascii="Times New Roman" w:hAnsi="Times New Roman" w:cs="Times New Roman"/>
          <w:sz w:val="24"/>
        </w:rPr>
        <w:t>016 byl klesající trend</w:t>
      </w:r>
      <w:r>
        <w:rPr>
          <w:rFonts w:ascii="Times New Roman" w:hAnsi="Times New Roman" w:cs="Times New Roman"/>
          <w:sz w:val="24"/>
        </w:rPr>
        <w:t xml:space="preserve"> přerušen, když jen k</w:t>
      </w:r>
      <w:r w:rsidR="00177464">
        <w:rPr>
          <w:rFonts w:ascii="Times New Roman" w:hAnsi="Times New Roman" w:cs="Times New Roman"/>
          <w:sz w:val="24"/>
        </w:rPr>
        <w:t> návrhu směrnice přinášející změny v oblasti vysílání pracovníků</w:t>
      </w:r>
      <w:r w:rsidR="00492820">
        <w:rPr>
          <w:rStyle w:val="Znakapoznpodarou"/>
          <w:rFonts w:ascii="Times New Roman" w:hAnsi="Times New Roman" w:cs="Times New Roman"/>
          <w:sz w:val="24"/>
        </w:rPr>
        <w:footnoteReference w:id="201"/>
      </w:r>
      <w:r w:rsidR="00177464">
        <w:rPr>
          <w:rFonts w:ascii="Times New Roman" w:hAnsi="Times New Roman" w:cs="Times New Roman"/>
          <w:sz w:val="24"/>
        </w:rPr>
        <w:t xml:space="preserve"> </w:t>
      </w:r>
      <w:r w:rsidR="00670987">
        <w:rPr>
          <w:rFonts w:ascii="Times New Roman" w:hAnsi="Times New Roman" w:cs="Times New Roman"/>
          <w:sz w:val="24"/>
        </w:rPr>
        <w:t>bylo vydáno 14 odůvodněných stanovisek</w:t>
      </w:r>
      <w:r>
        <w:rPr>
          <w:rFonts w:ascii="Times New Roman" w:hAnsi="Times New Roman" w:cs="Times New Roman"/>
          <w:sz w:val="24"/>
        </w:rPr>
        <w:t>. Tato představovala 22 hlasů a došlo tak k v</w:t>
      </w:r>
      <w:r w:rsidR="002A0DAC">
        <w:rPr>
          <w:rFonts w:ascii="Times New Roman" w:hAnsi="Times New Roman" w:cs="Times New Roman"/>
          <w:sz w:val="24"/>
        </w:rPr>
        <w:t>ydání třetí žluté karty</w:t>
      </w:r>
      <w:r w:rsidR="005D141F">
        <w:rPr>
          <w:rFonts w:ascii="Times New Roman" w:hAnsi="Times New Roman" w:cs="Times New Roman"/>
          <w:sz w:val="24"/>
        </w:rPr>
        <w:t xml:space="preserve"> za</w:t>
      </w:r>
      <w:r>
        <w:rPr>
          <w:rFonts w:ascii="Times New Roman" w:hAnsi="Times New Roman" w:cs="Times New Roman"/>
          <w:sz w:val="24"/>
        </w:rPr>
        <w:t xml:space="preserve"> </w:t>
      </w:r>
      <w:r w:rsidR="002A0DAC">
        <w:rPr>
          <w:rFonts w:ascii="Times New Roman" w:hAnsi="Times New Roman" w:cs="Times New Roman"/>
          <w:sz w:val="24"/>
        </w:rPr>
        <w:t>dobu fungování systému včasného varování. Všemi třemi udělenými žlutými kartami</w:t>
      </w:r>
      <w:r>
        <w:rPr>
          <w:rFonts w:ascii="Times New Roman" w:hAnsi="Times New Roman" w:cs="Times New Roman"/>
          <w:sz w:val="24"/>
        </w:rPr>
        <w:t xml:space="preserve"> se </w:t>
      </w:r>
      <w:r w:rsidR="002A0DAC">
        <w:rPr>
          <w:rFonts w:ascii="Times New Roman" w:hAnsi="Times New Roman" w:cs="Times New Roman"/>
          <w:sz w:val="24"/>
        </w:rPr>
        <w:t xml:space="preserve">budeme zabývat v následující </w:t>
      </w:r>
      <w:r>
        <w:rPr>
          <w:rFonts w:ascii="Times New Roman" w:hAnsi="Times New Roman" w:cs="Times New Roman"/>
          <w:sz w:val="24"/>
        </w:rPr>
        <w:t>kapitole.</w:t>
      </w:r>
    </w:p>
    <w:p w:rsidR="00B53445" w:rsidRDefault="00CD5F97" w:rsidP="00441DF0">
      <w:pPr>
        <w:spacing w:after="0" w:line="360" w:lineRule="auto"/>
        <w:ind w:firstLine="709"/>
        <w:jc w:val="both"/>
        <w:rPr>
          <w:rFonts w:ascii="Times New Roman" w:hAnsi="Times New Roman" w:cs="Times New Roman"/>
          <w:sz w:val="24"/>
        </w:rPr>
      </w:pPr>
      <w:r>
        <w:rPr>
          <w:rFonts w:ascii="Times New Roman" w:hAnsi="Times New Roman" w:cs="Times New Roman"/>
          <w:sz w:val="24"/>
        </w:rPr>
        <w:t>Vzhledem k tomu, že systém včasného varování</w:t>
      </w:r>
      <w:r w:rsidR="00B53445">
        <w:rPr>
          <w:rFonts w:ascii="Times New Roman" w:hAnsi="Times New Roman" w:cs="Times New Roman"/>
          <w:sz w:val="24"/>
        </w:rPr>
        <w:t xml:space="preserve"> je kolek</w:t>
      </w:r>
      <w:r w:rsidR="00296CD1">
        <w:rPr>
          <w:rFonts w:ascii="Times New Roman" w:hAnsi="Times New Roman" w:cs="Times New Roman"/>
          <w:sz w:val="24"/>
        </w:rPr>
        <w:t>tivním nástrojem, je důležité</w:t>
      </w:r>
      <w:r w:rsidR="00B53445">
        <w:rPr>
          <w:rFonts w:ascii="Times New Roman" w:hAnsi="Times New Roman" w:cs="Times New Roman"/>
          <w:sz w:val="24"/>
        </w:rPr>
        <w:t xml:space="preserve"> nahlédnout </w:t>
      </w:r>
      <w:r w:rsidR="00296CD1">
        <w:rPr>
          <w:rFonts w:ascii="Times New Roman" w:hAnsi="Times New Roman" w:cs="Times New Roman"/>
          <w:sz w:val="24"/>
        </w:rPr>
        <w:t xml:space="preserve">i </w:t>
      </w:r>
      <w:r w:rsidR="00B53445">
        <w:rPr>
          <w:rFonts w:ascii="Times New Roman" w:hAnsi="Times New Roman" w:cs="Times New Roman"/>
          <w:sz w:val="24"/>
        </w:rPr>
        <w:t>na aktivitu jednotlivých parlamentů. V případě nezájmu v</w:t>
      </w:r>
      <w:r>
        <w:rPr>
          <w:rFonts w:ascii="Times New Roman" w:hAnsi="Times New Roman" w:cs="Times New Roman"/>
          <w:sz w:val="24"/>
        </w:rPr>
        <w:t>ětšího počtu z nich by totiž systém včasného varování</w:t>
      </w:r>
      <w:r w:rsidR="00B53445">
        <w:rPr>
          <w:rFonts w:ascii="Times New Roman" w:hAnsi="Times New Roman" w:cs="Times New Roman"/>
          <w:sz w:val="24"/>
        </w:rPr>
        <w:t xml:space="preserve"> mohl být do značné míry ochromen. Vypovídajíc</w:t>
      </w:r>
      <w:r w:rsidR="000D62A5">
        <w:rPr>
          <w:rFonts w:ascii="Times New Roman" w:hAnsi="Times New Roman" w:cs="Times New Roman"/>
          <w:sz w:val="24"/>
        </w:rPr>
        <w:t>ími ukazateli</w:t>
      </w:r>
      <w:r w:rsidR="00B53445">
        <w:rPr>
          <w:rFonts w:ascii="Times New Roman" w:hAnsi="Times New Roman" w:cs="Times New Roman"/>
          <w:sz w:val="24"/>
        </w:rPr>
        <w:t xml:space="preserve"> jsou v tomto o</w:t>
      </w:r>
      <w:r w:rsidR="00F51252">
        <w:rPr>
          <w:rFonts w:ascii="Times New Roman" w:hAnsi="Times New Roman" w:cs="Times New Roman"/>
          <w:sz w:val="24"/>
        </w:rPr>
        <w:t>hledu dle našeho názoru nejen odůvodněná stanoviska</w:t>
      </w:r>
      <w:r w:rsidR="00B53445">
        <w:rPr>
          <w:rFonts w:ascii="Times New Roman" w:hAnsi="Times New Roman" w:cs="Times New Roman"/>
          <w:sz w:val="24"/>
        </w:rPr>
        <w:t xml:space="preserve"> vydaná jednotlivými parlamenty, ale taktéž </w:t>
      </w:r>
      <w:r w:rsidR="00264482">
        <w:rPr>
          <w:rFonts w:ascii="Times New Roman" w:hAnsi="Times New Roman" w:cs="Times New Roman"/>
          <w:sz w:val="24"/>
        </w:rPr>
        <w:t xml:space="preserve">jejich </w:t>
      </w:r>
      <w:r w:rsidR="00B53445">
        <w:rPr>
          <w:rFonts w:ascii="Times New Roman" w:hAnsi="Times New Roman" w:cs="Times New Roman"/>
          <w:sz w:val="24"/>
        </w:rPr>
        <w:t>účast v politickém dialogu, jakož i to, jak často daný parlament vůbec podrobuje zasla</w:t>
      </w:r>
      <w:r w:rsidR="008D34F8">
        <w:rPr>
          <w:rFonts w:ascii="Times New Roman" w:hAnsi="Times New Roman" w:cs="Times New Roman"/>
          <w:sz w:val="24"/>
        </w:rPr>
        <w:t>né návrhy kontrole souladu se zásadou subsidiarity</w:t>
      </w:r>
      <w:r w:rsidR="00B53445">
        <w:rPr>
          <w:rFonts w:ascii="Times New Roman" w:hAnsi="Times New Roman" w:cs="Times New Roman"/>
          <w:sz w:val="24"/>
        </w:rPr>
        <w:t>. Pozitivně hodnotíme, že od</w:t>
      </w:r>
      <w:r>
        <w:rPr>
          <w:rFonts w:ascii="Times New Roman" w:hAnsi="Times New Roman" w:cs="Times New Roman"/>
          <w:sz w:val="24"/>
        </w:rPr>
        <w:t xml:space="preserve"> počátku fungování systému včasného varování až ke dni 23. října</w:t>
      </w:r>
      <w:r w:rsidR="00B53445">
        <w:rPr>
          <w:rFonts w:ascii="Times New Roman" w:hAnsi="Times New Roman" w:cs="Times New Roman"/>
          <w:sz w:val="24"/>
        </w:rPr>
        <w:t xml:space="preserve"> 2015 pouze jedna komora nevydala ani </w:t>
      </w:r>
      <w:r w:rsidR="00D62F7B">
        <w:rPr>
          <w:rFonts w:ascii="Times New Roman" w:hAnsi="Times New Roman" w:cs="Times New Roman"/>
          <w:sz w:val="24"/>
        </w:rPr>
        <w:t>jedno odůvodněné stanovisko</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02"/>
      </w:r>
      <w:r w:rsidR="00B53445">
        <w:rPr>
          <w:rFonts w:ascii="Times New Roman" w:hAnsi="Times New Roman" w:cs="Times New Roman"/>
          <w:sz w:val="24"/>
        </w:rPr>
        <w:t xml:space="preserve"> Jinak lze ale mezi parlamenty </w:t>
      </w:r>
      <w:r w:rsidR="00B53445">
        <w:rPr>
          <w:rFonts w:ascii="Times New Roman" w:hAnsi="Times New Roman" w:cs="Times New Roman"/>
          <w:sz w:val="24"/>
        </w:rPr>
        <w:lastRenderedPageBreak/>
        <w:t>identifikovat viditelné rozdíly. V uvedeném období kupř</w:t>
      </w:r>
      <w:r w:rsidR="005F2B1C">
        <w:rPr>
          <w:rFonts w:ascii="Times New Roman" w:hAnsi="Times New Roman" w:cs="Times New Roman"/>
          <w:sz w:val="24"/>
        </w:rPr>
        <w:t>íkladu byla více než polovina odůvodněných stanovisek</w:t>
      </w:r>
      <w:r w:rsidR="00B53445">
        <w:rPr>
          <w:rFonts w:ascii="Times New Roman" w:hAnsi="Times New Roman" w:cs="Times New Roman"/>
          <w:sz w:val="24"/>
        </w:rPr>
        <w:t xml:space="preserve"> vydána v pěti ČS</w:t>
      </w:r>
      <w:r w:rsidR="00F83DCF">
        <w:rPr>
          <w:rFonts w:ascii="Times New Roman" w:hAnsi="Times New Roman" w:cs="Times New Roman"/>
          <w:sz w:val="24"/>
        </w:rPr>
        <w:t>.</w:t>
      </w:r>
      <w:r w:rsidR="00B53445">
        <w:rPr>
          <w:rStyle w:val="Znakapoznpodarou"/>
          <w:rFonts w:ascii="Times New Roman" w:hAnsi="Times New Roman" w:cs="Times New Roman"/>
          <w:sz w:val="24"/>
        </w:rPr>
        <w:footnoteReference w:id="203"/>
      </w:r>
      <w:r w:rsidR="00B53445">
        <w:rPr>
          <w:rFonts w:ascii="Times New Roman" w:hAnsi="Times New Roman" w:cs="Times New Roman"/>
          <w:sz w:val="24"/>
        </w:rPr>
        <w:t xml:space="preserve"> Z 12 ČS </w:t>
      </w:r>
      <w:r w:rsidR="005F2B1C">
        <w:rPr>
          <w:rFonts w:ascii="Times New Roman" w:hAnsi="Times New Roman" w:cs="Times New Roman"/>
          <w:sz w:val="24"/>
        </w:rPr>
        <w:t>jich naopak nevzešlo více než pět.</w:t>
      </w:r>
      <w:r w:rsidR="00B53445">
        <w:rPr>
          <w:rStyle w:val="Znakapoznpodarou"/>
          <w:rFonts w:ascii="Times New Roman" w:hAnsi="Times New Roman" w:cs="Times New Roman"/>
          <w:sz w:val="24"/>
        </w:rPr>
        <w:footnoteReference w:id="204"/>
      </w:r>
      <w:r w:rsidR="005F2B1C">
        <w:rPr>
          <w:rFonts w:ascii="Times New Roman" w:hAnsi="Times New Roman" w:cs="Times New Roman"/>
          <w:sz w:val="24"/>
        </w:rPr>
        <w:t xml:space="preserve"> </w:t>
      </w:r>
      <w:r w:rsidR="00383366">
        <w:rPr>
          <w:rFonts w:ascii="Times New Roman" w:hAnsi="Times New Roman" w:cs="Times New Roman"/>
          <w:sz w:val="24"/>
        </w:rPr>
        <w:t>Parlamenty z druhé skupiny</w:t>
      </w:r>
      <w:r w:rsidR="00B53445">
        <w:rPr>
          <w:rFonts w:ascii="Times New Roman" w:hAnsi="Times New Roman" w:cs="Times New Roman"/>
          <w:sz w:val="24"/>
        </w:rPr>
        <w:t xml:space="preserve"> pak až na ojedinělé výjimky nejsou aktivní ani v rámci politického dialogu. Možná překvapivě však nelze učinit absolutní závěr, že by všechny </w:t>
      </w:r>
      <w:r w:rsidR="0076611D">
        <w:rPr>
          <w:rFonts w:ascii="Times New Roman" w:hAnsi="Times New Roman" w:cs="Times New Roman"/>
          <w:sz w:val="24"/>
        </w:rPr>
        <w:t>zcela na kontrolu souladu se zásadou subsidiarity</w:t>
      </w:r>
      <w:r w:rsidR="00B53445">
        <w:rPr>
          <w:rFonts w:ascii="Times New Roman" w:hAnsi="Times New Roman" w:cs="Times New Roman"/>
          <w:sz w:val="24"/>
        </w:rPr>
        <w:t xml:space="preserve"> rezignovaly. </w:t>
      </w:r>
      <w:r w:rsidR="00E879A2">
        <w:rPr>
          <w:rFonts w:ascii="Times New Roman" w:hAnsi="Times New Roman" w:cs="Times New Roman"/>
          <w:sz w:val="24"/>
        </w:rPr>
        <w:t>Alespoň</w:t>
      </w:r>
      <w:r w:rsidR="00B53445">
        <w:rPr>
          <w:rFonts w:ascii="Times New Roman" w:hAnsi="Times New Roman" w:cs="Times New Roman"/>
          <w:sz w:val="24"/>
        </w:rPr>
        <w:t xml:space="preserve"> některé z nich totiž ve významném počtu případů kontrolu návrhu nějakým způsobem provádí, přesto</w:t>
      </w:r>
      <w:r w:rsidR="00AF16A6">
        <w:rPr>
          <w:rFonts w:ascii="Times New Roman" w:hAnsi="Times New Roman" w:cs="Times New Roman"/>
          <w:sz w:val="24"/>
        </w:rPr>
        <w:t>že nakonec zpravidla nevydají odůvodněné stanovisko</w:t>
      </w:r>
      <w:r w:rsidR="00350360">
        <w:rPr>
          <w:rFonts w:ascii="Times New Roman" w:hAnsi="Times New Roman" w:cs="Times New Roman"/>
          <w:sz w:val="24"/>
        </w:rPr>
        <w:t xml:space="preserve"> nebo</w:t>
      </w:r>
      <w:r w:rsidR="00B53445">
        <w:rPr>
          <w:rFonts w:ascii="Times New Roman" w:hAnsi="Times New Roman" w:cs="Times New Roman"/>
          <w:sz w:val="24"/>
        </w:rPr>
        <w:t xml:space="preserve"> nezašlou příspěvek v rámci politického dialogu.</w:t>
      </w:r>
      <w:r w:rsidR="00B53445">
        <w:rPr>
          <w:rStyle w:val="Znakapoznpodarou"/>
          <w:rFonts w:ascii="Times New Roman" w:hAnsi="Times New Roman" w:cs="Times New Roman"/>
          <w:sz w:val="24"/>
        </w:rPr>
        <w:footnoteReference w:id="205"/>
      </w:r>
    </w:p>
    <w:p w:rsidR="00D60761" w:rsidRDefault="00D60761" w:rsidP="007707AD">
      <w:pPr>
        <w:spacing w:after="0" w:line="360" w:lineRule="auto"/>
        <w:ind w:firstLine="360"/>
        <w:jc w:val="both"/>
        <w:rPr>
          <w:rFonts w:ascii="Times New Roman" w:hAnsi="Times New Roman" w:cs="Times New Roman"/>
          <w:sz w:val="24"/>
        </w:rPr>
      </w:pPr>
    </w:p>
    <w:p w:rsidR="005F5594" w:rsidRPr="00294A60" w:rsidRDefault="005F5594" w:rsidP="005F5594">
      <w:pPr>
        <w:pStyle w:val="Nadpis2"/>
        <w:numPr>
          <w:ilvl w:val="1"/>
          <w:numId w:val="3"/>
        </w:numPr>
      </w:pPr>
      <w:bookmarkStart w:id="28" w:name="_Toc478235174"/>
      <w:r w:rsidRPr="00AD6F3A">
        <w:t>Reakce</w:t>
      </w:r>
      <w:r w:rsidRPr="00294A60">
        <w:t xml:space="preserve"> Komise na odůvodněná stanoviska</w:t>
      </w:r>
      <w:bookmarkEnd w:id="28"/>
    </w:p>
    <w:p w:rsidR="005F5594" w:rsidRPr="005F5594" w:rsidRDefault="005F5594" w:rsidP="005F5594">
      <w:pPr>
        <w:pStyle w:val="Odstavecseseznamem"/>
        <w:ind w:left="420"/>
      </w:pPr>
    </w:p>
    <w:p w:rsidR="003C5977" w:rsidRDefault="00CA6178" w:rsidP="00441DF0">
      <w:pPr>
        <w:spacing w:line="360" w:lineRule="auto"/>
        <w:ind w:firstLine="709"/>
        <w:jc w:val="both"/>
        <w:rPr>
          <w:rFonts w:ascii="Times New Roman" w:hAnsi="Times New Roman" w:cs="Times New Roman"/>
          <w:sz w:val="24"/>
        </w:rPr>
      </w:pPr>
      <w:r>
        <w:rPr>
          <w:rFonts w:ascii="Times New Roman" w:hAnsi="Times New Roman" w:cs="Times New Roman"/>
          <w:sz w:val="24"/>
        </w:rPr>
        <w:t>Komise na přijatá odůvodněná stanoviska</w:t>
      </w:r>
      <w:r w:rsidR="00544D32">
        <w:rPr>
          <w:rFonts w:ascii="Times New Roman" w:hAnsi="Times New Roman" w:cs="Times New Roman"/>
          <w:sz w:val="24"/>
        </w:rPr>
        <w:t xml:space="preserve"> </w:t>
      </w:r>
      <w:r w:rsidR="009246EB">
        <w:rPr>
          <w:rFonts w:ascii="Times New Roman" w:hAnsi="Times New Roman" w:cs="Times New Roman"/>
          <w:sz w:val="24"/>
        </w:rPr>
        <w:t xml:space="preserve">zasílá </w:t>
      </w:r>
      <w:r w:rsidR="00B53445">
        <w:rPr>
          <w:rFonts w:ascii="Times New Roman" w:hAnsi="Times New Roman" w:cs="Times New Roman"/>
          <w:sz w:val="24"/>
        </w:rPr>
        <w:t>svou odpověď. Stejně jako odůvodnění návrhů, ani tyto odpovědi Komise neušly kritice. Parl</w:t>
      </w:r>
      <w:r w:rsidR="00157923">
        <w:rPr>
          <w:rFonts w:ascii="Times New Roman" w:hAnsi="Times New Roman" w:cs="Times New Roman"/>
          <w:sz w:val="24"/>
        </w:rPr>
        <w:t xml:space="preserve">amenty je vnímají jako stručné či </w:t>
      </w:r>
      <w:r w:rsidR="00B53445">
        <w:rPr>
          <w:rFonts w:ascii="Times New Roman" w:hAnsi="Times New Roman" w:cs="Times New Roman"/>
          <w:sz w:val="24"/>
        </w:rPr>
        <w:t>obecné</w:t>
      </w:r>
      <w:r w:rsidR="00FB2A0B">
        <w:rPr>
          <w:rFonts w:ascii="Times New Roman" w:hAnsi="Times New Roman" w:cs="Times New Roman"/>
          <w:sz w:val="24"/>
        </w:rPr>
        <w:t>. N</w:t>
      </w:r>
      <w:r w:rsidR="00B53445">
        <w:rPr>
          <w:rFonts w:ascii="Times New Roman" w:hAnsi="Times New Roman" w:cs="Times New Roman"/>
          <w:sz w:val="24"/>
        </w:rPr>
        <w:t>aví</w:t>
      </w:r>
      <w:r w:rsidR="00DA2F8F">
        <w:rPr>
          <w:rFonts w:ascii="Times New Roman" w:hAnsi="Times New Roman" w:cs="Times New Roman"/>
          <w:sz w:val="24"/>
        </w:rPr>
        <w:t>c vytýkají časovou prodlevu</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06"/>
      </w:r>
      <w:r w:rsidR="00B53445">
        <w:rPr>
          <w:rFonts w:ascii="Times New Roman" w:hAnsi="Times New Roman" w:cs="Times New Roman"/>
          <w:sz w:val="24"/>
        </w:rPr>
        <w:t xml:space="preserve"> Jako důležitější s</w:t>
      </w:r>
      <w:r w:rsidR="008D77FA">
        <w:rPr>
          <w:rFonts w:ascii="Times New Roman" w:hAnsi="Times New Roman" w:cs="Times New Roman"/>
          <w:sz w:val="24"/>
        </w:rPr>
        <w:t>e ale jeví otázka, zda vydání stanovisek</w:t>
      </w:r>
      <w:r w:rsidR="00B53445">
        <w:rPr>
          <w:rFonts w:ascii="Times New Roman" w:hAnsi="Times New Roman" w:cs="Times New Roman"/>
          <w:sz w:val="24"/>
        </w:rPr>
        <w:t xml:space="preserve"> ovlivní předmětný návrh ve smyslu jeho změny či stažení. K tomu samozřejmě může d</w:t>
      </w:r>
      <w:r w:rsidR="00E108EB">
        <w:rPr>
          <w:rFonts w:ascii="Times New Roman" w:hAnsi="Times New Roman" w:cs="Times New Roman"/>
          <w:sz w:val="24"/>
        </w:rPr>
        <w:t>ojít i bez dosažení prahů pro žlutou či oranžovou kartu</w:t>
      </w:r>
      <w:r w:rsidR="00B53445">
        <w:rPr>
          <w:rFonts w:ascii="Times New Roman" w:hAnsi="Times New Roman" w:cs="Times New Roman"/>
          <w:sz w:val="24"/>
        </w:rPr>
        <w:t xml:space="preserve">. </w:t>
      </w:r>
      <w:r w:rsidR="00B53445" w:rsidRPr="00FC1B61">
        <w:rPr>
          <w:rFonts w:ascii="Times New Roman" w:hAnsi="Times New Roman" w:cs="Times New Roman"/>
          <w:sz w:val="24"/>
        </w:rPr>
        <w:t>Proto vynecháme-li zatím</w:t>
      </w:r>
      <w:r w:rsidR="00050235">
        <w:rPr>
          <w:rFonts w:ascii="Times New Roman" w:hAnsi="Times New Roman" w:cs="Times New Roman"/>
          <w:sz w:val="24"/>
        </w:rPr>
        <w:t xml:space="preserve"> případy, kdy došlo k udělení žluté karty</w:t>
      </w:r>
      <w:r w:rsidR="00B53445" w:rsidRPr="00FC1B61">
        <w:rPr>
          <w:rFonts w:ascii="Times New Roman" w:hAnsi="Times New Roman" w:cs="Times New Roman"/>
          <w:sz w:val="24"/>
        </w:rPr>
        <w:t>, a vezmeme-li v úvahu nejvýznamnější návrhy v letech 2013-2015</w:t>
      </w:r>
      <w:r w:rsidR="0030175F">
        <w:rPr>
          <w:rFonts w:ascii="Times New Roman" w:hAnsi="Times New Roman" w:cs="Times New Roman"/>
          <w:sz w:val="24"/>
        </w:rPr>
        <w:t>,</w:t>
      </w:r>
      <w:r w:rsidR="00B53445" w:rsidRPr="00FC1B61">
        <w:rPr>
          <w:rStyle w:val="Znakapoznpodarou"/>
          <w:rFonts w:ascii="Times New Roman" w:hAnsi="Times New Roman" w:cs="Times New Roman"/>
          <w:sz w:val="24"/>
        </w:rPr>
        <w:footnoteReference w:id="207"/>
      </w:r>
      <w:r w:rsidR="00B53445" w:rsidRPr="00FC1B61">
        <w:rPr>
          <w:rFonts w:ascii="Times New Roman" w:hAnsi="Times New Roman" w:cs="Times New Roman"/>
          <w:sz w:val="24"/>
        </w:rPr>
        <w:t xml:space="preserve"> ke kterým byl</w:t>
      </w:r>
      <w:r w:rsidR="004B30B9">
        <w:rPr>
          <w:rFonts w:ascii="Times New Roman" w:hAnsi="Times New Roman" w:cs="Times New Roman"/>
          <w:sz w:val="24"/>
        </w:rPr>
        <w:t>o vydáno mezi jedním a devíti odůvodněnými stanovisky</w:t>
      </w:r>
      <w:r w:rsidR="00B53445" w:rsidRPr="00FC1B61">
        <w:rPr>
          <w:rFonts w:ascii="Times New Roman" w:hAnsi="Times New Roman" w:cs="Times New Roman"/>
          <w:sz w:val="24"/>
        </w:rPr>
        <w:t xml:space="preserve">, zjistíme, že ke dni 7. </w:t>
      </w:r>
      <w:r w:rsidR="003F2D54">
        <w:rPr>
          <w:rFonts w:ascii="Times New Roman" w:hAnsi="Times New Roman" w:cs="Times New Roman"/>
          <w:sz w:val="24"/>
        </w:rPr>
        <w:t>srpna</w:t>
      </w:r>
      <w:r w:rsidR="00B53445" w:rsidRPr="00FC1B61">
        <w:rPr>
          <w:rFonts w:ascii="Times New Roman" w:hAnsi="Times New Roman" w:cs="Times New Roman"/>
          <w:sz w:val="24"/>
        </w:rPr>
        <w:t xml:space="preserve"> 2016 bylo z těchto devíti návrhů šest stále projednáváno, dva byly přijaty a jeden stažen</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08"/>
      </w:r>
      <w:r w:rsidR="00D73ACB">
        <w:rPr>
          <w:rFonts w:ascii="Times New Roman" w:hAnsi="Times New Roman" w:cs="Times New Roman"/>
          <w:sz w:val="24"/>
        </w:rPr>
        <w:t xml:space="preserve"> </w:t>
      </w:r>
      <w:r w:rsidR="00B53445">
        <w:rPr>
          <w:rFonts w:ascii="Times New Roman" w:hAnsi="Times New Roman" w:cs="Times New Roman"/>
          <w:sz w:val="24"/>
        </w:rPr>
        <w:t xml:space="preserve">Takové zjištění koresponduje s analýzou </w:t>
      </w:r>
      <w:proofErr w:type="spellStart"/>
      <w:r w:rsidR="00B53445">
        <w:rPr>
          <w:rFonts w:ascii="Times New Roman" w:hAnsi="Times New Roman" w:cs="Times New Roman"/>
          <w:sz w:val="24"/>
        </w:rPr>
        <w:t>Grince</w:t>
      </w:r>
      <w:proofErr w:type="spellEnd"/>
      <w:r w:rsidR="00B53445">
        <w:rPr>
          <w:rFonts w:ascii="Times New Roman" w:hAnsi="Times New Roman" w:cs="Times New Roman"/>
          <w:sz w:val="24"/>
        </w:rPr>
        <w:t>, který zkoumal návrhy, k nimž bylo v obdo</w:t>
      </w:r>
      <w:r w:rsidR="00E157AF">
        <w:rPr>
          <w:rFonts w:ascii="Times New Roman" w:hAnsi="Times New Roman" w:cs="Times New Roman"/>
          <w:sz w:val="24"/>
        </w:rPr>
        <w:t>bí 2010-2013 vydáno alespoň šest odůvodněných stanovisek</w:t>
      </w:r>
      <w:r w:rsidR="00B53445">
        <w:rPr>
          <w:rFonts w:ascii="Times New Roman" w:hAnsi="Times New Roman" w:cs="Times New Roman"/>
          <w:sz w:val="24"/>
        </w:rPr>
        <w:t xml:space="preserve">. Šlo o 22 návrhů, přijato bylo devět, staženy čtyři, zbylé byly stále projednávány. </w:t>
      </w:r>
      <w:proofErr w:type="spellStart"/>
      <w:r w:rsidR="00B53445">
        <w:rPr>
          <w:rFonts w:ascii="Times New Roman" w:hAnsi="Times New Roman" w:cs="Times New Roman"/>
          <w:sz w:val="24"/>
        </w:rPr>
        <w:t>Grinc</w:t>
      </w:r>
      <w:proofErr w:type="spellEnd"/>
      <w:r w:rsidR="00B53445">
        <w:rPr>
          <w:rFonts w:ascii="Times New Roman" w:hAnsi="Times New Roman" w:cs="Times New Roman"/>
          <w:sz w:val="24"/>
        </w:rPr>
        <w:t xml:space="preserve"> také shrnul, že: </w:t>
      </w:r>
      <w:r w:rsidR="00C27BFE">
        <w:rPr>
          <w:rFonts w:ascii="Times New Roman" w:hAnsi="Times New Roman" w:cs="Times New Roman"/>
          <w:i/>
          <w:sz w:val="24"/>
        </w:rPr>
        <w:t>„s</w:t>
      </w:r>
      <w:r w:rsidR="00B53445" w:rsidRPr="0046029E">
        <w:rPr>
          <w:rFonts w:ascii="Times New Roman" w:hAnsi="Times New Roman" w:cs="Times New Roman"/>
          <w:i/>
          <w:sz w:val="24"/>
        </w:rPr>
        <w:t>tažení návrhů není reakcí na odůvodněná stanoviska, nýbrž na nemožnost dosáhnout dohody v Radě.“</w:t>
      </w:r>
      <w:r w:rsidR="00B53445">
        <w:rPr>
          <w:rStyle w:val="Znakapoznpodarou"/>
          <w:rFonts w:ascii="Times New Roman" w:hAnsi="Times New Roman" w:cs="Times New Roman"/>
          <w:i/>
          <w:sz w:val="24"/>
        </w:rPr>
        <w:footnoteReference w:id="209"/>
      </w:r>
      <w:r w:rsidR="00B53445">
        <w:rPr>
          <w:rFonts w:ascii="Times New Roman" w:hAnsi="Times New Roman" w:cs="Times New Roman"/>
          <w:sz w:val="24"/>
        </w:rPr>
        <w:t xml:space="preserve"> Komise vskutku ve svých vyjádřeních zásadně ani náz</w:t>
      </w:r>
      <w:r w:rsidR="00AC0CCC">
        <w:rPr>
          <w:rFonts w:ascii="Times New Roman" w:hAnsi="Times New Roman" w:cs="Times New Roman"/>
          <w:sz w:val="24"/>
        </w:rPr>
        <w:t>nakem nepřipouští nesoulad se zásadou subsidiarity</w:t>
      </w:r>
      <w:r w:rsidR="00B53445">
        <w:rPr>
          <w:rFonts w:ascii="Times New Roman" w:hAnsi="Times New Roman" w:cs="Times New Roman"/>
          <w:sz w:val="24"/>
        </w:rPr>
        <w:t>, soustředí s</w:t>
      </w:r>
      <w:r w:rsidR="008B618F">
        <w:rPr>
          <w:rFonts w:ascii="Times New Roman" w:hAnsi="Times New Roman" w:cs="Times New Roman"/>
          <w:sz w:val="24"/>
        </w:rPr>
        <w:t>e na vysvětlení přidané hodnoty</w:t>
      </w:r>
      <w:r w:rsidR="00C83A7E">
        <w:rPr>
          <w:rFonts w:ascii="Times New Roman" w:hAnsi="Times New Roman" w:cs="Times New Roman"/>
          <w:sz w:val="24"/>
        </w:rPr>
        <w:t xml:space="preserve">, případně </w:t>
      </w:r>
      <w:r w:rsidR="00B53445">
        <w:rPr>
          <w:rFonts w:ascii="Times New Roman" w:hAnsi="Times New Roman" w:cs="Times New Roman"/>
          <w:sz w:val="24"/>
        </w:rPr>
        <w:t>upozorní na rozmanitost úprav v ČS. V případě stažen</w:t>
      </w:r>
      <w:r w:rsidR="00746A6E">
        <w:rPr>
          <w:rFonts w:ascii="Times New Roman" w:hAnsi="Times New Roman" w:cs="Times New Roman"/>
          <w:sz w:val="24"/>
        </w:rPr>
        <w:t>í návrhu se pak odvolá např.</w:t>
      </w:r>
      <w:r w:rsidR="00B53445">
        <w:rPr>
          <w:rFonts w:ascii="Times New Roman" w:hAnsi="Times New Roman" w:cs="Times New Roman"/>
          <w:sz w:val="24"/>
        </w:rPr>
        <w:t xml:space="preserve"> na svůj pracovní program. Nezřídka je také stažení návrhu doprovázeno záměrem nahradit jej novou iniciat</w:t>
      </w:r>
      <w:r w:rsidR="00AA744F">
        <w:rPr>
          <w:rFonts w:ascii="Times New Roman" w:hAnsi="Times New Roman" w:cs="Times New Roman"/>
          <w:sz w:val="24"/>
        </w:rPr>
        <w:t xml:space="preserve">ivou. </w:t>
      </w:r>
    </w:p>
    <w:p w:rsidR="004638FB" w:rsidRDefault="004638FB" w:rsidP="004638FB">
      <w:pPr>
        <w:pStyle w:val="Nadpis2"/>
        <w:numPr>
          <w:ilvl w:val="1"/>
          <w:numId w:val="3"/>
        </w:numPr>
      </w:pPr>
      <w:bookmarkStart w:id="29" w:name="_Toc478235175"/>
      <w:r w:rsidRPr="00BA40AB">
        <w:lastRenderedPageBreak/>
        <w:t>P</w:t>
      </w:r>
      <w:r>
        <w:t>rocesní</w:t>
      </w:r>
      <w:r w:rsidRPr="00BA40AB">
        <w:t xml:space="preserve"> mechanismy v rámci parlamentů</w:t>
      </w:r>
      <w:bookmarkEnd w:id="29"/>
    </w:p>
    <w:p w:rsidR="004638FB" w:rsidRPr="004112C5" w:rsidRDefault="004638FB" w:rsidP="004638FB">
      <w:pPr>
        <w:pStyle w:val="Odstavecseseznamem"/>
        <w:ind w:left="780"/>
      </w:pPr>
    </w:p>
    <w:p w:rsidR="004638FB" w:rsidRDefault="004638FB" w:rsidP="00D60761">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Zde ještě</w:t>
      </w:r>
      <w:r w:rsidR="00072778">
        <w:rPr>
          <w:rFonts w:ascii="Times New Roman" w:hAnsi="Times New Roman" w:cs="Times New Roman"/>
          <w:sz w:val="24"/>
        </w:rPr>
        <w:t xml:space="preserve">, </w:t>
      </w:r>
      <w:r w:rsidR="00880CC1">
        <w:rPr>
          <w:rFonts w:ascii="Times New Roman" w:hAnsi="Times New Roman" w:cs="Times New Roman"/>
          <w:sz w:val="24"/>
        </w:rPr>
        <w:t>byť nabouráme</w:t>
      </w:r>
      <w:r>
        <w:rPr>
          <w:rFonts w:ascii="Times New Roman" w:hAnsi="Times New Roman" w:cs="Times New Roman"/>
          <w:sz w:val="24"/>
        </w:rPr>
        <w:t xml:space="preserve"> v kapitole doposud uplatňovanou časovou posloupnost jednotlivých kroků, věnujme kratší prostor tomu, jaký proces na </w:t>
      </w:r>
      <w:r w:rsidR="00236E06">
        <w:rPr>
          <w:rFonts w:ascii="Times New Roman" w:hAnsi="Times New Roman" w:cs="Times New Roman"/>
          <w:sz w:val="24"/>
        </w:rPr>
        <w:t>půdě parlamentů vede k vydání odůvodněného stanoviska</w:t>
      </w:r>
      <w:r>
        <w:rPr>
          <w:rFonts w:ascii="Times New Roman" w:hAnsi="Times New Roman" w:cs="Times New Roman"/>
          <w:sz w:val="24"/>
        </w:rPr>
        <w:t>. Parlamenty přijaly různé procedury, kterými kontrolu ex ante provádějí. Rozdíly lze spatřovat v tom, jaké subjekty se do ní zapojují, i v tom, k</w:t>
      </w:r>
      <w:r w:rsidR="00B3245F">
        <w:rPr>
          <w:rFonts w:ascii="Times New Roman" w:hAnsi="Times New Roman" w:cs="Times New Roman"/>
          <w:sz w:val="24"/>
        </w:rPr>
        <w:t>do konečně rozhoduje o vydání</w:t>
      </w:r>
      <w:r>
        <w:rPr>
          <w:rFonts w:ascii="Times New Roman" w:hAnsi="Times New Roman" w:cs="Times New Roman"/>
          <w:sz w:val="24"/>
        </w:rPr>
        <w:t>. Do kontroly návrhů se mohou zapojovat výbory pro evropské záležitosti, sekt</w:t>
      </w:r>
      <w:r w:rsidR="008B16FB">
        <w:rPr>
          <w:rFonts w:ascii="Times New Roman" w:hAnsi="Times New Roman" w:cs="Times New Roman"/>
          <w:sz w:val="24"/>
        </w:rPr>
        <w:t>orové výbory i další aktéři. K</w:t>
      </w:r>
      <w:r>
        <w:rPr>
          <w:rFonts w:ascii="Times New Roman" w:hAnsi="Times New Roman" w:cs="Times New Roman"/>
          <w:sz w:val="24"/>
        </w:rPr>
        <w:t>ontrola může probíhat i v plén</w:t>
      </w:r>
      <w:r w:rsidR="002E1C96">
        <w:rPr>
          <w:rFonts w:ascii="Times New Roman" w:hAnsi="Times New Roman" w:cs="Times New Roman"/>
          <w:sz w:val="24"/>
        </w:rPr>
        <w:t>u. Pokud jde o samotné vydání odůvodněného stanoviska</w:t>
      </w:r>
      <w:r>
        <w:rPr>
          <w:rFonts w:ascii="Times New Roman" w:hAnsi="Times New Roman" w:cs="Times New Roman"/>
          <w:sz w:val="24"/>
        </w:rPr>
        <w:t>, převažuje rozhodnutí pléna</w:t>
      </w:r>
      <w:r w:rsidR="00A355C5">
        <w:rPr>
          <w:rFonts w:ascii="Times New Roman" w:hAnsi="Times New Roman" w:cs="Times New Roman"/>
          <w:sz w:val="24"/>
        </w:rPr>
        <w:t>,</w:t>
      </w:r>
      <w:r>
        <w:rPr>
          <w:rStyle w:val="Znakapoznpodarou"/>
          <w:rFonts w:ascii="Times New Roman" w:hAnsi="Times New Roman" w:cs="Times New Roman"/>
          <w:sz w:val="24"/>
        </w:rPr>
        <w:footnoteReference w:id="210"/>
      </w:r>
      <w:r>
        <w:rPr>
          <w:rFonts w:ascii="Times New Roman" w:hAnsi="Times New Roman" w:cs="Times New Roman"/>
          <w:sz w:val="24"/>
        </w:rPr>
        <w:t xml:space="preserve"> často je ale tato pravomoc svěřena i výborům</w:t>
      </w:r>
      <w:r w:rsidR="0017532E">
        <w:rPr>
          <w:rFonts w:ascii="Times New Roman" w:hAnsi="Times New Roman" w:cs="Times New Roman"/>
          <w:sz w:val="24"/>
        </w:rPr>
        <w:t>,</w:t>
      </w:r>
      <w:r>
        <w:rPr>
          <w:rStyle w:val="Znakapoznpodarou"/>
          <w:rFonts w:ascii="Times New Roman" w:hAnsi="Times New Roman" w:cs="Times New Roman"/>
          <w:sz w:val="24"/>
        </w:rPr>
        <w:footnoteReference w:id="211"/>
      </w:r>
      <w:r>
        <w:rPr>
          <w:rFonts w:ascii="Times New Roman" w:hAnsi="Times New Roman" w:cs="Times New Roman"/>
          <w:sz w:val="24"/>
        </w:rPr>
        <w:t xml:space="preserve"> v několika málo případech předsednictvu komory.</w:t>
      </w:r>
      <w:r>
        <w:rPr>
          <w:rStyle w:val="Znakapoznpodarou"/>
          <w:rFonts w:ascii="Times New Roman" w:hAnsi="Times New Roman" w:cs="Times New Roman"/>
          <w:sz w:val="24"/>
        </w:rPr>
        <w:footnoteReference w:id="212"/>
      </w:r>
      <w:r>
        <w:rPr>
          <w:rFonts w:ascii="Times New Roman" w:hAnsi="Times New Roman" w:cs="Times New Roman"/>
          <w:sz w:val="24"/>
        </w:rPr>
        <w:t xml:space="preserve"> Např. ve Švédsku, ze</w:t>
      </w:r>
      <w:r w:rsidR="00DE71DB">
        <w:rPr>
          <w:rFonts w:ascii="Times New Roman" w:hAnsi="Times New Roman" w:cs="Times New Roman"/>
          <w:sz w:val="24"/>
        </w:rPr>
        <w:t xml:space="preserve"> kterého zatím vzešlo nejvíce odůvodněných stanovisek</w:t>
      </w:r>
      <w:r>
        <w:rPr>
          <w:rFonts w:ascii="Times New Roman" w:hAnsi="Times New Roman" w:cs="Times New Roman"/>
          <w:sz w:val="24"/>
        </w:rPr>
        <w:t>, probíhá kontrola prostřednictvím sektorového výboru, jemuž je návrh přidělen. Tím dle našeho názoru klesá potřeba žádat stanovisko jiného výboru. Sektorový výbor pak rozhoduj</w:t>
      </w:r>
      <w:r w:rsidR="006A14E9">
        <w:rPr>
          <w:rFonts w:ascii="Times New Roman" w:hAnsi="Times New Roman" w:cs="Times New Roman"/>
          <w:sz w:val="24"/>
        </w:rPr>
        <w:t>e, zda plénu doporučí přijetí odůvodněného stanoviska</w:t>
      </w:r>
      <w:r>
        <w:rPr>
          <w:rFonts w:ascii="Times New Roman" w:hAnsi="Times New Roman" w:cs="Times New Roman"/>
          <w:sz w:val="24"/>
        </w:rPr>
        <w:t>.</w:t>
      </w:r>
      <w:r>
        <w:rPr>
          <w:rStyle w:val="Znakapoznpodarou"/>
          <w:rFonts w:ascii="Times New Roman" w:hAnsi="Times New Roman" w:cs="Times New Roman"/>
          <w:sz w:val="24"/>
        </w:rPr>
        <w:footnoteReference w:id="213"/>
      </w:r>
      <w:r>
        <w:rPr>
          <w:rFonts w:ascii="Times New Roman" w:hAnsi="Times New Roman" w:cs="Times New Roman"/>
          <w:sz w:val="24"/>
        </w:rPr>
        <w:t xml:space="preserve"> </w:t>
      </w:r>
    </w:p>
    <w:p w:rsidR="00305B3D" w:rsidRDefault="004638FB" w:rsidP="00D60761">
      <w:pPr>
        <w:spacing w:after="0" w:line="360" w:lineRule="auto"/>
        <w:jc w:val="both"/>
        <w:rPr>
          <w:rFonts w:ascii="Times New Roman" w:hAnsi="Times New Roman" w:cs="Times New Roman"/>
          <w:sz w:val="24"/>
        </w:rPr>
      </w:pPr>
      <w:r>
        <w:rPr>
          <w:rFonts w:ascii="Times New Roman" w:hAnsi="Times New Roman" w:cs="Times New Roman"/>
          <w:sz w:val="24"/>
        </w:rPr>
        <w:tab/>
        <w:t>S ohledem na lhůtu</w:t>
      </w:r>
      <w:r w:rsidR="00635015">
        <w:rPr>
          <w:rFonts w:ascii="Times New Roman" w:hAnsi="Times New Roman" w:cs="Times New Roman"/>
          <w:sz w:val="24"/>
        </w:rPr>
        <w:t>, kterou parlamenty na vydání odůvodněného stanoviska</w:t>
      </w:r>
      <w:r>
        <w:rPr>
          <w:rFonts w:ascii="Times New Roman" w:hAnsi="Times New Roman" w:cs="Times New Roman"/>
          <w:sz w:val="24"/>
        </w:rPr>
        <w:t xml:space="preserve"> mají, je žádoucí, aby jejich interní procesy byly nastav</w:t>
      </w:r>
      <w:r w:rsidR="00716DC1">
        <w:rPr>
          <w:rFonts w:ascii="Times New Roman" w:hAnsi="Times New Roman" w:cs="Times New Roman"/>
          <w:sz w:val="24"/>
        </w:rPr>
        <w:t>eny co nejjednodušeji. Měly by být</w:t>
      </w:r>
      <w:r>
        <w:rPr>
          <w:rFonts w:ascii="Times New Roman" w:hAnsi="Times New Roman" w:cs="Times New Roman"/>
          <w:sz w:val="24"/>
        </w:rPr>
        <w:t xml:space="preserve"> dodržovány vnitřní lhůty. Nasnadě je také přizpůsobení procedur unijnímu legislativnímu postupu. Potenciální překážky uvádí na příkladu českého Senátu </w:t>
      </w:r>
      <w:proofErr w:type="spellStart"/>
      <w:r>
        <w:rPr>
          <w:rFonts w:ascii="Times New Roman" w:hAnsi="Times New Roman" w:cs="Times New Roman"/>
          <w:sz w:val="24"/>
        </w:rPr>
        <w:t>Grinc</w:t>
      </w:r>
      <w:proofErr w:type="spellEnd"/>
      <w:r w:rsidR="00F82C22">
        <w:rPr>
          <w:rFonts w:ascii="Times New Roman" w:hAnsi="Times New Roman" w:cs="Times New Roman"/>
          <w:sz w:val="24"/>
        </w:rPr>
        <w:t>, když upozorňuje např.</w:t>
      </w:r>
      <w:r w:rsidR="000210E8">
        <w:rPr>
          <w:rFonts w:ascii="Times New Roman" w:hAnsi="Times New Roman" w:cs="Times New Roman"/>
          <w:sz w:val="24"/>
        </w:rPr>
        <w:t xml:space="preserve"> na nesoulad rytmu činnosti Senátu s unijním legislativním procesem</w:t>
      </w:r>
      <w:r>
        <w:rPr>
          <w:rFonts w:ascii="Times New Roman" w:hAnsi="Times New Roman" w:cs="Times New Roman"/>
          <w:sz w:val="24"/>
        </w:rPr>
        <w:t>.</w:t>
      </w:r>
      <w:r>
        <w:rPr>
          <w:rStyle w:val="Znakapoznpodarou"/>
          <w:rFonts w:ascii="Times New Roman" w:hAnsi="Times New Roman" w:cs="Times New Roman"/>
          <w:sz w:val="24"/>
        </w:rPr>
        <w:footnoteReference w:id="214"/>
      </w:r>
      <w:r>
        <w:rPr>
          <w:rFonts w:ascii="Times New Roman" w:hAnsi="Times New Roman" w:cs="Times New Roman"/>
          <w:sz w:val="24"/>
        </w:rPr>
        <w:t xml:space="preserve"> </w:t>
      </w:r>
    </w:p>
    <w:p w:rsidR="004638FB" w:rsidRDefault="004638FB" w:rsidP="00305B3D">
      <w:pPr>
        <w:spacing w:line="360" w:lineRule="auto"/>
        <w:ind w:firstLine="708"/>
        <w:jc w:val="both"/>
        <w:rPr>
          <w:rFonts w:ascii="Times New Roman" w:hAnsi="Times New Roman" w:cs="Times New Roman"/>
          <w:sz w:val="24"/>
        </w:rPr>
      </w:pPr>
      <w:r>
        <w:rPr>
          <w:rFonts w:ascii="Times New Roman" w:hAnsi="Times New Roman" w:cs="Times New Roman"/>
          <w:sz w:val="24"/>
        </w:rPr>
        <w:t>Ne kv</w:t>
      </w:r>
      <w:r w:rsidR="00984650">
        <w:rPr>
          <w:rFonts w:ascii="Times New Roman" w:hAnsi="Times New Roman" w:cs="Times New Roman"/>
          <w:sz w:val="24"/>
        </w:rPr>
        <w:t>ůli nejvyššímu počtu vydaných odůvodněných stanovisek</w:t>
      </w:r>
      <w:r>
        <w:rPr>
          <w:rFonts w:ascii="Times New Roman" w:hAnsi="Times New Roman" w:cs="Times New Roman"/>
          <w:sz w:val="24"/>
        </w:rPr>
        <w:t>, ale spíše z logiky toho, že sektorové výbory by díky předpokládanému většímu přehledu v konkrétních oblastech měly být schopny lépe a rychleji</w:t>
      </w:r>
      <w:r w:rsidR="00B2586D">
        <w:rPr>
          <w:rFonts w:ascii="Times New Roman" w:hAnsi="Times New Roman" w:cs="Times New Roman"/>
          <w:sz w:val="24"/>
        </w:rPr>
        <w:t xml:space="preserve"> posoudit soulad návrhů se zásadou subsidiarity</w:t>
      </w:r>
      <w:r>
        <w:rPr>
          <w:rFonts w:ascii="Times New Roman" w:hAnsi="Times New Roman" w:cs="Times New Roman"/>
          <w:sz w:val="24"/>
        </w:rPr>
        <w:t>, se kloníme k systému uplatňovanému ve Švédsku. Tam se také ukazuje, že, jsou-li správně dodržovány nastavené interní procesy</w:t>
      </w:r>
      <w:r w:rsidR="00614107">
        <w:rPr>
          <w:rFonts w:ascii="Times New Roman" w:hAnsi="Times New Roman" w:cs="Times New Roman"/>
          <w:sz w:val="24"/>
        </w:rPr>
        <w:t>,</w:t>
      </w:r>
      <w:r>
        <w:rPr>
          <w:rStyle w:val="Znakapoznpodarou"/>
          <w:rFonts w:ascii="Times New Roman" w:hAnsi="Times New Roman" w:cs="Times New Roman"/>
          <w:sz w:val="24"/>
        </w:rPr>
        <w:footnoteReference w:id="215"/>
      </w:r>
      <w:r>
        <w:rPr>
          <w:rFonts w:ascii="Times New Roman" w:hAnsi="Times New Roman" w:cs="Times New Roman"/>
          <w:sz w:val="24"/>
        </w:rPr>
        <w:t xml:space="preserve"> není </w:t>
      </w:r>
      <w:r w:rsidR="00514AA6">
        <w:rPr>
          <w:rFonts w:ascii="Times New Roman" w:hAnsi="Times New Roman" w:cs="Times New Roman"/>
          <w:sz w:val="24"/>
        </w:rPr>
        <w:t xml:space="preserve">ani z hlediska unijní lhůty </w:t>
      </w:r>
      <w:r>
        <w:rPr>
          <w:rFonts w:ascii="Times New Roman" w:hAnsi="Times New Roman" w:cs="Times New Roman"/>
          <w:sz w:val="24"/>
        </w:rPr>
        <w:t xml:space="preserve">problémem, aby finálně o vydání </w:t>
      </w:r>
      <w:r w:rsidR="00572546">
        <w:rPr>
          <w:rFonts w:ascii="Times New Roman" w:hAnsi="Times New Roman" w:cs="Times New Roman"/>
          <w:sz w:val="24"/>
        </w:rPr>
        <w:t>stanoviska</w:t>
      </w:r>
      <w:r>
        <w:rPr>
          <w:rFonts w:ascii="Times New Roman" w:hAnsi="Times New Roman" w:cs="Times New Roman"/>
          <w:sz w:val="24"/>
        </w:rPr>
        <w:t xml:space="preserve"> rozhodovalo plénum. Dokonce lze z pohledu demokratické legitimity rozhodnutí pléna upřednostňovat před rozhodnutím výboru.</w:t>
      </w:r>
    </w:p>
    <w:p w:rsidR="00B53445" w:rsidRPr="004C730B" w:rsidRDefault="00C05D92" w:rsidP="008B60F2">
      <w:pPr>
        <w:pStyle w:val="Nadpis1"/>
      </w:pPr>
      <w:bookmarkStart w:id="30" w:name="_Toc478235176"/>
      <w:r>
        <w:lastRenderedPageBreak/>
        <w:t>5</w:t>
      </w:r>
      <w:r w:rsidR="00134FF0" w:rsidRPr="004C730B">
        <w:t xml:space="preserve"> </w:t>
      </w:r>
      <w:r w:rsidR="009E0763" w:rsidRPr="006C2F2B">
        <w:t>Žluté karty</w:t>
      </w:r>
      <w:r w:rsidR="009E0763">
        <w:t xml:space="preserve"> jako v</w:t>
      </w:r>
      <w:r w:rsidR="00C2281F" w:rsidRPr="00127FFD">
        <w:t>ybrané případy</w:t>
      </w:r>
      <w:r w:rsidR="004C730B" w:rsidRPr="004C730B">
        <w:t xml:space="preserve"> použití systému včasného varování v praxi</w:t>
      </w:r>
      <w:bookmarkEnd w:id="30"/>
    </w:p>
    <w:p w:rsidR="00021083" w:rsidRDefault="00021083" w:rsidP="00021083">
      <w:pPr>
        <w:jc w:val="both"/>
      </w:pPr>
    </w:p>
    <w:p w:rsidR="003200E2" w:rsidRDefault="003200E2" w:rsidP="00E3731D">
      <w:pPr>
        <w:spacing w:line="360" w:lineRule="auto"/>
        <w:ind w:firstLine="708"/>
        <w:jc w:val="both"/>
        <w:rPr>
          <w:rFonts w:ascii="Times New Roman" w:hAnsi="Times New Roman" w:cs="Times New Roman"/>
          <w:sz w:val="24"/>
          <w:szCs w:val="24"/>
        </w:rPr>
      </w:pPr>
      <w:r w:rsidRPr="00E3731D">
        <w:rPr>
          <w:rFonts w:ascii="Times New Roman" w:hAnsi="Times New Roman" w:cs="Times New Roman"/>
          <w:sz w:val="24"/>
          <w:szCs w:val="24"/>
        </w:rPr>
        <w:t>V této kapitole se zabýváme konkrét</w:t>
      </w:r>
      <w:r w:rsidR="00A6628D">
        <w:rPr>
          <w:rFonts w:ascii="Times New Roman" w:hAnsi="Times New Roman" w:cs="Times New Roman"/>
          <w:sz w:val="24"/>
          <w:szCs w:val="24"/>
        </w:rPr>
        <w:t>ními případy použití systému včasného varování</w:t>
      </w:r>
      <w:r w:rsidRPr="00E3731D">
        <w:rPr>
          <w:rFonts w:ascii="Times New Roman" w:hAnsi="Times New Roman" w:cs="Times New Roman"/>
          <w:sz w:val="24"/>
          <w:szCs w:val="24"/>
        </w:rPr>
        <w:t>.</w:t>
      </w:r>
      <w:r w:rsidR="00052D76" w:rsidRPr="00E3731D">
        <w:rPr>
          <w:rFonts w:ascii="Times New Roman" w:hAnsi="Times New Roman" w:cs="Times New Roman"/>
          <w:sz w:val="24"/>
          <w:szCs w:val="24"/>
        </w:rPr>
        <w:t xml:space="preserve"> </w:t>
      </w:r>
      <w:r w:rsidR="0033310F">
        <w:rPr>
          <w:rFonts w:ascii="Times New Roman" w:hAnsi="Times New Roman" w:cs="Times New Roman"/>
          <w:sz w:val="24"/>
          <w:szCs w:val="24"/>
        </w:rPr>
        <w:t>V samotném textu práce</w:t>
      </w:r>
      <w:r w:rsidR="00052D76" w:rsidRPr="00E3731D">
        <w:rPr>
          <w:rFonts w:ascii="Times New Roman" w:hAnsi="Times New Roman" w:cs="Times New Roman"/>
          <w:sz w:val="24"/>
          <w:szCs w:val="24"/>
        </w:rPr>
        <w:t xml:space="preserve"> věnujeme prostor pouze případům, kde počet</w:t>
      </w:r>
      <w:r w:rsidR="00257BC1">
        <w:rPr>
          <w:rFonts w:ascii="Times New Roman" w:hAnsi="Times New Roman" w:cs="Times New Roman"/>
          <w:sz w:val="24"/>
          <w:szCs w:val="24"/>
        </w:rPr>
        <w:t xml:space="preserve"> hlasů odpovídajících vydaným odůvodněným stanoviskům</w:t>
      </w:r>
      <w:r w:rsidR="009C7E02">
        <w:rPr>
          <w:rFonts w:ascii="Times New Roman" w:hAnsi="Times New Roman" w:cs="Times New Roman"/>
          <w:sz w:val="24"/>
          <w:szCs w:val="24"/>
        </w:rPr>
        <w:t xml:space="preserve"> dosáhl prahu</w:t>
      </w:r>
      <w:r w:rsidR="00230D0D">
        <w:rPr>
          <w:rFonts w:ascii="Times New Roman" w:hAnsi="Times New Roman" w:cs="Times New Roman"/>
          <w:sz w:val="24"/>
          <w:szCs w:val="24"/>
        </w:rPr>
        <w:t xml:space="preserve"> pro žlutou kartu</w:t>
      </w:r>
      <w:r w:rsidR="00052D76" w:rsidRPr="00E3731D">
        <w:rPr>
          <w:rFonts w:ascii="Times New Roman" w:hAnsi="Times New Roman" w:cs="Times New Roman"/>
          <w:sz w:val="24"/>
          <w:szCs w:val="24"/>
        </w:rPr>
        <w:t>.</w:t>
      </w:r>
      <w:r w:rsidR="00445E62">
        <w:rPr>
          <w:rFonts w:ascii="Times New Roman" w:hAnsi="Times New Roman" w:cs="Times New Roman"/>
          <w:sz w:val="24"/>
          <w:szCs w:val="24"/>
        </w:rPr>
        <w:t xml:space="preserve"> Ve všech třech případech kr</w:t>
      </w:r>
      <w:r w:rsidR="00CE2125">
        <w:rPr>
          <w:rFonts w:ascii="Times New Roman" w:hAnsi="Times New Roman" w:cs="Times New Roman"/>
          <w:sz w:val="24"/>
          <w:szCs w:val="24"/>
        </w:rPr>
        <w:t xml:space="preserve">átce přibližujeme obsah návrhu a </w:t>
      </w:r>
      <w:r w:rsidR="00445E62">
        <w:rPr>
          <w:rFonts w:ascii="Times New Roman" w:hAnsi="Times New Roman" w:cs="Times New Roman"/>
          <w:sz w:val="24"/>
          <w:szCs w:val="24"/>
        </w:rPr>
        <w:t xml:space="preserve">odůvodnění Komise s ohledem </w:t>
      </w:r>
      <w:r w:rsidR="00A80CE4">
        <w:rPr>
          <w:rFonts w:ascii="Times New Roman" w:hAnsi="Times New Roman" w:cs="Times New Roman"/>
          <w:sz w:val="24"/>
          <w:szCs w:val="24"/>
        </w:rPr>
        <w:t xml:space="preserve">na zásadu subsidiarity. </w:t>
      </w:r>
      <w:r w:rsidR="00551128">
        <w:rPr>
          <w:rFonts w:ascii="Times New Roman" w:hAnsi="Times New Roman" w:cs="Times New Roman"/>
          <w:sz w:val="24"/>
          <w:szCs w:val="24"/>
        </w:rPr>
        <w:t>Přehledově s</w:t>
      </w:r>
      <w:r w:rsidR="00850576">
        <w:rPr>
          <w:rFonts w:ascii="Times New Roman" w:hAnsi="Times New Roman" w:cs="Times New Roman"/>
          <w:sz w:val="24"/>
          <w:szCs w:val="24"/>
        </w:rPr>
        <w:t>hrnujeme argumenty parlamentů</w:t>
      </w:r>
      <w:r w:rsidR="00C056BE">
        <w:rPr>
          <w:rFonts w:ascii="Times New Roman" w:hAnsi="Times New Roman" w:cs="Times New Roman"/>
          <w:sz w:val="24"/>
          <w:szCs w:val="24"/>
        </w:rPr>
        <w:t xml:space="preserve"> a r</w:t>
      </w:r>
      <w:r w:rsidR="00CE2125">
        <w:rPr>
          <w:rFonts w:ascii="Times New Roman" w:hAnsi="Times New Roman" w:cs="Times New Roman"/>
          <w:sz w:val="24"/>
          <w:szCs w:val="24"/>
        </w:rPr>
        <w:t>ovněž</w:t>
      </w:r>
      <w:r w:rsidR="00C056BE">
        <w:rPr>
          <w:rFonts w:ascii="Times New Roman" w:hAnsi="Times New Roman" w:cs="Times New Roman"/>
          <w:sz w:val="24"/>
          <w:szCs w:val="24"/>
        </w:rPr>
        <w:t xml:space="preserve"> </w:t>
      </w:r>
      <w:r w:rsidR="00C05A81">
        <w:rPr>
          <w:rFonts w:ascii="Times New Roman" w:hAnsi="Times New Roman" w:cs="Times New Roman"/>
          <w:sz w:val="24"/>
          <w:szCs w:val="24"/>
        </w:rPr>
        <w:t>sledujeme dopad žluté karty</w:t>
      </w:r>
      <w:r w:rsidR="00580DBD">
        <w:rPr>
          <w:rFonts w:ascii="Times New Roman" w:hAnsi="Times New Roman" w:cs="Times New Roman"/>
          <w:sz w:val="24"/>
          <w:szCs w:val="24"/>
        </w:rPr>
        <w:t xml:space="preserve"> na legislati</w:t>
      </w:r>
      <w:r w:rsidR="007112F9">
        <w:rPr>
          <w:rFonts w:ascii="Times New Roman" w:hAnsi="Times New Roman" w:cs="Times New Roman"/>
          <w:sz w:val="24"/>
          <w:szCs w:val="24"/>
        </w:rPr>
        <w:t>vní proces ve smyslu stažení či zachování návrhu.</w:t>
      </w:r>
      <w:r w:rsidR="00CE2125">
        <w:rPr>
          <w:rFonts w:ascii="Times New Roman" w:hAnsi="Times New Roman" w:cs="Times New Roman"/>
          <w:sz w:val="24"/>
          <w:szCs w:val="24"/>
        </w:rPr>
        <w:t xml:space="preserve"> </w:t>
      </w:r>
    </w:p>
    <w:p w:rsidR="00284C5A" w:rsidRDefault="00C05D92" w:rsidP="00950E8F">
      <w:pPr>
        <w:pStyle w:val="Nadpis2"/>
        <w:jc w:val="both"/>
      </w:pPr>
      <w:bookmarkStart w:id="31" w:name="_Toc478235177"/>
      <w:r>
        <w:rPr>
          <w:szCs w:val="24"/>
        </w:rPr>
        <w:t>5</w:t>
      </w:r>
      <w:r w:rsidR="00284C5A" w:rsidRPr="00950E8F">
        <w:rPr>
          <w:szCs w:val="24"/>
        </w:rPr>
        <w:t xml:space="preserve">.1 </w:t>
      </w:r>
      <w:r w:rsidR="00950E8F" w:rsidRPr="002776F2">
        <w:t>Návrh nařízení Rady o výkonu práva na kolektivní akci v rámci svobody usazování a volného pohybu služeb</w:t>
      </w:r>
      <w:bookmarkEnd w:id="31"/>
    </w:p>
    <w:p w:rsidR="00950E8F" w:rsidRPr="00950E8F" w:rsidRDefault="00950E8F" w:rsidP="00950E8F"/>
    <w:p w:rsidR="00AA0536" w:rsidRDefault="00A44517" w:rsidP="005059A5">
      <w:pPr>
        <w:spacing w:after="0" w:line="360" w:lineRule="auto"/>
        <w:ind w:firstLine="708"/>
        <w:jc w:val="both"/>
        <w:rPr>
          <w:rFonts w:ascii="Times New Roman" w:hAnsi="Times New Roman" w:cs="Times New Roman"/>
          <w:sz w:val="24"/>
        </w:rPr>
      </w:pPr>
      <w:r>
        <w:rPr>
          <w:rFonts w:ascii="Times New Roman" w:hAnsi="Times New Roman" w:cs="Times New Roman"/>
          <w:sz w:val="24"/>
        </w:rPr>
        <w:t>První žlutí karta</w:t>
      </w:r>
      <w:r w:rsidR="00387EDD">
        <w:rPr>
          <w:rFonts w:ascii="Times New Roman" w:hAnsi="Times New Roman" w:cs="Times New Roman"/>
          <w:sz w:val="24"/>
        </w:rPr>
        <w:t xml:space="preserve"> mířila proti návrhu nařízení Rady</w:t>
      </w:r>
      <w:r w:rsidR="00B53445" w:rsidRPr="00DA4710">
        <w:rPr>
          <w:rFonts w:ascii="Times New Roman" w:hAnsi="Times New Roman" w:cs="Times New Roman"/>
          <w:sz w:val="24"/>
        </w:rPr>
        <w:t xml:space="preserve"> o výkonu práva na kolektivní akci v rámci svobody usazování a volného pohybu služeb</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16"/>
      </w:r>
      <w:r w:rsidR="00B53445">
        <w:rPr>
          <w:rFonts w:ascii="Times New Roman" w:hAnsi="Times New Roman" w:cs="Times New Roman"/>
          <w:sz w:val="24"/>
        </w:rPr>
        <w:t xml:space="preserve"> </w:t>
      </w:r>
      <w:r w:rsidR="00350B85">
        <w:rPr>
          <w:rFonts w:ascii="Times New Roman" w:hAnsi="Times New Roman" w:cs="Times New Roman"/>
          <w:sz w:val="24"/>
        </w:rPr>
        <w:t>Komise tímto návrhem navazovala na judikaturu SDEU</w:t>
      </w:r>
      <w:r w:rsidR="00A22049">
        <w:rPr>
          <w:rFonts w:ascii="Times New Roman" w:hAnsi="Times New Roman" w:cs="Times New Roman"/>
          <w:sz w:val="24"/>
        </w:rPr>
        <w:t xml:space="preserve"> týkající se práva na kolektivní akci.</w:t>
      </w:r>
      <w:r w:rsidR="003D290B">
        <w:rPr>
          <w:rFonts w:ascii="Times New Roman" w:hAnsi="Times New Roman" w:cs="Times New Roman"/>
          <w:sz w:val="24"/>
        </w:rPr>
        <w:t xml:space="preserve"> </w:t>
      </w:r>
      <w:r w:rsidR="0039382D">
        <w:rPr>
          <w:rFonts w:ascii="Times New Roman" w:hAnsi="Times New Roman" w:cs="Times New Roman"/>
          <w:sz w:val="24"/>
        </w:rPr>
        <w:t xml:space="preserve">Vhodné je upozornit na </w:t>
      </w:r>
      <w:r w:rsidR="005C5578">
        <w:rPr>
          <w:rFonts w:ascii="Times New Roman" w:hAnsi="Times New Roman" w:cs="Times New Roman"/>
          <w:sz w:val="24"/>
        </w:rPr>
        <w:t xml:space="preserve">vcelku </w:t>
      </w:r>
      <w:r w:rsidR="0039382D">
        <w:rPr>
          <w:rFonts w:ascii="Times New Roman" w:hAnsi="Times New Roman" w:cs="Times New Roman"/>
          <w:sz w:val="24"/>
        </w:rPr>
        <w:t xml:space="preserve">přirozené napětí mezi sociálním rozměrem v podobě ochrany pracovníků a rozměrem ekonomickým v podobě </w:t>
      </w:r>
      <w:r w:rsidR="008E0363">
        <w:rPr>
          <w:rFonts w:ascii="Times New Roman" w:hAnsi="Times New Roman" w:cs="Times New Roman"/>
          <w:sz w:val="24"/>
        </w:rPr>
        <w:t>výše uvedených svobod</w:t>
      </w:r>
      <w:r w:rsidR="0039382D">
        <w:rPr>
          <w:rFonts w:ascii="Times New Roman" w:hAnsi="Times New Roman" w:cs="Times New Roman"/>
          <w:sz w:val="24"/>
        </w:rPr>
        <w:t>.</w:t>
      </w:r>
      <w:r w:rsidR="00350B85">
        <w:rPr>
          <w:rFonts w:ascii="Times New Roman" w:hAnsi="Times New Roman" w:cs="Times New Roman"/>
          <w:sz w:val="24"/>
        </w:rPr>
        <w:t xml:space="preserve"> </w:t>
      </w:r>
      <w:r w:rsidR="00396FAD">
        <w:rPr>
          <w:rFonts w:ascii="Times New Roman" w:hAnsi="Times New Roman" w:cs="Times New Roman"/>
          <w:sz w:val="24"/>
        </w:rPr>
        <w:t>SDEU v tomto ohledu uvedl, „</w:t>
      </w:r>
      <w:r w:rsidR="00396FAD" w:rsidRPr="00396FAD">
        <w:rPr>
          <w:rFonts w:ascii="Times New Roman" w:hAnsi="Times New Roman" w:cs="Times New Roman"/>
          <w:i/>
          <w:sz w:val="24"/>
          <w:szCs w:val="24"/>
          <w:shd w:val="clear" w:color="auto" w:fill="FFFFFF"/>
        </w:rPr>
        <w:t>že právo na kolektivní akci, jejímž cílem je ochrana pracovníků, je legitimním zájmem, který v zásadě může odůvodnit omezení jedné ze Smlouvou zaručených základních svobod</w:t>
      </w:r>
      <w:r w:rsidR="005D65AB">
        <w:rPr>
          <w:rFonts w:ascii="Times New Roman" w:hAnsi="Times New Roman" w:cs="Times New Roman"/>
          <w:i/>
          <w:sz w:val="24"/>
          <w:szCs w:val="24"/>
          <w:shd w:val="clear" w:color="auto" w:fill="FFFFFF"/>
        </w:rPr>
        <w:t>.</w:t>
      </w:r>
      <w:r w:rsidR="00E546E2">
        <w:rPr>
          <w:rStyle w:val="Znakapoznpodarou"/>
          <w:rFonts w:ascii="Times New Roman" w:hAnsi="Times New Roman" w:cs="Times New Roman"/>
          <w:i/>
          <w:sz w:val="24"/>
          <w:szCs w:val="24"/>
          <w:shd w:val="clear" w:color="auto" w:fill="FFFFFF"/>
        </w:rPr>
        <w:footnoteReference w:id="217"/>
      </w:r>
      <w:r w:rsidR="005D65AB">
        <w:rPr>
          <w:rFonts w:ascii="Times New Roman" w:hAnsi="Times New Roman" w:cs="Times New Roman"/>
          <w:i/>
          <w:sz w:val="24"/>
          <w:szCs w:val="24"/>
          <w:shd w:val="clear" w:color="auto" w:fill="FFFFFF"/>
        </w:rPr>
        <w:t xml:space="preserve"> </w:t>
      </w:r>
      <w:r w:rsidR="00500CA3">
        <w:rPr>
          <w:rFonts w:ascii="Times New Roman" w:hAnsi="Times New Roman" w:cs="Times New Roman"/>
          <w:sz w:val="24"/>
          <w:szCs w:val="24"/>
          <w:shd w:val="clear" w:color="auto" w:fill="FFFFFF"/>
        </w:rPr>
        <w:t xml:space="preserve">Konkrétní omezení však musí být přiměřené. </w:t>
      </w:r>
      <w:r w:rsidR="00213C34">
        <w:rPr>
          <w:rFonts w:ascii="Times New Roman" w:hAnsi="Times New Roman" w:cs="Times New Roman"/>
          <w:sz w:val="24"/>
          <w:szCs w:val="24"/>
          <w:shd w:val="clear" w:color="auto" w:fill="FFFFFF"/>
        </w:rPr>
        <w:t>Záměrem Komise</w:t>
      </w:r>
      <w:r w:rsidR="00550FE2">
        <w:rPr>
          <w:rFonts w:ascii="Times New Roman" w:hAnsi="Times New Roman" w:cs="Times New Roman"/>
          <w:sz w:val="24"/>
          <w:szCs w:val="24"/>
          <w:shd w:val="clear" w:color="auto" w:fill="FFFFFF"/>
        </w:rPr>
        <w:t xml:space="preserve"> bylo objasnit vztah práva na kolektivní akci a </w:t>
      </w:r>
      <w:r w:rsidR="00C56387">
        <w:rPr>
          <w:rFonts w:ascii="Times New Roman" w:hAnsi="Times New Roman" w:cs="Times New Roman"/>
          <w:sz w:val="24"/>
          <w:szCs w:val="24"/>
          <w:shd w:val="clear" w:color="auto" w:fill="FFFFFF"/>
        </w:rPr>
        <w:t>zmíněných svobod</w:t>
      </w:r>
      <w:r w:rsidR="00064AAD">
        <w:rPr>
          <w:rFonts w:ascii="Times New Roman" w:hAnsi="Times New Roman" w:cs="Times New Roman"/>
          <w:sz w:val="24"/>
          <w:szCs w:val="24"/>
          <w:shd w:val="clear" w:color="auto" w:fill="FFFFFF"/>
        </w:rPr>
        <w:t>. Komise mj. cílila na stanovení</w:t>
      </w:r>
      <w:r w:rsidR="00064AAD" w:rsidRPr="00064AAD">
        <w:rPr>
          <w:rFonts w:ascii="Times New Roman" w:hAnsi="Times New Roman" w:cs="Times New Roman"/>
          <w:sz w:val="24"/>
          <w:szCs w:val="24"/>
          <w:shd w:val="clear" w:color="auto" w:fill="FFFFFF"/>
        </w:rPr>
        <w:t xml:space="preserve"> rozsah</w:t>
      </w:r>
      <w:r w:rsidR="00064AAD">
        <w:rPr>
          <w:rFonts w:ascii="Times New Roman" w:hAnsi="Times New Roman" w:cs="Times New Roman"/>
          <w:sz w:val="24"/>
          <w:szCs w:val="24"/>
          <w:shd w:val="clear" w:color="auto" w:fill="FFFFFF"/>
        </w:rPr>
        <w:t>u</w:t>
      </w:r>
      <w:r w:rsidR="00064AAD" w:rsidRPr="00064AAD">
        <w:rPr>
          <w:rFonts w:ascii="Times New Roman" w:hAnsi="Times New Roman" w:cs="Times New Roman"/>
          <w:sz w:val="24"/>
          <w:szCs w:val="24"/>
          <w:shd w:val="clear" w:color="auto" w:fill="FFFFFF"/>
        </w:rPr>
        <w:t>, v</w:t>
      </w:r>
      <w:r w:rsidR="00064AAD">
        <w:rPr>
          <w:rFonts w:ascii="Times New Roman" w:hAnsi="Times New Roman" w:cs="Times New Roman"/>
          <w:sz w:val="24"/>
          <w:szCs w:val="24"/>
          <w:shd w:val="clear" w:color="auto" w:fill="FFFFFF"/>
        </w:rPr>
        <w:t>e kterém by</w:t>
      </w:r>
      <w:r w:rsidR="00064AAD" w:rsidRPr="00064AAD">
        <w:rPr>
          <w:rFonts w:ascii="Times New Roman" w:hAnsi="Times New Roman" w:cs="Times New Roman"/>
          <w:sz w:val="24"/>
          <w:szCs w:val="24"/>
          <w:shd w:val="clear" w:color="auto" w:fill="FFFFFF"/>
        </w:rPr>
        <w:t xml:space="preserve"> odbory</w:t>
      </w:r>
      <w:r w:rsidR="00064AAD">
        <w:rPr>
          <w:rFonts w:ascii="Times New Roman" w:hAnsi="Times New Roman" w:cs="Times New Roman"/>
          <w:sz w:val="24"/>
          <w:szCs w:val="24"/>
          <w:shd w:val="clear" w:color="auto" w:fill="FFFFFF"/>
        </w:rPr>
        <w:t xml:space="preserve"> mohly chránit práva </w:t>
      </w:r>
      <w:r w:rsidR="00064AAD" w:rsidRPr="00064AAD">
        <w:rPr>
          <w:rFonts w:ascii="Times New Roman" w:hAnsi="Times New Roman" w:cs="Times New Roman"/>
          <w:sz w:val="24"/>
          <w:szCs w:val="24"/>
          <w:shd w:val="clear" w:color="auto" w:fill="FFFFFF"/>
        </w:rPr>
        <w:t>pracovníků v</w:t>
      </w:r>
      <w:r w:rsidR="002E2690">
        <w:rPr>
          <w:rFonts w:ascii="Times New Roman" w:hAnsi="Times New Roman" w:cs="Times New Roman"/>
          <w:sz w:val="24"/>
          <w:szCs w:val="24"/>
          <w:shd w:val="clear" w:color="auto" w:fill="FFFFFF"/>
        </w:rPr>
        <w:t> případech přeshraničních situací</w:t>
      </w:r>
      <w:r w:rsidR="00064AAD" w:rsidRPr="00064AAD">
        <w:rPr>
          <w:rFonts w:ascii="Times New Roman" w:hAnsi="Times New Roman" w:cs="Times New Roman"/>
          <w:sz w:val="24"/>
          <w:szCs w:val="24"/>
          <w:shd w:val="clear" w:color="auto" w:fill="FFFFFF"/>
        </w:rPr>
        <w:t>.</w:t>
      </w:r>
      <w:r w:rsidR="00C23E18">
        <w:rPr>
          <w:rFonts w:ascii="Times New Roman" w:hAnsi="Times New Roman" w:cs="Times New Roman"/>
          <w:sz w:val="24"/>
          <w:szCs w:val="24"/>
          <w:shd w:val="clear" w:color="auto" w:fill="FFFFFF"/>
        </w:rPr>
        <w:t xml:space="preserve"> Čl.</w:t>
      </w:r>
      <w:r w:rsidR="008164CA">
        <w:rPr>
          <w:rFonts w:ascii="Times New Roman" w:hAnsi="Times New Roman" w:cs="Times New Roman"/>
          <w:sz w:val="24"/>
          <w:szCs w:val="24"/>
          <w:shd w:val="clear" w:color="auto" w:fill="FFFFFF"/>
        </w:rPr>
        <w:t xml:space="preserve"> 2 návrhu zněl následovně: </w:t>
      </w:r>
      <w:r w:rsidR="008164CA" w:rsidRPr="008164CA">
        <w:rPr>
          <w:rFonts w:ascii="Times New Roman" w:hAnsi="Times New Roman" w:cs="Times New Roman"/>
          <w:i/>
          <w:sz w:val="24"/>
          <w:szCs w:val="24"/>
          <w:shd w:val="clear" w:color="auto" w:fill="FFFFFF"/>
        </w:rPr>
        <w:t>„Výkon svobody usazování a volného pohybu služeb, jež jsou zakotveny ve Smlouvě, respektuje základní právo na kolektivní akci, včetně práva na stávku nebo svobody stávkovat, a naopak výkon základního práva na kolektivní akci, včetně práva na stávku nebo svobody stávkovat, respektuje tyto hospodářské svobody.“</w:t>
      </w:r>
      <w:r w:rsidR="00C23E18">
        <w:rPr>
          <w:rStyle w:val="Znakapoznpodarou"/>
          <w:rFonts w:ascii="Times New Roman" w:hAnsi="Times New Roman" w:cs="Times New Roman"/>
          <w:i/>
          <w:sz w:val="24"/>
          <w:szCs w:val="24"/>
          <w:shd w:val="clear" w:color="auto" w:fill="FFFFFF"/>
        </w:rPr>
        <w:footnoteReference w:id="218"/>
      </w:r>
      <w:r w:rsidR="004B49AA">
        <w:rPr>
          <w:rFonts w:ascii="Times New Roman" w:hAnsi="Times New Roman" w:cs="Times New Roman"/>
          <w:i/>
          <w:sz w:val="24"/>
          <w:szCs w:val="24"/>
          <w:shd w:val="clear" w:color="auto" w:fill="FFFFFF"/>
        </w:rPr>
        <w:t xml:space="preserve"> </w:t>
      </w:r>
      <w:r w:rsidR="004B49AA" w:rsidRPr="004B49AA">
        <w:rPr>
          <w:rFonts w:ascii="Times New Roman" w:hAnsi="Times New Roman" w:cs="Times New Roman"/>
          <w:sz w:val="24"/>
          <w:szCs w:val="24"/>
          <w:shd w:val="clear" w:color="auto" w:fill="FFFFFF"/>
        </w:rPr>
        <w:t>Právě tento</w:t>
      </w:r>
      <w:r w:rsidR="004B49AA">
        <w:rPr>
          <w:rFonts w:ascii="Times New Roman" w:hAnsi="Times New Roman" w:cs="Times New Roman"/>
          <w:sz w:val="24"/>
          <w:szCs w:val="24"/>
          <w:shd w:val="clear" w:color="auto" w:fill="FFFFFF"/>
        </w:rPr>
        <w:t xml:space="preserve"> obecně znějící</w:t>
      </w:r>
      <w:r w:rsidR="002E1E1D">
        <w:rPr>
          <w:rFonts w:ascii="Times New Roman" w:hAnsi="Times New Roman" w:cs="Times New Roman"/>
          <w:sz w:val="24"/>
          <w:szCs w:val="24"/>
          <w:shd w:val="clear" w:color="auto" w:fill="FFFFFF"/>
        </w:rPr>
        <w:t xml:space="preserve"> článek někteří </w:t>
      </w:r>
      <w:r w:rsidR="00CA362D">
        <w:rPr>
          <w:rFonts w:ascii="Times New Roman" w:hAnsi="Times New Roman" w:cs="Times New Roman"/>
          <w:sz w:val="24"/>
          <w:szCs w:val="24"/>
          <w:shd w:val="clear" w:color="auto" w:fill="FFFFFF"/>
        </w:rPr>
        <w:t xml:space="preserve">s ohledem na řešení konkrétních sporů v praxi </w:t>
      </w:r>
      <w:r w:rsidR="002E1E1D">
        <w:rPr>
          <w:rFonts w:ascii="Times New Roman" w:hAnsi="Times New Roman" w:cs="Times New Roman"/>
          <w:sz w:val="24"/>
          <w:szCs w:val="24"/>
          <w:shd w:val="clear" w:color="auto" w:fill="FFFFFF"/>
        </w:rPr>
        <w:t>vykládali</w:t>
      </w:r>
      <w:r w:rsidR="004B49AA" w:rsidRPr="004B49AA">
        <w:rPr>
          <w:rFonts w:ascii="Times New Roman" w:hAnsi="Times New Roman" w:cs="Times New Roman"/>
          <w:sz w:val="24"/>
          <w:szCs w:val="24"/>
          <w:shd w:val="clear" w:color="auto" w:fill="FFFFFF"/>
        </w:rPr>
        <w:t xml:space="preserve"> jako</w:t>
      </w:r>
      <w:r w:rsidR="004B49AA">
        <w:rPr>
          <w:rFonts w:ascii="Times New Roman" w:hAnsi="Times New Roman" w:cs="Times New Roman"/>
          <w:sz w:val="24"/>
          <w:szCs w:val="24"/>
          <w:shd w:val="clear" w:color="auto" w:fill="FFFFFF"/>
        </w:rPr>
        <w:t xml:space="preserve"> oslabení práva na kolektivní akci.</w:t>
      </w:r>
      <w:r w:rsidR="004F7E27">
        <w:rPr>
          <w:rStyle w:val="Znakapoznpodarou"/>
          <w:rFonts w:ascii="Times New Roman" w:hAnsi="Times New Roman" w:cs="Times New Roman"/>
          <w:sz w:val="24"/>
          <w:szCs w:val="24"/>
          <w:shd w:val="clear" w:color="auto" w:fill="FFFFFF"/>
        </w:rPr>
        <w:footnoteReference w:id="219"/>
      </w:r>
      <w:r w:rsidR="007D2DA9">
        <w:rPr>
          <w:rFonts w:ascii="Times New Roman" w:hAnsi="Times New Roman" w:cs="Times New Roman"/>
          <w:sz w:val="24"/>
          <w:szCs w:val="24"/>
          <w:shd w:val="clear" w:color="auto" w:fill="FFFFFF"/>
        </w:rPr>
        <w:t xml:space="preserve"> </w:t>
      </w:r>
      <w:r w:rsidR="00671B0C">
        <w:rPr>
          <w:rFonts w:ascii="Times New Roman" w:hAnsi="Times New Roman" w:cs="Times New Roman"/>
          <w:sz w:val="24"/>
          <w:szCs w:val="24"/>
          <w:shd w:val="clear" w:color="auto" w:fill="FFFFFF"/>
        </w:rPr>
        <w:t xml:space="preserve">Komise nicméně </w:t>
      </w:r>
      <w:r w:rsidR="00671B0C">
        <w:rPr>
          <w:rFonts w:ascii="Times New Roman" w:hAnsi="Times New Roman" w:cs="Times New Roman"/>
          <w:sz w:val="24"/>
          <w:szCs w:val="24"/>
          <w:shd w:val="clear" w:color="auto" w:fill="FFFFFF"/>
        </w:rPr>
        <w:lastRenderedPageBreak/>
        <w:t xml:space="preserve">uvedla, že návrhem mj. reagovala na obavy odborů a jejich požadavek, aby bylo upřesněno, </w:t>
      </w:r>
      <w:r w:rsidR="00671B0C" w:rsidRPr="0077552F">
        <w:rPr>
          <w:rFonts w:ascii="Times New Roman" w:hAnsi="Times New Roman" w:cs="Times New Roman"/>
          <w:i/>
          <w:sz w:val="24"/>
          <w:szCs w:val="24"/>
          <w:shd w:val="clear" w:color="auto" w:fill="FFFFFF"/>
        </w:rPr>
        <w:t>„že jedno není nadřazeno druhému.“</w:t>
      </w:r>
      <w:r w:rsidR="00AE4642">
        <w:rPr>
          <w:rStyle w:val="Znakapoznpodarou"/>
          <w:rFonts w:ascii="Times New Roman" w:hAnsi="Times New Roman" w:cs="Times New Roman"/>
          <w:i/>
          <w:sz w:val="24"/>
          <w:szCs w:val="24"/>
          <w:shd w:val="clear" w:color="auto" w:fill="FFFFFF"/>
        </w:rPr>
        <w:footnoteReference w:id="220"/>
      </w:r>
      <w:r w:rsidR="00550FE2" w:rsidRPr="008164CA">
        <w:rPr>
          <w:rFonts w:ascii="Times New Roman" w:hAnsi="Times New Roman" w:cs="Times New Roman"/>
          <w:i/>
          <w:sz w:val="24"/>
          <w:szCs w:val="24"/>
          <w:shd w:val="clear" w:color="auto" w:fill="FFFFFF"/>
        </w:rPr>
        <w:t xml:space="preserve"> </w:t>
      </w:r>
      <w:r w:rsidR="00B53445">
        <w:rPr>
          <w:rFonts w:ascii="Times New Roman" w:hAnsi="Times New Roman" w:cs="Times New Roman"/>
          <w:sz w:val="24"/>
        </w:rPr>
        <w:t>Součástí návrhu byl shodou okolností mechanismus včasného varování, který měl zajistit zejména informování o závažných skutečnostech či okolnostech, které by ovlivňovaly účinný výkon zmíněných svobod.</w:t>
      </w:r>
      <w:r w:rsidR="00B53445">
        <w:rPr>
          <w:rStyle w:val="Znakapoznpodarou"/>
          <w:rFonts w:ascii="Times New Roman" w:hAnsi="Times New Roman" w:cs="Times New Roman"/>
          <w:sz w:val="24"/>
        </w:rPr>
        <w:footnoteReference w:id="221"/>
      </w:r>
      <w:r w:rsidR="00B53445">
        <w:rPr>
          <w:rFonts w:ascii="Times New Roman" w:hAnsi="Times New Roman" w:cs="Times New Roman"/>
          <w:sz w:val="24"/>
        </w:rPr>
        <w:t xml:space="preserve"> </w:t>
      </w:r>
    </w:p>
    <w:p w:rsidR="008A3E0A" w:rsidRPr="00064AAD" w:rsidRDefault="00B53445" w:rsidP="005059A5">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rPr>
        <w:t>Jeden z argumentů, které Komise předložila ve prospěc</w:t>
      </w:r>
      <w:r w:rsidR="00F2749D">
        <w:rPr>
          <w:rFonts w:ascii="Times New Roman" w:hAnsi="Times New Roman" w:cs="Times New Roman"/>
          <w:sz w:val="24"/>
        </w:rPr>
        <w:t>h souladu se zásadou subsidiarity</w:t>
      </w:r>
      <w:r>
        <w:rPr>
          <w:rFonts w:ascii="Times New Roman" w:hAnsi="Times New Roman" w:cs="Times New Roman"/>
          <w:sz w:val="24"/>
        </w:rPr>
        <w:t xml:space="preserve">, zněl: </w:t>
      </w:r>
      <w:r w:rsidRPr="00AC18FD">
        <w:rPr>
          <w:rFonts w:ascii="Times New Roman" w:hAnsi="Times New Roman" w:cs="Times New Roman"/>
          <w:i/>
          <w:sz w:val="24"/>
        </w:rPr>
        <w:t>„Cíl nařízení, tj. objasnit obecné zásady a pravidla EU vztahující se na výkon základního práva na protestní akce v rámci volného pohybu služeb a svobody usazování, včetně potřeby sladit je v praxi v případě přeshraničních situací, vyžaduje opatření na úrovni Evropské unie a nelze ho dosáhnout pouze na úrovni členských států.“</w:t>
      </w:r>
      <w:r>
        <w:rPr>
          <w:rStyle w:val="Znakapoznpodarou"/>
          <w:rFonts w:ascii="Times New Roman" w:hAnsi="Times New Roman" w:cs="Times New Roman"/>
          <w:i/>
          <w:sz w:val="24"/>
        </w:rPr>
        <w:footnoteReference w:id="222"/>
      </w:r>
      <w:r>
        <w:rPr>
          <w:rFonts w:ascii="Times New Roman" w:hAnsi="Times New Roman" w:cs="Times New Roman"/>
          <w:sz w:val="24"/>
        </w:rPr>
        <w:t xml:space="preserve"> </w:t>
      </w:r>
      <w:r w:rsidR="005D08F7">
        <w:rPr>
          <w:rFonts w:ascii="Times New Roman" w:hAnsi="Times New Roman" w:cs="Times New Roman"/>
          <w:sz w:val="24"/>
        </w:rPr>
        <w:t>Stranou</w:t>
      </w:r>
      <w:r>
        <w:rPr>
          <w:rFonts w:ascii="Times New Roman" w:hAnsi="Times New Roman" w:cs="Times New Roman"/>
          <w:sz w:val="24"/>
        </w:rPr>
        <w:t xml:space="preserve"> neponechme fakt, že jako právní základ pro tento návrh zvolila Komise doložku flexibility.</w:t>
      </w:r>
      <w:r>
        <w:rPr>
          <w:rStyle w:val="Znakapoznpodarou"/>
          <w:rFonts w:ascii="Times New Roman" w:hAnsi="Times New Roman" w:cs="Times New Roman"/>
          <w:sz w:val="24"/>
        </w:rPr>
        <w:footnoteReference w:id="223"/>
      </w:r>
      <w:r>
        <w:rPr>
          <w:rFonts w:ascii="Times New Roman" w:hAnsi="Times New Roman" w:cs="Times New Roman"/>
          <w:sz w:val="24"/>
        </w:rPr>
        <w:t xml:space="preserve"> Odhlédneme-li od ostatního, lze si jen těžko představit jiný právní základ, který by měl parlamenty více motivovat k provede</w:t>
      </w:r>
      <w:r w:rsidR="00763473">
        <w:rPr>
          <w:rFonts w:ascii="Times New Roman" w:hAnsi="Times New Roman" w:cs="Times New Roman"/>
          <w:sz w:val="24"/>
        </w:rPr>
        <w:t>ní důsledné kontroly dodržení subsidiarity</w:t>
      </w:r>
      <w:r>
        <w:rPr>
          <w:rFonts w:ascii="Times New Roman" w:hAnsi="Times New Roman" w:cs="Times New Roman"/>
          <w:sz w:val="24"/>
        </w:rPr>
        <w:t xml:space="preserve">. </w:t>
      </w:r>
    </w:p>
    <w:p w:rsidR="00B53445" w:rsidRDefault="00307C56" w:rsidP="009E718E">
      <w:pPr>
        <w:spacing w:after="0" w:line="360" w:lineRule="auto"/>
        <w:ind w:firstLine="708"/>
        <w:jc w:val="both"/>
        <w:rPr>
          <w:rFonts w:ascii="Times New Roman" w:hAnsi="Times New Roman" w:cs="Times New Roman"/>
          <w:sz w:val="24"/>
        </w:rPr>
      </w:pPr>
      <w:r>
        <w:rPr>
          <w:rFonts w:ascii="Times New Roman" w:hAnsi="Times New Roman" w:cs="Times New Roman"/>
          <w:sz w:val="24"/>
        </w:rPr>
        <w:t>Parlamenty vydaly k návrhu 12 odůvodněných stanovisek</w:t>
      </w:r>
      <w:r w:rsidR="00B00B26">
        <w:rPr>
          <w:rStyle w:val="Znakapoznpodarou"/>
          <w:rFonts w:ascii="Times New Roman" w:hAnsi="Times New Roman" w:cs="Times New Roman"/>
          <w:sz w:val="24"/>
        </w:rPr>
        <w:footnoteReference w:id="224"/>
      </w:r>
      <w:r w:rsidR="00B53445">
        <w:rPr>
          <w:rFonts w:ascii="Times New Roman" w:hAnsi="Times New Roman" w:cs="Times New Roman"/>
          <w:sz w:val="24"/>
        </w:rPr>
        <w:t xml:space="preserve"> o síle 19 hlasů.</w:t>
      </w:r>
      <w:r w:rsidR="00B53445">
        <w:rPr>
          <w:rStyle w:val="Znakapoznpodarou"/>
          <w:rFonts w:ascii="Times New Roman" w:hAnsi="Times New Roman" w:cs="Times New Roman"/>
          <w:sz w:val="24"/>
        </w:rPr>
        <w:footnoteReference w:id="225"/>
      </w:r>
      <w:r w:rsidR="00485738">
        <w:rPr>
          <w:rFonts w:ascii="Times New Roman" w:hAnsi="Times New Roman" w:cs="Times New Roman"/>
          <w:sz w:val="24"/>
        </w:rPr>
        <w:t xml:space="preserve"> </w:t>
      </w:r>
      <w:r w:rsidR="008D78E3">
        <w:rPr>
          <w:rFonts w:ascii="Times New Roman" w:hAnsi="Times New Roman" w:cs="Times New Roman"/>
          <w:sz w:val="24"/>
        </w:rPr>
        <w:t>Při udělení této žluté karty</w:t>
      </w:r>
      <w:r w:rsidR="00485738" w:rsidRPr="00485738">
        <w:rPr>
          <w:rFonts w:ascii="Times New Roman" w:hAnsi="Times New Roman" w:cs="Times New Roman"/>
          <w:sz w:val="24"/>
        </w:rPr>
        <w:t xml:space="preserve"> sehrála roli i COSAC, jejíž jednání se v té době konalo v</w:t>
      </w:r>
      <w:r w:rsidR="009E0EE7">
        <w:rPr>
          <w:rFonts w:ascii="Times New Roman" w:hAnsi="Times New Roman" w:cs="Times New Roman"/>
          <w:sz w:val="24"/>
        </w:rPr>
        <w:t> </w:t>
      </w:r>
      <w:r w:rsidR="00485738" w:rsidRPr="00485738">
        <w:rPr>
          <w:rFonts w:ascii="Times New Roman" w:hAnsi="Times New Roman" w:cs="Times New Roman"/>
          <w:sz w:val="24"/>
        </w:rPr>
        <w:t>Kodani</w:t>
      </w:r>
      <w:r w:rsidR="009E0EE7">
        <w:rPr>
          <w:rFonts w:ascii="Times New Roman" w:hAnsi="Times New Roman" w:cs="Times New Roman"/>
          <w:sz w:val="24"/>
        </w:rPr>
        <w:t>.</w:t>
      </w:r>
      <w:r w:rsidR="00273263">
        <w:rPr>
          <w:rStyle w:val="Znakapoznpodarou"/>
          <w:rFonts w:ascii="Times New Roman" w:hAnsi="Times New Roman" w:cs="Times New Roman"/>
          <w:sz w:val="24"/>
        </w:rPr>
        <w:footnoteReference w:id="226"/>
      </w:r>
      <w:r w:rsidR="00B53445">
        <w:rPr>
          <w:rFonts w:ascii="Times New Roman" w:hAnsi="Times New Roman" w:cs="Times New Roman"/>
          <w:sz w:val="24"/>
        </w:rPr>
        <w:t xml:space="preserve"> Analýzu reakcí parlamentů provedl </w:t>
      </w:r>
      <w:r w:rsidR="00033D5D">
        <w:rPr>
          <w:rFonts w:ascii="Times New Roman" w:hAnsi="Times New Roman" w:cs="Times New Roman"/>
          <w:sz w:val="24"/>
        </w:rPr>
        <w:t xml:space="preserve">např. </w:t>
      </w:r>
      <w:r w:rsidR="00B53445">
        <w:rPr>
          <w:rFonts w:ascii="Times New Roman" w:hAnsi="Times New Roman" w:cs="Times New Roman"/>
          <w:sz w:val="24"/>
        </w:rPr>
        <w:t>Goldoni</w:t>
      </w:r>
      <w:r w:rsidR="00712906">
        <w:rPr>
          <w:rFonts w:ascii="Times New Roman" w:hAnsi="Times New Roman" w:cs="Times New Roman"/>
          <w:sz w:val="24"/>
        </w:rPr>
        <w:t>.</w:t>
      </w:r>
      <w:r w:rsidR="00B53445">
        <w:rPr>
          <w:rStyle w:val="Znakapoznpodarou"/>
          <w:rFonts w:ascii="Times New Roman" w:hAnsi="Times New Roman" w:cs="Times New Roman"/>
          <w:sz w:val="24"/>
        </w:rPr>
        <w:footnoteReference w:id="227"/>
      </w:r>
      <w:r w:rsidR="00B53445">
        <w:rPr>
          <w:rFonts w:ascii="Times New Roman" w:hAnsi="Times New Roman" w:cs="Times New Roman"/>
          <w:sz w:val="24"/>
        </w:rPr>
        <w:t xml:space="preserve"> Kromě argumentů mířících proti právnímu základu nebo reflektujících obavy o národní autonomii či ústavní základy se objevily i námitky směřující k </w:t>
      </w:r>
      <w:r w:rsidR="00E4595F">
        <w:rPr>
          <w:rFonts w:ascii="Times New Roman" w:hAnsi="Times New Roman" w:cs="Times New Roman"/>
          <w:sz w:val="24"/>
        </w:rPr>
        <w:t>volbě nařízení namísto</w:t>
      </w:r>
      <w:r w:rsidR="00B53445">
        <w:rPr>
          <w:rFonts w:ascii="Times New Roman" w:hAnsi="Times New Roman" w:cs="Times New Roman"/>
          <w:sz w:val="24"/>
        </w:rPr>
        <w:t xml:space="preserve"> směrnice. </w:t>
      </w:r>
      <w:r w:rsidR="0078103C">
        <w:rPr>
          <w:rFonts w:ascii="Times New Roman" w:hAnsi="Times New Roman" w:cs="Times New Roman"/>
          <w:sz w:val="24"/>
        </w:rPr>
        <w:t>Některé p</w:t>
      </w:r>
      <w:r w:rsidR="005F6A15">
        <w:rPr>
          <w:rFonts w:ascii="Times New Roman" w:hAnsi="Times New Roman" w:cs="Times New Roman"/>
          <w:sz w:val="24"/>
        </w:rPr>
        <w:t>arlamenty argumentovaly i proti snížení úrovně ochrany zaměstnanců</w:t>
      </w:r>
      <w:r w:rsidR="002564A5">
        <w:rPr>
          <w:rFonts w:ascii="Times New Roman" w:hAnsi="Times New Roman" w:cs="Times New Roman"/>
          <w:sz w:val="24"/>
        </w:rPr>
        <w:t xml:space="preserve"> nebo připomínaly fungující národní </w:t>
      </w:r>
      <w:r w:rsidR="00A5502B">
        <w:rPr>
          <w:rFonts w:ascii="Times New Roman" w:hAnsi="Times New Roman" w:cs="Times New Roman"/>
          <w:sz w:val="24"/>
        </w:rPr>
        <w:t>mechanismy řešení sporů</w:t>
      </w:r>
      <w:r w:rsidR="005F6A15">
        <w:rPr>
          <w:rFonts w:ascii="Times New Roman" w:hAnsi="Times New Roman" w:cs="Times New Roman"/>
          <w:sz w:val="24"/>
        </w:rPr>
        <w:t xml:space="preserve">. </w:t>
      </w:r>
      <w:r w:rsidR="00F44702">
        <w:rPr>
          <w:rFonts w:ascii="Times New Roman" w:hAnsi="Times New Roman" w:cs="Times New Roman"/>
          <w:sz w:val="24"/>
        </w:rPr>
        <w:t>Potvrdil se</w:t>
      </w:r>
      <w:r w:rsidR="00B53445">
        <w:rPr>
          <w:rFonts w:ascii="Times New Roman" w:hAnsi="Times New Roman" w:cs="Times New Roman"/>
          <w:sz w:val="24"/>
        </w:rPr>
        <w:t xml:space="preserve"> širší přístup up</w:t>
      </w:r>
      <w:r w:rsidR="00164D3D">
        <w:rPr>
          <w:rFonts w:ascii="Times New Roman" w:hAnsi="Times New Roman" w:cs="Times New Roman"/>
          <w:sz w:val="24"/>
        </w:rPr>
        <w:t>latňovaný parlamenty</w:t>
      </w:r>
      <w:r w:rsidR="00B53445">
        <w:rPr>
          <w:rFonts w:ascii="Times New Roman" w:hAnsi="Times New Roman" w:cs="Times New Roman"/>
          <w:sz w:val="24"/>
        </w:rPr>
        <w:t xml:space="preserve">. </w:t>
      </w:r>
      <w:proofErr w:type="spellStart"/>
      <w:r w:rsidR="00B53445">
        <w:rPr>
          <w:rFonts w:ascii="Times New Roman" w:hAnsi="Times New Roman" w:cs="Times New Roman"/>
          <w:sz w:val="24"/>
        </w:rPr>
        <w:t>Fabbrini</w:t>
      </w:r>
      <w:proofErr w:type="spellEnd"/>
      <w:r w:rsidR="00B53445">
        <w:rPr>
          <w:rFonts w:ascii="Times New Roman" w:hAnsi="Times New Roman" w:cs="Times New Roman"/>
          <w:sz w:val="24"/>
        </w:rPr>
        <w:t xml:space="preserve"> a </w:t>
      </w:r>
      <w:proofErr w:type="spellStart"/>
      <w:r w:rsidR="00B53445">
        <w:rPr>
          <w:rFonts w:ascii="Times New Roman" w:hAnsi="Times New Roman" w:cs="Times New Roman"/>
          <w:sz w:val="24"/>
        </w:rPr>
        <w:t>G</w:t>
      </w:r>
      <w:r w:rsidR="00400219">
        <w:rPr>
          <w:rFonts w:ascii="Times New Roman" w:hAnsi="Times New Roman" w:cs="Times New Roman"/>
          <w:sz w:val="24"/>
        </w:rPr>
        <w:t>ranat</w:t>
      </w:r>
      <w:proofErr w:type="spellEnd"/>
      <w:r w:rsidR="00400219">
        <w:rPr>
          <w:rFonts w:ascii="Times New Roman" w:hAnsi="Times New Roman" w:cs="Times New Roman"/>
          <w:sz w:val="24"/>
        </w:rPr>
        <w:t xml:space="preserve"> dokonce označili vydání odůvodněných stanovisek</w:t>
      </w:r>
      <w:r w:rsidR="00B53445">
        <w:rPr>
          <w:rFonts w:ascii="Times New Roman" w:hAnsi="Times New Roman" w:cs="Times New Roman"/>
          <w:sz w:val="24"/>
        </w:rPr>
        <w:t xml:space="preserve"> ze strany parlamentů za jednání </w:t>
      </w:r>
      <w:r w:rsidR="00B53445" w:rsidRPr="008B0E25">
        <w:rPr>
          <w:rFonts w:ascii="Times New Roman" w:hAnsi="Times New Roman" w:cs="Times New Roman"/>
          <w:sz w:val="24"/>
        </w:rPr>
        <w:t xml:space="preserve">ultra </w:t>
      </w:r>
      <w:proofErr w:type="spellStart"/>
      <w:r w:rsidR="00B53445" w:rsidRPr="008B0E25">
        <w:rPr>
          <w:rFonts w:ascii="Times New Roman" w:hAnsi="Times New Roman" w:cs="Times New Roman"/>
          <w:sz w:val="24"/>
        </w:rPr>
        <w:t>vires</w:t>
      </w:r>
      <w:proofErr w:type="spellEnd"/>
      <w:r w:rsidR="00CE1FA9">
        <w:rPr>
          <w:rFonts w:ascii="Times New Roman" w:hAnsi="Times New Roman" w:cs="Times New Roman"/>
          <w:sz w:val="24"/>
        </w:rPr>
        <w:t>,</w:t>
      </w:r>
      <w:r w:rsidR="00B53445">
        <w:rPr>
          <w:rStyle w:val="Znakapoznpodarou"/>
          <w:rFonts w:ascii="Times New Roman" w:hAnsi="Times New Roman" w:cs="Times New Roman"/>
          <w:sz w:val="24"/>
        </w:rPr>
        <w:footnoteReference w:id="228"/>
      </w:r>
      <w:r w:rsidR="00B53445">
        <w:rPr>
          <w:rFonts w:ascii="Times New Roman" w:hAnsi="Times New Roman" w:cs="Times New Roman"/>
          <w:sz w:val="24"/>
        </w:rPr>
        <w:t xml:space="preserve"> když </w:t>
      </w:r>
      <w:r w:rsidR="00DF6A65">
        <w:rPr>
          <w:rFonts w:ascii="Times New Roman" w:hAnsi="Times New Roman" w:cs="Times New Roman"/>
          <w:sz w:val="24"/>
        </w:rPr>
        <w:t>po</w:t>
      </w:r>
      <w:r w:rsidR="00B53445">
        <w:rPr>
          <w:rFonts w:ascii="Times New Roman" w:hAnsi="Times New Roman" w:cs="Times New Roman"/>
          <w:sz w:val="24"/>
        </w:rPr>
        <w:t>dle jejich názoru vlastně Komise nespáchala žádný faul, za který by jí</w:t>
      </w:r>
      <w:r w:rsidR="0010606D">
        <w:rPr>
          <w:rFonts w:ascii="Times New Roman" w:hAnsi="Times New Roman" w:cs="Times New Roman"/>
          <w:sz w:val="24"/>
        </w:rPr>
        <w:t xml:space="preserve"> měla být udělena žlutá karta</w:t>
      </w:r>
      <w:r w:rsidR="00B53445">
        <w:rPr>
          <w:rFonts w:ascii="Times New Roman" w:hAnsi="Times New Roman" w:cs="Times New Roman"/>
          <w:sz w:val="24"/>
        </w:rPr>
        <w:t>. Jinak podáno, dle nich</w:t>
      </w:r>
      <w:r w:rsidR="00A33859">
        <w:rPr>
          <w:rFonts w:ascii="Times New Roman" w:hAnsi="Times New Roman" w:cs="Times New Roman"/>
          <w:sz w:val="24"/>
        </w:rPr>
        <w:t xml:space="preserve"> byl návrh Komise souladný se zásadou subsidiarity</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29"/>
      </w:r>
      <w:r w:rsidR="006F3B00">
        <w:rPr>
          <w:rFonts w:ascii="Times New Roman" w:hAnsi="Times New Roman" w:cs="Times New Roman"/>
          <w:sz w:val="24"/>
        </w:rPr>
        <w:t xml:space="preserve"> Stejně tak </w:t>
      </w:r>
      <w:r w:rsidR="006F3B00">
        <w:rPr>
          <w:rFonts w:ascii="Times New Roman" w:hAnsi="Times New Roman" w:cs="Times New Roman"/>
          <w:sz w:val="24"/>
        </w:rPr>
        <w:lastRenderedPageBreak/>
        <w:t xml:space="preserve">Komise rozpor </w:t>
      </w:r>
      <w:r w:rsidR="007D7D8F">
        <w:rPr>
          <w:rFonts w:ascii="Times New Roman" w:hAnsi="Times New Roman" w:cs="Times New Roman"/>
          <w:sz w:val="24"/>
        </w:rPr>
        <w:t>neuznala. R</w:t>
      </w:r>
      <w:r w:rsidR="00D26145">
        <w:rPr>
          <w:rFonts w:ascii="Times New Roman" w:hAnsi="Times New Roman" w:cs="Times New Roman"/>
          <w:sz w:val="24"/>
        </w:rPr>
        <w:t xml:space="preserve">eagovala např. tvrzením, že </w:t>
      </w:r>
      <w:r w:rsidR="00D26145" w:rsidRPr="00DE7072">
        <w:rPr>
          <w:rFonts w:ascii="Times New Roman" w:hAnsi="Times New Roman" w:cs="Times New Roman"/>
          <w:i/>
          <w:sz w:val="24"/>
        </w:rPr>
        <w:t>„v navrhovaném nařízení by navíc byla uznána úloha vnitrostátních soudů při stanovování skutkové podstaty a hodnocení toho, zda uskutečněné akce sledují legitimní zájem, jsou vhodné pro dosažení příslušných cílů a zda jejich rozsah není větší, než je nutné k dosažení cílů.</w:t>
      </w:r>
      <w:r w:rsidR="00DE7072">
        <w:rPr>
          <w:rFonts w:ascii="Times New Roman" w:hAnsi="Times New Roman" w:cs="Times New Roman"/>
          <w:sz w:val="24"/>
        </w:rPr>
        <w:t>“</w:t>
      </w:r>
      <w:r w:rsidR="00D278D3">
        <w:rPr>
          <w:rStyle w:val="Znakapoznpodarou"/>
          <w:rFonts w:ascii="Times New Roman" w:hAnsi="Times New Roman" w:cs="Times New Roman"/>
          <w:sz w:val="24"/>
        </w:rPr>
        <w:footnoteReference w:id="230"/>
      </w:r>
      <w:r w:rsidR="00DE1DAA">
        <w:rPr>
          <w:rFonts w:ascii="Times New Roman" w:hAnsi="Times New Roman" w:cs="Times New Roman"/>
          <w:sz w:val="24"/>
        </w:rPr>
        <w:t xml:space="preserve"> N</w:t>
      </w:r>
      <w:r w:rsidR="00B53445">
        <w:rPr>
          <w:rFonts w:ascii="Times New Roman" w:hAnsi="Times New Roman" w:cs="Times New Roman"/>
          <w:sz w:val="24"/>
        </w:rPr>
        <w:t>ávrh přesto stáhla s odkazem na nedostatek nezbytné politické podpory umožňující</w:t>
      </w:r>
      <w:r w:rsidR="00B53445" w:rsidRPr="002A3DE2">
        <w:rPr>
          <w:rFonts w:ascii="Times New Roman" w:hAnsi="Times New Roman" w:cs="Times New Roman"/>
          <w:sz w:val="24"/>
        </w:rPr>
        <w:t xml:space="preserve"> </w:t>
      </w:r>
      <w:r w:rsidR="00B53445">
        <w:rPr>
          <w:rFonts w:ascii="Times New Roman" w:hAnsi="Times New Roman" w:cs="Times New Roman"/>
          <w:sz w:val="24"/>
        </w:rPr>
        <w:t>jeho přijetí v EP</w:t>
      </w:r>
      <w:r w:rsidR="00B53445" w:rsidRPr="002A3DE2">
        <w:rPr>
          <w:rFonts w:ascii="Times New Roman" w:hAnsi="Times New Roman" w:cs="Times New Roman"/>
          <w:sz w:val="24"/>
        </w:rPr>
        <w:t xml:space="preserve"> a Radě</w:t>
      </w:r>
      <w:r w:rsidR="00B53445">
        <w:rPr>
          <w:rFonts w:ascii="Times New Roman" w:hAnsi="Times New Roman" w:cs="Times New Roman"/>
          <w:sz w:val="24"/>
        </w:rPr>
        <w:t>.</w:t>
      </w:r>
      <w:r w:rsidR="00462F88">
        <w:rPr>
          <w:rFonts w:ascii="Times New Roman" w:hAnsi="Times New Roman" w:cs="Times New Roman"/>
          <w:sz w:val="24"/>
        </w:rPr>
        <w:t xml:space="preserve"> </w:t>
      </w:r>
      <w:r w:rsidR="00462F88" w:rsidRPr="00462F88">
        <w:rPr>
          <w:rFonts w:ascii="Times New Roman" w:hAnsi="Times New Roman" w:cs="Times New Roman"/>
          <w:sz w:val="24"/>
        </w:rPr>
        <w:t>Přijetí návrhu v Radě by vyžadovalo jednomyslnost.</w:t>
      </w:r>
    </w:p>
    <w:p w:rsidR="006F0743" w:rsidRDefault="00971868" w:rsidP="009E718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Pokud jde o zapojení českých parlamentních komor, </w:t>
      </w:r>
      <w:r w:rsidR="000D5BAE">
        <w:rPr>
          <w:rFonts w:ascii="Times New Roman" w:hAnsi="Times New Roman" w:cs="Times New Roman"/>
          <w:sz w:val="24"/>
        </w:rPr>
        <w:t>tak v</w:t>
      </w:r>
      <w:r w:rsidR="00603ECD">
        <w:rPr>
          <w:rFonts w:ascii="Times New Roman" w:hAnsi="Times New Roman" w:cs="Times New Roman"/>
          <w:sz w:val="24"/>
        </w:rPr>
        <w:t>ýbor pro evropské záležitosti</w:t>
      </w:r>
      <w:r w:rsidR="00B7128A">
        <w:rPr>
          <w:rFonts w:ascii="Times New Roman" w:hAnsi="Times New Roman" w:cs="Times New Roman"/>
          <w:sz w:val="24"/>
        </w:rPr>
        <w:t xml:space="preserve"> Poslanecké sněmovny</w:t>
      </w:r>
      <w:r w:rsidR="00B25D99">
        <w:rPr>
          <w:rFonts w:ascii="Times New Roman" w:hAnsi="Times New Roman" w:cs="Times New Roman"/>
          <w:sz w:val="24"/>
        </w:rPr>
        <w:t xml:space="preserve"> </w:t>
      </w:r>
      <w:r w:rsidR="0043460F">
        <w:rPr>
          <w:rFonts w:ascii="Times New Roman" w:hAnsi="Times New Roman" w:cs="Times New Roman"/>
          <w:sz w:val="24"/>
        </w:rPr>
        <w:t>zkoumaný návrh shledal v rozporu se zásadou subsidiarity</w:t>
      </w:r>
      <w:r w:rsidR="00EA4613">
        <w:rPr>
          <w:rFonts w:ascii="Times New Roman" w:hAnsi="Times New Roman" w:cs="Times New Roman"/>
          <w:sz w:val="24"/>
        </w:rPr>
        <w:t>.</w:t>
      </w:r>
      <w:r w:rsidR="003110BF">
        <w:rPr>
          <w:rFonts w:ascii="Times New Roman" w:hAnsi="Times New Roman" w:cs="Times New Roman"/>
          <w:sz w:val="24"/>
        </w:rPr>
        <w:t xml:space="preserve"> K čl. 2 návrhu uvedl, že </w:t>
      </w:r>
      <w:r w:rsidR="003110BF" w:rsidRPr="003110BF">
        <w:rPr>
          <w:rFonts w:ascii="Times New Roman" w:hAnsi="Times New Roman" w:cs="Times New Roman"/>
          <w:i/>
          <w:sz w:val="24"/>
        </w:rPr>
        <w:t>„pouze formálně kodifikuje to, co fakticky platí na základě judikatury SDEU</w:t>
      </w:r>
      <w:r w:rsidR="00AA3A53">
        <w:rPr>
          <w:rFonts w:ascii="Times New Roman" w:hAnsi="Times New Roman" w:cs="Times New Roman"/>
          <w:i/>
          <w:sz w:val="24"/>
        </w:rPr>
        <w:t>.</w:t>
      </w:r>
      <w:r w:rsidR="003110BF" w:rsidRPr="003110BF">
        <w:rPr>
          <w:rFonts w:ascii="Times New Roman" w:hAnsi="Times New Roman" w:cs="Times New Roman"/>
          <w:i/>
          <w:sz w:val="24"/>
        </w:rPr>
        <w:t>“</w:t>
      </w:r>
      <w:r w:rsidR="003142F0">
        <w:rPr>
          <w:rStyle w:val="Znakapoznpodarou"/>
          <w:rFonts w:ascii="Times New Roman" w:hAnsi="Times New Roman" w:cs="Times New Roman"/>
          <w:i/>
          <w:sz w:val="24"/>
        </w:rPr>
        <w:footnoteReference w:id="231"/>
      </w:r>
      <w:r w:rsidR="009E2608">
        <w:rPr>
          <w:rFonts w:ascii="Times New Roman" w:hAnsi="Times New Roman" w:cs="Times New Roman"/>
          <w:sz w:val="24"/>
        </w:rPr>
        <w:t xml:space="preserve"> Zde </w:t>
      </w:r>
      <w:r w:rsidR="00AA3A53">
        <w:rPr>
          <w:rFonts w:ascii="Times New Roman" w:hAnsi="Times New Roman" w:cs="Times New Roman"/>
          <w:sz w:val="24"/>
        </w:rPr>
        <w:t xml:space="preserve">problém z hlediska subsidiarity spatřován nebyl, </w:t>
      </w:r>
      <w:r w:rsidR="003D6ACF">
        <w:rPr>
          <w:rFonts w:ascii="Times New Roman" w:hAnsi="Times New Roman" w:cs="Times New Roman"/>
          <w:sz w:val="24"/>
        </w:rPr>
        <w:t xml:space="preserve">což neplatí o čl. 3 návrhu, k němuž výbor mj. uvedl, </w:t>
      </w:r>
      <w:r w:rsidR="003D6ACF" w:rsidRPr="003D6ACF">
        <w:rPr>
          <w:rFonts w:ascii="Times New Roman" w:hAnsi="Times New Roman" w:cs="Times New Roman"/>
          <w:i/>
          <w:sz w:val="24"/>
        </w:rPr>
        <w:t>„že regulaci vztahů mezi sociálními partnery by bylo s přihlédnutím k jejich specifikům vhodné ponechat na národní úrovni.“</w:t>
      </w:r>
      <w:r w:rsidR="003142F0">
        <w:rPr>
          <w:rStyle w:val="Znakapoznpodarou"/>
          <w:rFonts w:ascii="Times New Roman" w:hAnsi="Times New Roman" w:cs="Times New Roman"/>
          <w:i/>
          <w:sz w:val="24"/>
        </w:rPr>
        <w:footnoteReference w:id="232"/>
      </w:r>
      <w:r w:rsidR="00313C8C">
        <w:rPr>
          <w:rFonts w:ascii="Times New Roman" w:hAnsi="Times New Roman" w:cs="Times New Roman"/>
          <w:i/>
          <w:sz w:val="24"/>
        </w:rPr>
        <w:t xml:space="preserve"> </w:t>
      </w:r>
      <w:r w:rsidR="00527EB6">
        <w:rPr>
          <w:rFonts w:ascii="Times New Roman" w:hAnsi="Times New Roman" w:cs="Times New Roman"/>
          <w:sz w:val="24"/>
        </w:rPr>
        <w:t>Usnesení výboru však nebylo K</w:t>
      </w:r>
      <w:r w:rsidR="005B7D69">
        <w:rPr>
          <w:rFonts w:ascii="Times New Roman" w:hAnsi="Times New Roman" w:cs="Times New Roman"/>
          <w:sz w:val="24"/>
        </w:rPr>
        <w:t>omisí považováno za odůvodněné stanovisko</w:t>
      </w:r>
      <w:r w:rsidR="00527EB6">
        <w:rPr>
          <w:rFonts w:ascii="Times New Roman" w:hAnsi="Times New Roman" w:cs="Times New Roman"/>
          <w:sz w:val="24"/>
        </w:rPr>
        <w:t>, jelikož bylo vydáno až po uplynutí osmitýdenní lhůty.</w:t>
      </w:r>
      <w:r w:rsidR="00076492">
        <w:rPr>
          <w:rStyle w:val="Znakapoznpodarou"/>
          <w:rFonts w:ascii="Times New Roman" w:hAnsi="Times New Roman" w:cs="Times New Roman"/>
          <w:sz w:val="24"/>
        </w:rPr>
        <w:footnoteReference w:id="233"/>
      </w:r>
      <w:r w:rsidR="00527EB6">
        <w:rPr>
          <w:rFonts w:ascii="Times New Roman" w:hAnsi="Times New Roman" w:cs="Times New Roman"/>
          <w:sz w:val="24"/>
        </w:rPr>
        <w:t xml:space="preserve"> </w:t>
      </w:r>
    </w:p>
    <w:p w:rsidR="001F7B84" w:rsidRDefault="00594B8C" w:rsidP="005E04A2">
      <w:pPr>
        <w:spacing w:after="0" w:line="360" w:lineRule="auto"/>
        <w:ind w:firstLine="708"/>
        <w:jc w:val="both"/>
        <w:rPr>
          <w:rFonts w:ascii="Times New Roman" w:hAnsi="Times New Roman" w:cs="Times New Roman"/>
          <w:i/>
          <w:sz w:val="24"/>
        </w:rPr>
      </w:pPr>
      <w:r>
        <w:rPr>
          <w:rFonts w:ascii="Times New Roman" w:hAnsi="Times New Roman" w:cs="Times New Roman"/>
          <w:sz w:val="24"/>
        </w:rPr>
        <w:t>Rovněž Senát vydal</w:t>
      </w:r>
      <w:r w:rsidR="007A5C63">
        <w:rPr>
          <w:rFonts w:ascii="Times New Roman" w:hAnsi="Times New Roman" w:cs="Times New Roman"/>
          <w:sz w:val="24"/>
        </w:rPr>
        <w:t xml:space="preserve"> odůvodněné stanovisko</w:t>
      </w:r>
      <w:r w:rsidR="00D01965">
        <w:rPr>
          <w:rFonts w:ascii="Times New Roman" w:hAnsi="Times New Roman" w:cs="Times New Roman"/>
          <w:sz w:val="24"/>
        </w:rPr>
        <w:t>, učinil ta</w:t>
      </w:r>
      <w:r w:rsidR="00DA0956">
        <w:rPr>
          <w:rFonts w:ascii="Times New Roman" w:hAnsi="Times New Roman" w:cs="Times New Roman"/>
          <w:sz w:val="24"/>
        </w:rPr>
        <w:t>k ale také až po uplynutí</w:t>
      </w:r>
      <w:r w:rsidR="00D01965">
        <w:rPr>
          <w:rFonts w:ascii="Times New Roman" w:hAnsi="Times New Roman" w:cs="Times New Roman"/>
          <w:sz w:val="24"/>
        </w:rPr>
        <w:t xml:space="preserve"> lhůty.</w:t>
      </w:r>
      <w:r w:rsidR="00594DA6">
        <w:rPr>
          <w:rFonts w:ascii="Times New Roman" w:hAnsi="Times New Roman" w:cs="Times New Roman"/>
          <w:sz w:val="24"/>
        </w:rPr>
        <w:t xml:space="preserve"> Kromě námitek k právnímu základu a obsahu návrhu uvedl, </w:t>
      </w:r>
      <w:r w:rsidR="00594DA6" w:rsidRPr="00594DA6">
        <w:rPr>
          <w:rFonts w:ascii="Times New Roman" w:hAnsi="Times New Roman" w:cs="Times New Roman"/>
          <w:i/>
          <w:sz w:val="24"/>
        </w:rPr>
        <w:t>„že Komise nedoložila, jakým způsobem mají opatření obsažená v návrhu přispět k dosažení vytyčeného cíle; nebyla tedy prokázána nezbytnost návrhu, jeho vhodnost ani jeho přidaná hodnota oproti činnosti členských států.“</w:t>
      </w:r>
      <w:r w:rsidR="002B7306">
        <w:rPr>
          <w:rStyle w:val="Znakapoznpodarou"/>
          <w:rFonts w:ascii="Times New Roman" w:hAnsi="Times New Roman" w:cs="Times New Roman"/>
          <w:i/>
          <w:sz w:val="24"/>
        </w:rPr>
        <w:footnoteReference w:id="234"/>
      </w:r>
    </w:p>
    <w:p w:rsidR="005059A5" w:rsidRDefault="005059A5" w:rsidP="005E04A2">
      <w:pPr>
        <w:spacing w:after="0" w:line="360" w:lineRule="auto"/>
        <w:ind w:firstLine="708"/>
        <w:jc w:val="both"/>
        <w:rPr>
          <w:rFonts w:ascii="Times New Roman" w:hAnsi="Times New Roman" w:cs="Times New Roman"/>
          <w:sz w:val="24"/>
        </w:rPr>
      </w:pPr>
    </w:p>
    <w:p w:rsidR="0050645B" w:rsidRDefault="0050645B" w:rsidP="005E04A2">
      <w:pPr>
        <w:spacing w:after="0" w:line="360" w:lineRule="auto"/>
        <w:ind w:firstLine="708"/>
        <w:jc w:val="both"/>
        <w:rPr>
          <w:rFonts w:ascii="Times New Roman" w:hAnsi="Times New Roman" w:cs="Times New Roman"/>
          <w:sz w:val="24"/>
        </w:rPr>
      </w:pPr>
    </w:p>
    <w:p w:rsidR="0050645B" w:rsidRDefault="0050645B" w:rsidP="005E04A2">
      <w:pPr>
        <w:spacing w:after="0" w:line="360" w:lineRule="auto"/>
        <w:ind w:firstLine="708"/>
        <w:jc w:val="both"/>
        <w:rPr>
          <w:rFonts w:ascii="Times New Roman" w:hAnsi="Times New Roman" w:cs="Times New Roman"/>
          <w:sz w:val="24"/>
        </w:rPr>
      </w:pPr>
    </w:p>
    <w:p w:rsidR="0050645B" w:rsidRDefault="0050645B" w:rsidP="005E04A2">
      <w:pPr>
        <w:spacing w:after="0" w:line="360" w:lineRule="auto"/>
        <w:ind w:firstLine="708"/>
        <w:jc w:val="both"/>
        <w:rPr>
          <w:rFonts w:ascii="Times New Roman" w:hAnsi="Times New Roman" w:cs="Times New Roman"/>
          <w:sz w:val="24"/>
        </w:rPr>
      </w:pPr>
    </w:p>
    <w:p w:rsidR="0050645B" w:rsidRDefault="0050645B" w:rsidP="005E04A2">
      <w:pPr>
        <w:spacing w:after="0" w:line="360" w:lineRule="auto"/>
        <w:ind w:firstLine="708"/>
        <w:jc w:val="both"/>
        <w:rPr>
          <w:rFonts w:ascii="Times New Roman" w:hAnsi="Times New Roman" w:cs="Times New Roman"/>
          <w:sz w:val="24"/>
        </w:rPr>
      </w:pPr>
    </w:p>
    <w:p w:rsidR="0050645B" w:rsidRPr="00A23AF4" w:rsidRDefault="0050645B" w:rsidP="005E04A2">
      <w:pPr>
        <w:spacing w:after="0" w:line="360" w:lineRule="auto"/>
        <w:ind w:firstLine="708"/>
        <w:jc w:val="both"/>
        <w:rPr>
          <w:rFonts w:ascii="Times New Roman" w:hAnsi="Times New Roman" w:cs="Times New Roman"/>
          <w:sz w:val="24"/>
        </w:rPr>
      </w:pPr>
    </w:p>
    <w:p w:rsidR="000C2F54" w:rsidRPr="005E04A2" w:rsidRDefault="00C05D92" w:rsidP="005E04A2">
      <w:pPr>
        <w:pStyle w:val="Nadpis2"/>
        <w:spacing w:after="240"/>
        <w:rPr>
          <w:rFonts w:eastAsia="Times New Roman"/>
        </w:rPr>
      </w:pPr>
      <w:bookmarkStart w:id="32" w:name="_Toc478235178"/>
      <w:r>
        <w:rPr>
          <w:rFonts w:eastAsia="Times New Roman"/>
        </w:rPr>
        <w:lastRenderedPageBreak/>
        <w:t>5</w:t>
      </w:r>
      <w:r w:rsidR="000C2F54">
        <w:rPr>
          <w:rFonts w:eastAsia="Times New Roman"/>
        </w:rPr>
        <w:t xml:space="preserve">.2 </w:t>
      </w:r>
      <w:r w:rsidR="000C2F54" w:rsidRPr="000C2F54">
        <w:rPr>
          <w:rFonts w:eastAsia="Times New Roman"/>
        </w:rPr>
        <w:t>Návrh nařízení Rady o zřízení Úřadu evropského veřejného žalobce</w:t>
      </w:r>
      <w:bookmarkEnd w:id="32"/>
    </w:p>
    <w:p w:rsidR="00027F25" w:rsidRDefault="00F861E7" w:rsidP="005059A5">
      <w:pPr>
        <w:spacing w:after="0" w:line="360" w:lineRule="auto"/>
        <w:ind w:firstLine="708"/>
        <w:jc w:val="both"/>
        <w:rPr>
          <w:rFonts w:ascii="Times New Roman" w:hAnsi="Times New Roman" w:cs="Times New Roman"/>
          <w:sz w:val="24"/>
        </w:rPr>
      </w:pPr>
      <w:r>
        <w:rPr>
          <w:rFonts w:ascii="Times New Roman" w:hAnsi="Times New Roman" w:cs="Times New Roman"/>
          <w:sz w:val="24"/>
        </w:rPr>
        <w:t>Druhá žlutá karta</w:t>
      </w:r>
      <w:r w:rsidR="00807111">
        <w:rPr>
          <w:rFonts w:ascii="Times New Roman" w:hAnsi="Times New Roman" w:cs="Times New Roman"/>
          <w:sz w:val="24"/>
        </w:rPr>
        <w:t xml:space="preserve"> byla vystavena návrhu nařízení Rady</w:t>
      </w:r>
      <w:r w:rsidR="00B53445" w:rsidRPr="00294859">
        <w:rPr>
          <w:rFonts w:ascii="Times New Roman" w:hAnsi="Times New Roman" w:cs="Times New Roman"/>
          <w:sz w:val="24"/>
        </w:rPr>
        <w:t xml:space="preserve"> o zřízení</w:t>
      </w:r>
      <w:r w:rsidR="00B53445" w:rsidRPr="00A06DAF">
        <w:rPr>
          <w:rFonts w:ascii="Times New Roman" w:hAnsi="Times New Roman" w:cs="Times New Roman"/>
          <w:sz w:val="24"/>
        </w:rPr>
        <w:t xml:space="preserve"> Úřadu evropského veřejného žalobce</w:t>
      </w:r>
      <w:r w:rsidR="00B53445">
        <w:rPr>
          <w:rFonts w:ascii="Times New Roman" w:hAnsi="Times New Roman" w:cs="Times New Roman"/>
          <w:sz w:val="24"/>
        </w:rPr>
        <w:t>.</w:t>
      </w:r>
      <w:r w:rsidR="00B53445">
        <w:rPr>
          <w:rStyle w:val="Znakapoznpodarou"/>
          <w:rFonts w:ascii="Times New Roman" w:hAnsi="Times New Roman" w:cs="Times New Roman"/>
          <w:sz w:val="24"/>
        </w:rPr>
        <w:footnoteReference w:id="235"/>
      </w:r>
      <w:r w:rsidR="003943AF">
        <w:rPr>
          <w:rFonts w:ascii="Times New Roman" w:hAnsi="Times New Roman" w:cs="Times New Roman"/>
          <w:sz w:val="24"/>
        </w:rPr>
        <w:t xml:space="preserve"> </w:t>
      </w:r>
      <w:r w:rsidR="003A44DE">
        <w:rPr>
          <w:rFonts w:ascii="Times New Roman" w:hAnsi="Times New Roman" w:cs="Times New Roman"/>
          <w:sz w:val="24"/>
        </w:rPr>
        <w:t>Nový úřad by</w:t>
      </w:r>
      <w:r w:rsidR="00303F44">
        <w:rPr>
          <w:rFonts w:ascii="Times New Roman" w:hAnsi="Times New Roman" w:cs="Times New Roman"/>
          <w:sz w:val="24"/>
        </w:rPr>
        <w:t xml:space="preserve"> v rámci své struktury</w:t>
      </w:r>
      <w:r w:rsidR="003A44DE">
        <w:rPr>
          <w:rFonts w:ascii="Times New Roman" w:hAnsi="Times New Roman" w:cs="Times New Roman"/>
          <w:sz w:val="24"/>
        </w:rPr>
        <w:t xml:space="preserve"> mohl </w:t>
      </w:r>
      <w:r w:rsidR="00351622">
        <w:rPr>
          <w:rFonts w:ascii="Times New Roman" w:hAnsi="Times New Roman" w:cs="Times New Roman"/>
          <w:sz w:val="24"/>
        </w:rPr>
        <w:t>např.</w:t>
      </w:r>
      <w:r w:rsidR="005F4140">
        <w:rPr>
          <w:rFonts w:ascii="Times New Roman" w:hAnsi="Times New Roman" w:cs="Times New Roman"/>
          <w:sz w:val="24"/>
        </w:rPr>
        <w:t xml:space="preserve"> </w:t>
      </w:r>
      <w:r w:rsidR="003A44DE">
        <w:rPr>
          <w:rFonts w:ascii="Times New Roman" w:hAnsi="Times New Roman" w:cs="Times New Roman"/>
          <w:sz w:val="24"/>
        </w:rPr>
        <w:t>zahajovat vyšetřování</w:t>
      </w:r>
      <w:r w:rsidR="00B06D7E">
        <w:rPr>
          <w:rStyle w:val="Znakapoznpodarou"/>
          <w:rFonts w:ascii="Times New Roman" w:hAnsi="Times New Roman" w:cs="Times New Roman"/>
          <w:sz w:val="24"/>
        </w:rPr>
        <w:footnoteReference w:id="236"/>
      </w:r>
      <w:r w:rsidR="005F4140">
        <w:rPr>
          <w:rFonts w:ascii="Times New Roman" w:hAnsi="Times New Roman" w:cs="Times New Roman"/>
          <w:sz w:val="24"/>
        </w:rPr>
        <w:t xml:space="preserve"> či </w:t>
      </w:r>
      <w:r w:rsidR="00303F44">
        <w:rPr>
          <w:rFonts w:ascii="Times New Roman" w:hAnsi="Times New Roman" w:cs="Times New Roman"/>
          <w:sz w:val="24"/>
        </w:rPr>
        <w:t>předkládat obžaloby k vnitrostátním soudům</w:t>
      </w:r>
      <w:r w:rsidR="008A23DE">
        <w:rPr>
          <w:rFonts w:ascii="Times New Roman" w:hAnsi="Times New Roman" w:cs="Times New Roman"/>
          <w:sz w:val="24"/>
        </w:rPr>
        <w:t>,</w:t>
      </w:r>
      <w:r w:rsidR="00303F44">
        <w:rPr>
          <w:rStyle w:val="Znakapoznpodarou"/>
          <w:rFonts w:ascii="Times New Roman" w:hAnsi="Times New Roman" w:cs="Times New Roman"/>
          <w:sz w:val="24"/>
        </w:rPr>
        <w:footnoteReference w:id="237"/>
      </w:r>
      <w:r w:rsidR="00993A25">
        <w:rPr>
          <w:rFonts w:ascii="Times New Roman" w:hAnsi="Times New Roman" w:cs="Times New Roman"/>
          <w:sz w:val="24"/>
        </w:rPr>
        <w:t xml:space="preserve"> pokud by šlo o trestné činy poškozující</w:t>
      </w:r>
      <w:r w:rsidR="00993A25" w:rsidRPr="00993A25">
        <w:rPr>
          <w:rFonts w:ascii="Times New Roman" w:hAnsi="Times New Roman" w:cs="Times New Roman"/>
          <w:sz w:val="24"/>
        </w:rPr>
        <w:t xml:space="preserve"> nebo</w:t>
      </w:r>
      <w:r w:rsidR="00993A25">
        <w:rPr>
          <w:rFonts w:ascii="Times New Roman" w:hAnsi="Times New Roman" w:cs="Times New Roman"/>
          <w:sz w:val="24"/>
        </w:rPr>
        <w:t xml:space="preserve"> ohrožující finanční zájmy EU.</w:t>
      </w:r>
      <w:r w:rsidR="002C000E">
        <w:rPr>
          <w:rStyle w:val="Znakapoznpodarou"/>
          <w:rFonts w:ascii="Times New Roman" w:hAnsi="Times New Roman" w:cs="Times New Roman"/>
          <w:sz w:val="24"/>
        </w:rPr>
        <w:footnoteReference w:id="238"/>
      </w:r>
      <w:r w:rsidR="005F4140">
        <w:rPr>
          <w:rFonts w:ascii="Times New Roman" w:hAnsi="Times New Roman" w:cs="Times New Roman"/>
          <w:sz w:val="24"/>
        </w:rPr>
        <w:t xml:space="preserve"> </w:t>
      </w:r>
      <w:r w:rsidR="00B53445">
        <w:rPr>
          <w:rFonts w:ascii="Times New Roman" w:hAnsi="Times New Roman" w:cs="Times New Roman"/>
          <w:sz w:val="24"/>
        </w:rPr>
        <w:t>Komise v důvodové zprávě uvedla, že „</w:t>
      </w:r>
      <w:r w:rsidR="00B53445">
        <w:rPr>
          <w:rFonts w:ascii="Times New Roman" w:hAnsi="Times New Roman" w:cs="Times New Roman"/>
          <w:i/>
          <w:sz w:val="24"/>
        </w:rPr>
        <w:t>a</w:t>
      </w:r>
      <w:r w:rsidR="00B53445" w:rsidRPr="004A06BC">
        <w:rPr>
          <w:rFonts w:ascii="Times New Roman" w:hAnsi="Times New Roman" w:cs="Times New Roman"/>
          <w:i/>
          <w:sz w:val="24"/>
        </w:rPr>
        <w:t>kce na úrovni EU je nutná,</w:t>
      </w:r>
      <w:r w:rsidR="00B53445">
        <w:rPr>
          <w:rFonts w:ascii="Times New Roman" w:hAnsi="Times New Roman" w:cs="Times New Roman"/>
          <w:i/>
          <w:sz w:val="24"/>
        </w:rPr>
        <w:t xml:space="preserve"> protože předpokládané opatření</w:t>
      </w:r>
      <w:r w:rsidR="00B53445" w:rsidRPr="004A06BC">
        <w:rPr>
          <w:rFonts w:ascii="Times New Roman" w:hAnsi="Times New Roman" w:cs="Times New Roman"/>
          <w:i/>
          <w:sz w:val="24"/>
        </w:rPr>
        <w:t xml:space="preserve"> má evropský rozměr</w:t>
      </w:r>
      <w:r w:rsidR="00B53445">
        <w:rPr>
          <w:rFonts w:ascii="Times New Roman" w:hAnsi="Times New Roman" w:cs="Times New Roman"/>
          <w:i/>
          <w:sz w:val="24"/>
        </w:rPr>
        <w:t>.“</w:t>
      </w:r>
      <w:r w:rsidR="00716876">
        <w:rPr>
          <w:rStyle w:val="Znakapoznpodarou"/>
          <w:rFonts w:ascii="Times New Roman" w:hAnsi="Times New Roman" w:cs="Times New Roman"/>
          <w:i/>
          <w:sz w:val="24"/>
        </w:rPr>
        <w:footnoteReference w:id="239"/>
      </w:r>
      <w:r w:rsidR="00B53445">
        <w:rPr>
          <w:rFonts w:ascii="Times New Roman" w:hAnsi="Times New Roman" w:cs="Times New Roman"/>
          <w:i/>
          <w:sz w:val="24"/>
        </w:rPr>
        <w:t xml:space="preserve"> </w:t>
      </w:r>
      <w:proofErr w:type="spellStart"/>
      <w:r w:rsidR="00201E7A">
        <w:rPr>
          <w:rFonts w:ascii="Times New Roman" w:hAnsi="Times New Roman" w:cs="Times New Roman"/>
          <w:sz w:val="24"/>
        </w:rPr>
        <w:t>Zbíral</w:t>
      </w:r>
      <w:proofErr w:type="spellEnd"/>
      <w:r w:rsidR="00201E7A">
        <w:rPr>
          <w:rFonts w:ascii="Times New Roman" w:hAnsi="Times New Roman" w:cs="Times New Roman"/>
          <w:sz w:val="24"/>
        </w:rPr>
        <w:t xml:space="preserve"> uvádí, že </w:t>
      </w:r>
      <w:r w:rsidR="00201E7A" w:rsidRPr="00201E7A">
        <w:rPr>
          <w:rFonts w:ascii="Times New Roman" w:hAnsi="Times New Roman" w:cs="Times New Roman"/>
          <w:i/>
          <w:sz w:val="24"/>
        </w:rPr>
        <w:t>„se Komise až bolestně snažila dokázat, že současná ochrana finančních zájmů EU prostřednictvím orgánů členských států je nedostatečná.“</w:t>
      </w:r>
      <w:r w:rsidR="009D348A">
        <w:rPr>
          <w:rStyle w:val="Znakapoznpodarou"/>
          <w:rFonts w:ascii="Times New Roman" w:hAnsi="Times New Roman" w:cs="Times New Roman"/>
          <w:i/>
          <w:sz w:val="24"/>
        </w:rPr>
        <w:footnoteReference w:id="240"/>
      </w:r>
      <w:r w:rsidR="00201E7A">
        <w:rPr>
          <w:rFonts w:ascii="Times New Roman" w:hAnsi="Times New Roman" w:cs="Times New Roman"/>
          <w:sz w:val="24"/>
        </w:rPr>
        <w:t xml:space="preserve"> </w:t>
      </w:r>
    </w:p>
    <w:p w:rsidR="003964F6" w:rsidRDefault="00B53445" w:rsidP="005059A5">
      <w:pPr>
        <w:spacing w:after="0" w:line="360" w:lineRule="auto"/>
        <w:ind w:firstLine="708"/>
        <w:jc w:val="both"/>
        <w:rPr>
          <w:rFonts w:ascii="Times New Roman" w:hAnsi="Times New Roman" w:cs="Times New Roman"/>
          <w:sz w:val="24"/>
        </w:rPr>
      </w:pPr>
      <w:r>
        <w:rPr>
          <w:rFonts w:ascii="Times New Roman" w:hAnsi="Times New Roman" w:cs="Times New Roman"/>
          <w:sz w:val="24"/>
        </w:rPr>
        <w:t>Šlo o návrh z oblasti PSBP, právním základem byl čl. 86 SFEU</w:t>
      </w:r>
      <w:r w:rsidR="00614EE0">
        <w:rPr>
          <w:rFonts w:ascii="Times New Roman" w:hAnsi="Times New Roman" w:cs="Times New Roman"/>
          <w:sz w:val="24"/>
        </w:rPr>
        <w:t>,</w:t>
      </w:r>
      <w:r>
        <w:rPr>
          <w:rStyle w:val="Znakapoznpodarou"/>
          <w:rFonts w:ascii="Times New Roman" w:hAnsi="Times New Roman" w:cs="Times New Roman"/>
          <w:sz w:val="24"/>
        </w:rPr>
        <w:footnoteReference w:id="241"/>
      </w:r>
      <w:r w:rsidR="00BC780C">
        <w:rPr>
          <w:rFonts w:ascii="Times New Roman" w:hAnsi="Times New Roman" w:cs="Times New Roman"/>
          <w:sz w:val="24"/>
        </w:rPr>
        <w:t xml:space="preserve"> k vystavení žluté karty</w:t>
      </w:r>
      <w:r>
        <w:rPr>
          <w:rFonts w:ascii="Times New Roman" w:hAnsi="Times New Roman" w:cs="Times New Roman"/>
          <w:sz w:val="24"/>
        </w:rPr>
        <w:t xml:space="preserve"> byla třeba čtvrtina hlas</w:t>
      </w:r>
      <w:r w:rsidR="004E4D84">
        <w:rPr>
          <w:rFonts w:ascii="Times New Roman" w:hAnsi="Times New Roman" w:cs="Times New Roman"/>
          <w:sz w:val="24"/>
        </w:rPr>
        <w:t>ů v rámci systému včasného varování</w:t>
      </w:r>
      <w:r w:rsidR="00913975">
        <w:rPr>
          <w:rFonts w:ascii="Times New Roman" w:hAnsi="Times New Roman" w:cs="Times New Roman"/>
          <w:sz w:val="24"/>
        </w:rPr>
        <w:t>. Vydáno bylo 13 odůvodněných stanovisek</w:t>
      </w:r>
      <w:r>
        <w:rPr>
          <w:rFonts w:ascii="Times New Roman" w:hAnsi="Times New Roman" w:cs="Times New Roman"/>
          <w:sz w:val="24"/>
        </w:rPr>
        <w:t xml:space="preserve"> o síle 18 hlasů. Parlamenty se zabývaly</w:t>
      </w:r>
      <w:r w:rsidR="003952AF">
        <w:rPr>
          <w:rFonts w:ascii="Times New Roman" w:hAnsi="Times New Roman" w:cs="Times New Roman"/>
          <w:sz w:val="24"/>
        </w:rPr>
        <w:t xml:space="preserve"> procedurálním</w:t>
      </w:r>
      <w:r w:rsidR="003952AF">
        <w:rPr>
          <w:rStyle w:val="Znakapoznpodarou"/>
          <w:rFonts w:ascii="Times New Roman" w:hAnsi="Times New Roman" w:cs="Times New Roman"/>
          <w:sz w:val="24"/>
        </w:rPr>
        <w:footnoteReference w:id="242"/>
      </w:r>
      <w:r w:rsidR="003952AF">
        <w:rPr>
          <w:rFonts w:ascii="Times New Roman" w:hAnsi="Times New Roman" w:cs="Times New Roman"/>
          <w:sz w:val="24"/>
        </w:rPr>
        <w:t xml:space="preserve"> i mat</w:t>
      </w:r>
      <w:r w:rsidR="00155D2D">
        <w:rPr>
          <w:rFonts w:ascii="Times New Roman" w:hAnsi="Times New Roman" w:cs="Times New Roman"/>
          <w:sz w:val="24"/>
        </w:rPr>
        <w:t>eriálním rozměrem subsidiarity.</w:t>
      </w:r>
      <w:r>
        <w:rPr>
          <w:rFonts w:ascii="Times New Roman" w:hAnsi="Times New Roman" w:cs="Times New Roman"/>
          <w:sz w:val="24"/>
        </w:rPr>
        <w:t xml:space="preserve"> </w:t>
      </w:r>
      <w:r w:rsidR="007F3AE2">
        <w:rPr>
          <w:rFonts w:ascii="Times New Roman" w:hAnsi="Times New Roman" w:cs="Times New Roman"/>
          <w:sz w:val="24"/>
        </w:rPr>
        <w:t>U druhého v</w:t>
      </w:r>
      <w:r w:rsidR="00155D2D">
        <w:rPr>
          <w:rFonts w:ascii="Times New Roman" w:hAnsi="Times New Roman" w:cs="Times New Roman"/>
          <w:sz w:val="24"/>
        </w:rPr>
        <w:t> </w:t>
      </w:r>
      <w:r w:rsidR="007F3AE2">
        <w:rPr>
          <w:rFonts w:ascii="Times New Roman" w:hAnsi="Times New Roman" w:cs="Times New Roman"/>
          <w:sz w:val="24"/>
        </w:rPr>
        <w:t>pořadí</w:t>
      </w:r>
      <w:r w:rsidR="00155D2D">
        <w:rPr>
          <w:rFonts w:ascii="Times New Roman" w:hAnsi="Times New Roman" w:cs="Times New Roman"/>
          <w:sz w:val="24"/>
        </w:rPr>
        <w:t xml:space="preserve"> některé uvedly, že vznik úřadu v jakékoli podobě je v rozporu se zásadou subsidiarity</w:t>
      </w:r>
      <w:r w:rsidR="002534B3">
        <w:rPr>
          <w:rFonts w:ascii="Times New Roman" w:hAnsi="Times New Roman" w:cs="Times New Roman"/>
          <w:sz w:val="24"/>
        </w:rPr>
        <w:t>.</w:t>
      </w:r>
      <w:r w:rsidR="00155D2D">
        <w:rPr>
          <w:rStyle w:val="Znakapoznpodarou"/>
          <w:rFonts w:ascii="Times New Roman" w:hAnsi="Times New Roman" w:cs="Times New Roman"/>
          <w:sz w:val="24"/>
        </w:rPr>
        <w:footnoteReference w:id="243"/>
      </w:r>
      <w:r w:rsidR="009A0A35">
        <w:rPr>
          <w:rFonts w:ascii="Times New Roman" w:hAnsi="Times New Roman" w:cs="Times New Roman"/>
          <w:sz w:val="24"/>
        </w:rPr>
        <w:t xml:space="preserve"> Komise naopak uváděla, že vzhledem k právnímu základu je její povinností návrh předložit.</w:t>
      </w:r>
      <w:r w:rsidR="003B2618">
        <w:rPr>
          <w:rStyle w:val="Znakapoznpodarou"/>
          <w:rFonts w:ascii="Times New Roman" w:hAnsi="Times New Roman" w:cs="Times New Roman"/>
          <w:sz w:val="24"/>
        </w:rPr>
        <w:footnoteReference w:id="244"/>
      </w:r>
      <w:r w:rsidR="007F3AE2">
        <w:rPr>
          <w:rFonts w:ascii="Times New Roman" w:hAnsi="Times New Roman" w:cs="Times New Roman"/>
          <w:sz w:val="24"/>
        </w:rPr>
        <w:t xml:space="preserve"> </w:t>
      </w:r>
      <w:r w:rsidR="00D336AA">
        <w:rPr>
          <w:rFonts w:ascii="Times New Roman" w:hAnsi="Times New Roman" w:cs="Times New Roman"/>
          <w:sz w:val="24"/>
        </w:rPr>
        <w:t>K</w:t>
      </w:r>
      <w:r w:rsidR="007F3AE2">
        <w:rPr>
          <w:rFonts w:ascii="Times New Roman" w:hAnsi="Times New Roman" w:cs="Times New Roman"/>
          <w:sz w:val="24"/>
        </w:rPr>
        <w:t>e kritériu</w:t>
      </w:r>
      <w:r>
        <w:rPr>
          <w:rFonts w:ascii="Times New Roman" w:hAnsi="Times New Roman" w:cs="Times New Roman"/>
          <w:sz w:val="24"/>
        </w:rPr>
        <w:t xml:space="preserve"> dostatečnosti </w:t>
      </w:r>
      <w:r w:rsidR="00D336AA">
        <w:rPr>
          <w:rFonts w:ascii="Times New Roman" w:hAnsi="Times New Roman" w:cs="Times New Roman"/>
          <w:sz w:val="24"/>
        </w:rPr>
        <w:t>některé parlamenty</w:t>
      </w:r>
      <w:r>
        <w:rPr>
          <w:rFonts w:ascii="Times New Roman" w:hAnsi="Times New Roman" w:cs="Times New Roman"/>
          <w:sz w:val="24"/>
        </w:rPr>
        <w:t xml:space="preserve"> argumentovaly dobrým fungováním svého národního systému.</w:t>
      </w:r>
      <w:r w:rsidR="00DF1874">
        <w:rPr>
          <w:rStyle w:val="Znakapoznpodarou"/>
          <w:rFonts w:ascii="Times New Roman" w:hAnsi="Times New Roman" w:cs="Times New Roman"/>
          <w:sz w:val="24"/>
        </w:rPr>
        <w:footnoteReference w:id="245"/>
      </w:r>
      <w:r w:rsidR="007815B9">
        <w:rPr>
          <w:rFonts w:ascii="Times New Roman" w:hAnsi="Times New Roman" w:cs="Times New Roman"/>
          <w:sz w:val="24"/>
        </w:rPr>
        <w:t xml:space="preserve"> Zpochybňována byla </w:t>
      </w:r>
      <w:r>
        <w:rPr>
          <w:rFonts w:ascii="Times New Roman" w:hAnsi="Times New Roman" w:cs="Times New Roman"/>
          <w:sz w:val="24"/>
        </w:rPr>
        <w:t>přidaná</w:t>
      </w:r>
      <w:r w:rsidR="003D49F4">
        <w:rPr>
          <w:rFonts w:ascii="Times New Roman" w:hAnsi="Times New Roman" w:cs="Times New Roman"/>
          <w:sz w:val="24"/>
        </w:rPr>
        <w:t xml:space="preserve"> hodnota</w:t>
      </w:r>
      <w:r>
        <w:rPr>
          <w:rFonts w:ascii="Times New Roman" w:hAnsi="Times New Roman" w:cs="Times New Roman"/>
          <w:sz w:val="24"/>
        </w:rPr>
        <w:t xml:space="preserve">. Dle parlamentů se Komisi nepodařilo prokázat, </w:t>
      </w:r>
      <w:r w:rsidRPr="00E02C85">
        <w:rPr>
          <w:rFonts w:ascii="Times New Roman" w:hAnsi="Times New Roman" w:cs="Times New Roman"/>
          <w:i/>
          <w:sz w:val="24"/>
        </w:rPr>
        <w:t>„že opatření na úrovni Unie může požadovaných výsledků dosáhnout lépe než opatření na vnitrostátní úrovni.“</w:t>
      </w:r>
      <w:r>
        <w:rPr>
          <w:rStyle w:val="Znakapoznpodarou"/>
          <w:rFonts w:ascii="Times New Roman" w:hAnsi="Times New Roman" w:cs="Times New Roman"/>
          <w:i/>
          <w:sz w:val="24"/>
        </w:rPr>
        <w:footnoteReference w:id="246"/>
      </w:r>
      <w:r w:rsidRPr="00E02C85">
        <w:rPr>
          <w:rFonts w:ascii="Times New Roman" w:hAnsi="Times New Roman" w:cs="Times New Roman"/>
          <w:sz w:val="24"/>
        </w:rPr>
        <w:t xml:space="preserve"> </w:t>
      </w:r>
      <w:r>
        <w:rPr>
          <w:rFonts w:ascii="Times New Roman" w:hAnsi="Times New Roman" w:cs="Times New Roman"/>
          <w:sz w:val="24"/>
        </w:rPr>
        <w:t xml:space="preserve">To je třeba uvážit také s ohledem na výjimky sjednané v této oblasti a rovněž s ohledem na možnost posílené spolupráce, jejíž případné navázání čl. 86 SFEU zjednodušuje. Na základě takového uvážení se pak jeví jako správný názor </w:t>
      </w:r>
      <w:proofErr w:type="spellStart"/>
      <w:r>
        <w:rPr>
          <w:rFonts w:ascii="Times New Roman" w:hAnsi="Times New Roman" w:cs="Times New Roman"/>
          <w:sz w:val="24"/>
        </w:rPr>
        <w:t>Zbírala</w:t>
      </w:r>
      <w:proofErr w:type="spellEnd"/>
      <w:r>
        <w:rPr>
          <w:rFonts w:ascii="Times New Roman" w:hAnsi="Times New Roman" w:cs="Times New Roman"/>
          <w:sz w:val="24"/>
        </w:rPr>
        <w:t xml:space="preserve">, </w:t>
      </w:r>
      <w:r w:rsidRPr="0001016D">
        <w:rPr>
          <w:rFonts w:ascii="Times New Roman" w:hAnsi="Times New Roman" w:cs="Times New Roman"/>
          <w:i/>
          <w:sz w:val="24"/>
        </w:rPr>
        <w:t xml:space="preserve">„že vznik orgánu pouze s několika </w:t>
      </w:r>
      <w:r w:rsidRPr="0001016D">
        <w:rPr>
          <w:rFonts w:ascii="Times New Roman" w:hAnsi="Times New Roman" w:cs="Times New Roman"/>
          <w:i/>
          <w:sz w:val="24"/>
        </w:rPr>
        <w:lastRenderedPageBreak/>
        <w:t>státy by zkomplikoval život všem státům EU, protože by celý systém byl neskonale složitější než nyní a docházelo by k překryvu působnosti, což se musí projevit na efektivitě boje proti zločinu.“</w:t>
      </w:r>
      <w:r>
        <w:rPr>
          <w:rStyle w:val="Znakapoznpodarou"/>
          <w:rFonts w:ascii="Times New Roman" w:hAnsi="Times New Roman" w:cs="Times New Roman"/>
          <w:i/>
          <w:sz w:val="24"/>
        </w:rPr>
        <w:footnoteReference w:id="247"/>
      </w:r>
      <w:r>
        <w:rPr>
          <w:rFonts w:ascii="Times New Roman" w:hAnsi="Times New Roman" w:cs="Times New Roman"/>
          <w:sz w:val="24"/>
        </w:rPr>
        <w:t xml:space="preserve"> </w:t>
      </w:r>
      <w:r w:rsidR="00391FDB">
        <w:rPr>
          <w:rFonts w:ascii="Times New Roman" w:hAnsi="Times New Roman" w:cs="Times New Roman"/>
          <w:sz w:val="24"/>
        </w:rPr>
        <w:t>Komise navíc v preambuli návrhu uvedla, že cílů</w:t>
      </w:r>
      <w:r w:rsidR="004172B4">
        <w:rPr>
          <w:rFonts w:ascii="Times New Roman" w:hAnsi="Times New Roman" w:cs="Times New Roman"/>
          <w:sz w:val="24"/>
        </w:rPr>
        <w:t xml:space="preserve"> na úrovni ČS</w:t>
      </w:r>
      <w:r w:rsidR="00391FDB">
        <w:rPr>
          <w:rFonts w:ascii="Times New Roman" w:hAnsi="Times New Roman" w:cs="Times New Roman"/>
          <w:sz w:val="24"/>
        </w:rPr>
        <w:t xml:space="preserve"> </w:t>
      </w:r>
      <w:r w:rsidR="004172B4">
        <w:rPr>
          <w:rFonts w:ascii="Times New Roman" w:hAnsi="Times New Roman" w:cs="Times New Roman"/>
          <w:sz w:val="24"/>
        </w:rPr>
        <w:t>nelze dosáhnout z důvodu nejednotnosti stíhání</w:t>
      </w:r>
      <w:r w:rsidR="003257C6">
        <w:rPr>
          <w:rFonts w:ascii="Times New Roman" w:hAnsi="Times New Roman" w:cs="Times New Roman"/>
          <w:sz w:val="24"/>
        </w:rPr>
        <w:t>.</w:t>
      </w:r>
      <w:r w:rsidR="00295375">
        <w:rPr>
          <w:rStyle w:val="Znakapoznpodarou"/>
          <w:rFonts w:ascii="Times New Roman" w:hAnsi="Times New Roman" w:cs="Times New Roman"/>
          <w:sz w:val="24"/>
        </w:rPr>
        <w:footnoteReference w:id="248"/>
      </w:r>
      <w:r w:rsidR="003257C6">
        <w:rPr>
          <w:rFonts w:ascii="Times New Roman" w:hAnsi="Times New Roman" w:cs="Times New Roman"/>
          <w:sz w:val="24"/>
        </w:rPr>
        <w:t xml:space="preserve"> P</w:t>
      </w:r>
      <w:r w:rsidR="00CD1CF4">
        <w:rPr>
          <w:rFonts w:ascii="Times New Roman" w:hAnsi="Times New Roman" w:cs="Times New Roman"/>
          <w:sz w:val="24"/>
        </w:rPr>
        <w:t>řidanou hodnotu</w:t>
      </w:r>
      <w:r w:rsidR="004172B4">
        <w:rPr>
          <w:rFonts w:ascii="Times New Roman" w:hAnsi="Times New Roman" w:cs="Times New Roman"/>
          <w:sz w:val="24"/>
        </w:rPr>
        <w:t xml:space="preserve"> </w:t>
      </w:r>
      <w:r w:rsidR="00BB3818">
        <w:rPr>
          <w:rFonts w:ascii="Times New Roman" w:hAnsi="Times New Roman" w:cs="Times New Roman"/>
          <w:sz w:val="24"/>
        </w:rPr>
        <w:t xml:space="preserve">ale </w:t>
      </w:r>
      <w:r w:rsidR="004172B4">
        <w:rPr>
          <w:rFonts w:ascii="Times New Roman" w:hAnsi="Times New Roman" w:cs="Times New Roman"/>
          <w:sz w:val="24"/>
        </w:rPr>
        <w:t>měla tvořit právě ona jednotnost.</w:t>
      </w:r>
      <w:r w:rsidR="00212BD5">
        <w:rPr>
          <w:rFonts w:ascii="Times New Roman" w:hAnsi="Times New Roman" w:cs="Times New Roman"/>
          <w:sz w:val="24"/>
        </w:rPr>
        <w:t xml:space="preserve"> Ta </w:t>
      </w:r>
      <w:r w:rsidR="002A7CAA">
        <w:rPr>
          <w:rFonts w:ascii="Times New Roman" w:hAnsi="Times New Roman" w:cs="Times New Roman"/>
          <w:sz w:val="24"/>
        </w:rPr>
        <w:t>ale</w:t>
      </w:r>
      <w:r w:rsidR="00212BD5">
        <w:rPr>
          <w:rFonts w:ascii="Times New Roman" w:hAnsi="Times New Roman" w:cs="Times New Roman"/>
          <w:sz w:val="24"/>
        </w:rPr>
        <w:t xml:space="preserve"> v režimu posílené spolupráce dosažena ve vztahu k celé </w:t>
      </w:r>
      <w:r w:rsidR="009F5FDB">
        <w:rPr>
          <w:rFonts w:ascii="Times New Roman" w:hAnsi="Times New Roman" w:cs="Times New Roman"/>
          <w:sz w:val="24"/>
        </w:rPr>
        <w:t>EU nebude.</w:t>
      </w:r>
      <w:r w:rsidR="009F5FDB">
        <w:rPr>
          <w:rStyle w:val="Znakapoznpodarou"/>
          <w:rFonts w:ascii="Times New Roman" w:hAnsi="Times New Roman" w:cs="Times New Roman"/>
          <w:sz w:val="24"/>
        </w:rPr>
        <w:footnoteReference w:id="249"/>
      </w:r>
    </w:p>
    <w:p w:rsidR="00B53445" w:rsidRDefault="00CA08B4" w:rsidP="00461B83">
      <w:pPr>
        <w:spacing w:after="0" w:line="360" w:lineRule="auto"/>
        <w:ind w:firstLine="708"/>
        <w:jc w:val="both"/>
        <w:rPr>
          <w:rFonts w:ascii="Times New Roman" w:hAnsi="Times New Roman" w:cs="Times New Roman"/>
          <w:sz w:val="24"/>
        </w:rPr>
      </w:pPr>
      <w:r>
        <w:rPr>
          <w:rFonts w:ascii="Times New Roman" w:hAnsi="Times New Roman" w:cs="Times New Roman"/>
          <w:sz w:val="24"/>
        </w:rPr>
        <w:t>Komise</w:t>
      </w:r>
      <w:r w:rsidR="00B53445">
        <w:rPr>
          <w:rFonts w:ascii="Times New Roman" w:hAnsi="Times New Roman" w:cs="Times New Roman"/>
          <w:sz w:val="24"/>
        </w:rPr>
        <w:t xml:space="preserve"> se </w:t>
      </w:r>
      <w:r>
        <w:rPr>
          <w:rFonts w:ascii="Times New Roman" w:hAnsi="Times New Roman" w:cs="Times New Roman"/>
          <w:sz w:val="24"/>
        </w:rPr>
        <w:t xml:space="preserve">návrh </w:t>
      </w:r>
      <w:r w:rsidR="00B53445">
        <w:rPr>
          <w:rFonts w:ascii="Times New Roman" w:hAnsi="Times New Roman" w:cs="Times New Roman"/>
          <w:sz w:val="24"/>
        </w:rPr>
        <w:t xml:space="preserve">rozhodla zachovat. </w:t>
      </w:r>
      <w:r w:rsidR="009E12BA">
        <w:rPr>
          <w:rFonts w:ascii="Times New Roman" w:hAnsi="Times New Roman" w:cs="Times New Roman"/>
          <w:sz w:val="24"/>
        </w:rPr>
        <w:t xml:space="preserve">Zdůraznila, že rozlišovala mezi argumenty parlamentů, které se týkaly subsidiarity, a mezi ostatními. </w:t>
      </w:r>
      <w:r w:rsidR="00B22902">
        <w:rPr>
          <w:rFonts w:ascii="Times New Roman" w:hAnsi="Times New Roman" w:cs="Times New Roman"/>
          <w:sz w:val="24"/>
        </w:rPr>
        <w:t>Odkázala se na data prokazující podle ní nedostatečnost současných řešení a k přidané hodnotě zopakovala, že nové řešení odstraní rozdíly mezi ČS.</w:t>
      </w:r>
      <w:r w:rsidR="00B12BCF">
        <w:rPr>
          <w:rStyle w:val="Znakapoznpodarou"/>
          <w:rFonts w:ascii="Times New Roman" w:hAnsi="Times New Roman" w:cs="Times New Roman"/>
          <w:sz w:val="24"/>
        </w:rPr>
        <w:footnoteReference w:id="250"/>
      </w:r>
      <w:r w:rsidR="00B22902">
        <w:rPr>
          <w:rFonts w:ascii="Times New Roman" w:hAnsi="Times New Roman" w:cs="Times New Roman"/>
          <w:sz w:val="24"/>
        </w:rPr>
        <w:t xml:space="preserve"> </w:t>
      </w:r>
      <w:r w:rsidR="00DB6780">
        <w:rPr>
          <w:rFonts w:ascii="Times New Roman" w:hAnsi="Times New Roman" w:cs="Times New Roman"/>
          <w:sz w:val="24"/>
        </w:rPr>
        <w:t>Objevu</w:t>
      </w:r>
      <w:r w:rsidR="00052864">
        <w:rPr>
          <w:rFonts w:ascii="Times New Roman" w:hAnsi="Times New Roman" w:cs="Times New Roman"/>
          <w:sz w:val="24"/>
        </w:rPr>
        <w:t>jí se kritické hlasy, že návrh</w:t>
      </w:r>
      <w:r w:rsidR="006231FA">
        <w:rPr>
          <w:rFonts w:ascii="Times New Roman" w:hAnsi="Times New Roman" w:cs="Times New Roman"/>
          <w:sz w:val="24"/>
        </w:rPr>
        <w:t xml:space="preserve"> </w:t>
      </w:r>
      <w:r w:rsidR="00DB6780">
        <w:rPr>
          <w:rFonts w:ascii="Times New Roman" w:hAnsi="Times New Roman" w:cs="Times New Roman"/>
          <w:sz w:val="24"/>
        </w:rPr>
        <w:t>zachovala</w:t>
      </w:r>
      <w:r w:rsidR="00B53445">
        <w:rPr>
          <w:rFonts w:ascii="Times New Roman" w:hAnsi="Times New Roman" w:cs="Times New Roman"/>
          <w:sz w:val="24"/>
        </w:rPr>
        <w:t xml:space="preserve"> bez </w:t>
      </w:r>
      <w:r w:rsidR="001F03D0">
        <w:rPr>
          <w:rFonts w:ascii="Times New Roman" w:hAnsi="Times New Roman" w:cs="Times New Roman"/>
          <w:sz w:val="24"/>
        </w:rPr>
        <w:t>ohledu na námitky týkající se subsidiarity</w:t>
      </w:r>
      <w:r w:rsidR="00B53445">
        <w:rPr>
          <w:rFonts w:ascii="Times New Roman" w:hAnsi="Times New Roman" w:cs="Times New Roman"/>
          <w:sz w:val="24"/>
        </w:rPr>
        <w:t xml:space="preserve"> vědoma si toho, že je z</w:t>
      </w:r>
      <w:r w:rsidR="008115A6">
        <w:rPr>
          <w:rFonts w:ascii="Times New Roman" w:hAnsi="Times New Roman" w:cs="Times New Roman"/>
          <w:sz w:val="24"/>
        </w:rPr>
        <w:t>de velká pravděpodobnost zisku dostatku</w:t>
      </w:r>
      <w:r w:rsidR="00776E2F">
        <w:rPr>
          <w:rFonts w:ascii="Times New Roman" w:hAnsi="Times New Roman" w:cs="Times New Roman"/>
          <w:sz w:val="24"/>
        </w:rPr>
        <w:t xml:space="preserve"> </w:t>
      </w:r>
      <w:r w:rsidR="00DC5030">
        <w:rPr>
          <w:rFonts w:ascii="Times New Roman" w:hAnsi="Times New Roman" w:cs="Times New Roman"/>
          <w:sz w:val="24"/>
        </w:rPr>
        <w:t>hlasů v Radě</w:t>
      </w:r>
      <w:r w:rsidR="00776E2F">
        <w:rPr>
          <w:rFonts w:ascii="Times New Roman" w:hAnsi="Times New Roman" w:cs="Times New Roman"/>
          <w:sz w:val="24"/>
        </w:rPr>
        <w:t xml:space="preserve"> k navázání posílené</w:t>
      </w:r>
      <w:r w:rsidR="00B53445">
        <w:rPr>
          <w:rFonts w:ascii="Times New Roman" w:hAnsi="Times New Roman" w:cs="Times New Roman"/>
          <w:sz w:val="24"/>
        </w:rPr>
        <w:t xml:space="preserve"> spolupráce.</w:t>
      </w:r>
      <w:r w:rsidR="00B53445">
        <w:rPr>
          <w:rStyle w:val="Znakapoznpodarou"/>
          <w:rFonts w:ascii="Times New Roman" w:hAnsi="Times New Roman" w:cs="Times New Roman"/>
          <w:sz w:val="24"/>
        </w:rPr>
        <w:footnoteReference w:id="251"/>
      </w:r>
      <w:r w:rsidR="00132AA5">
        <w:rPr>
          <w:rFonts w:ascii="Times New Roman" w:hAnsi="Times New Roman" w:cs="Times New Roman"/>
          <w:sz w:val="24"/>
        </w:rPr>
        <w:t xml:space="preserve"> Tímto směrem také v současné době celá věc směřuje.</w:t>
      </w:r>
      <w:r w:rsidR="008E5770">
        <w:rPr>
          <w:rStyle w:val="Znakapoznpodarou"/>
          <w:rFonts w:ascii="Times New Roman" w:hAnsi="Times New Roman" w:cs="Times New Roman"/>
          <w:sz w:val="24"/>
        </w:rPr>
        <w:footnoteReference w:id="252"/>
      </w:r>
    </w:p>
    <w:p w:rsidR="005059A5" w:rsidRDefault="00667893" w:rsidP="00CF39F3">
      <w:pPr>
        <w:spacing w:line="360" w:lineRule="auto"/>
        <w:ind w:firstLine="708"/>
        <w:jc w:val="both"/>
        <w:rPr>
          <w:rFonts w:ascii="Times New Roman" w:hAnsi="Times New Roman" w:cs="Times New Roman"/>
          <w:sz w:val="24"/>
        </w:rPr>
      </w:pPr>
      <w:r>
        <w:rPr>
          <w:rFonts w:ascii="Times New Roman" w:hAnsi="Times New Roman" w:cs="Times New Roman"/>
          <w:sz w:val="24"/>
        </w:rPr>
        <w:t>Z českých parlamentních komor se zapojil Senát. K návrhu vydal odůvodněné</w:t>
      </w:r>
      <w:r w:rsidR="00E80E56">
        <w:rPr>
          <w:rFonts w:ascii="Times New Roman" w:hAnsi="Times New Roman" w:cs="Times New Roman"/>
          <w:sz w:val="24"/>
        </w:rPr>
        <w:t xml:space="preserve"> stanovisko, ve kterém mj.</w:t>
      </w:r>
      <w:r>
        <w:rPr>
          <w:rFonts w:ascii="Times New Roman" w:hAnsi="Times New Roman" w:cs="Times New Roman"/>
          <w:sz w:val="24"/>
        </w:rPr>
        <w:t xml:space="preserve"> upozorňoval i na</w:t>
      </w:r>
      <w:r w:rsidR="00520CDF">
        <w:rPr>
          <w:rFonts w:ascii="Times New Roman" w:hAnsi="Times New Roman" w:cs="Times New Roman"/>
          <w:sz w:val="24"/>
        </w:rPr>
        <w:t xml:space="preserve"> možné zhoršení úrovně ochrany práva na zákonného soudce a práva na spravedlivý proces.</w:t>
      </w:r>
      <w:r w:rsidR="00A70032">
        <w:rPr>
          <w:rStyle w:val="Znakapoznpodarou"/>
          <w:rFonts w:ascii="Times New Roman" w:hAnsi="Times New Roman" w:cs="Times New Roman"/>
          <w:sz w:val="24"/>
        </w:rPr>
        <w:footnoteReference w:id="253"/>
      </w:r>
    </w:p>
    <w:p w:rsidR="001F0648" w:rsidRPr="0044285B" w:rsidRDefault="001F0648" w:rsidP="0044285B">
      <w:pPr>
        <w:spacing w:line="360" w:lineRule="auto"/>
        <w:jc w:val="both"/>
        <w:rPr>
          <w:rStyle w:val="Nadpis2Char"/>
          <w:rFonts w:eastAsiaTheme="minorHAnsi" w:cs="Times New Roman"/>
          <w:sz w:val="24"/>
          <w:szCs w:val="22"/>
        </w:rPr>
      </w:pPr>
      <w:bookmarkStart w:id="33" w:name="_Toc478235179"/>
      <w:r>
        <w:rPr>
          <w:rStyle w:val="Nadpis2Char"/>
        </w:rPr>
        <w:t xml:space="preserve">5.3 </w:t>
      </w:r>
      <w:r w:rsidRPr="001F0648">
        <w:rPr>
          <w:rStyle w:val="Nadpis2Char"/>
        </w:rPr>
        <w:t>Návrh směrnice Evropského parlamentu a Rady, kterou se mění směrnice Evropského parlamentu a Rady 96/71/ES ze dne 16. prosince 1996 o vysílání pracovníků v rámci poskytování služeb</w:t>
      </w:r>
      <w:bookmarkEnd w:id="33"/>
      <w:r w:rsidRPr="001F0648">
        <w:rPr>
          <w:rStyle w:val="Nadpis2Char"/>
        </w:rPr>
        <w:t xml:space="preserve"> </w:t>
      </w:r>
    </w:p>
    <w:p w:rsidR="00B53445" w:rsidRPr="00FE4B96" w:rsidRDefault="004C2C5E" w:rsidP="00537CC0">
      <w:pPr>
        <w:spacing w:after="0" w:line="360" w:lineRule="auto"/>
        <w:ind w:firstLine="708"/>
        <w:jc w:val="both"/>
        <w:rPr>
          <w:rFonts w:ascii="Times New Roman" w:hAnsi="Times New Roman" w:cs="Times New Roman"/>
          <w:sz w:val="24"/>
        </w:rPr>
      </w:pPr>
      <w:r>
        <w:rPr>
          <w:rFonts w:ascii="Times New Roman" w:hAnsi="Times New Roman" w:cs="Times New Roman"/>
          <w:sz w:val="24"/>
        </w:rPr>
        <w:t>Třetí žlutou kartu</w:t>
      </w:r>
      <w:r w:rsidR="00B53445">
        <w:rPr>
          <w:rFonts w:ascii="Times New Roman" w:hAnsi="Times New Roman" w:cs="Times New Roman"/>
          <w:sz w:val="24"/>
        </w:rPr>
        <w:t xml:space="preserve"> ukázaly parlamenty </w:t>
      </w:r>
      <w:r w:rsidR="000C0DD7">
        <w:rPr>
          <w:rFonts w:ascii="Times New Roman" w:hAnsi="Times New Roman" w:cs="Times New Roman"/>
          <w:sz w:val="24"/>
        </w:rPr>
        <w:t xml:space="preserve">návrhu </w:t>
      </w:r>
      <w:r w:rsidR="0008707C" w:rsidRPr="0008707C">
        <w:rPr>
          <w:rFonts w:ascii="Times New Roman" w:hAnsi="Times New Roman" w:cs="Times New Roman"/>
          <w:sz w:val="24"/>
        </w:rPr>
        <w:t>směrnice Evropského parlamentu a Rady, kterou se mění směrnice Evropského parlamentu a Rady 96/71/ES ze dne 16. prosince 1996 o vysílání pracovníků v rámci poskytování služeb</w:t>
      </w:r>
      <w:r w:rsidR="00B330EF">
        <w:rPr>
          <w:rFonts w:ascii="Times New Roman" w:hAnsi="Times New Roman" w:cs="Times New Roman"/>
          <w:sz w:val="24"/>
        </w:rPr>
        <w:t>.</w:t>
      </w:r>
      <w:r w:rsidR="00B53445">
        <w:rPr>
          <w:rStyle w:val="Znakapoznpodarou"/>
          <w:rFonts w:ascii="Times New Roman" w:hAnsi="Times New Roman" w:cs="Times New Roman"/>
          <w:sz w:val="24"/>
        </w:rPr>
        <w:footnoteReference w:id="254"/>
      </w:r>
      <w:r w:rsidR="00B53445">
        <w:rPr>
          <w:rFonts w:ascii="Times New Roman" w:hAnsi="Times New Roman" w:cs="Times New Roman"/>
          <w:sz w:val="24"/>
        </w:rPr>
        <w:t xml:space="preserve"> Návrh v duchu dosažení spravedlivějšího vnit</w:t>
      </w:r>
      <w:r w:rsidR="00E13CC5">
        <w:rPr>
          <w:rFonts w:ascii="Times New Roman" w:hAnsi="Times New Roman" w:cs="Times New Roman"/>
          <w:sz w:val="24"/>
        </w:rPr>
        <w:t>řního trhu představuje např.</w:t>
      </w:r>
      <w:r w:rsidR="00B53445">
        <w:rPr>
          <w:rFonts w:ascii="Times New Roman" w:hAnsi="Times New Roman" w:cs="Times New Roman"/>
          <w:sz w:val="24"/>
        </w:rPr>
        <w:t xml:space="preserve"> změny týkající se odměn vyslaných pracovníků. Dle názoru </w:t>
      </w:r>
      <w:r w:rsidR="00B53445">
        <w:rPr>
          <w:rFonts w:ascii="Times New Roman" w:hAnsi="Times New Roman" w:cs="Times New Roman"/>
          <w:sz w:val="24"/>
        </w:rPr>
        <w:lastRenderedPageBreak/>
        <w:t xml:space="preserve">Komise by vyslaní pracovníci měli </w:t>
      </w:r>
      <w:r w:rsidR="00B53445" w:rsidRPr="008449F2">
        <w:rPr>
          <w:rFonts w:ascii="Times New Roman" w:hAnsi="Times New Roman" w:cs="Times New Roman"/>
          <w:i/>
          <w:sz w:val="24"/>
        </w:rPr>
        <w:t>„obecně profitovat ze stejných pravidel, kterými se řídí odměny a pracovní podmínky místních pracovníků.“</w:t>
      </w:r>
      <w:r w:rsidR="00B53445">
        <w:rPr>
          <w:rStyle w:val="Znakapoznpodarou"/>
          <w:rFonts w:ascii="Times New Roman" w:hAnsi="Times New Roman" w:cs="Times New Roman"/>
          <w:i/>
          <w:sz w:val="24"/>
        </w:rPr>
        <w:footnoteReference w:id="255"/>
      </w:r>
      <w:r w:rsidR="00B53445" w:rsidRPr="008449F2">
        <w:rPr>
          <w:rFonts w:ascii="Times New Roman" w:hAnsi="Times New Roman" w:cs="Times New Roman"/>
          <w:sz w:val="24"/>
        </w:rPr>
        <w:t xml:space="preserve"> </w:t>
      </w:r>
      <w:r w:rsidR="006C3F8F">
        <w:rPr>
          <w:rFonts w:ascii="Times New Roman" w:hAnsi="Times New Roman" w:cs="Times New Roman"/>
          <w:sz w:val="24"/>
        </w:rPr>
        <w:t xml:space="preserve">Již v rámci konzultací se některé státy </w:t>
      </w:r>
      <w:r w:rsidR="00A53F83">
        <w:rPr>
          <w:rFonts w:ascii="Times New Roman" w:hAnsi="Times New Roman" w:cs="Times New Roman"/>
          <w:sz w:val="24"/>
        </w:rPr>
        <w:t xml:space="preserve">přikláněly </w:t>
      </w:r>
      <w:r w:rsidR="006C3F8F">
        <w:rPr>
          <w:rFonts w:ascii="Times New Roman" w:hAnsi="Times New Roman" w:cs="Times New Roman"/>
          <w:sz w:val="24"/>
        </w:rPr>
        <w:t xml:space="preserve">k zásadě </w:t>
      </w:r>
      <w:r w:rsidR="006C3F8F" w:rsidRPr="006C3F8F">
        <w:rPr>
          <w:rFonts w:ascii="Times New Roman" w:hAnsi="Times New Roman" w:cs="Times New Roman"/>
          <w:i/>
          <w:sz w:val="24"/>
        </w:rPr>
        <w:t>„stejná mzda z</w:t>
      </w:r>
      <w:r w:rsidR="006C3F8F">
        <w:rPr>
          <w:rFonts w:ascii="Times New Roman" w:hAnsi="Times New Roman" w:cs="Times New Roman"/>
          <w:i/>
          <w:sz w:val="24"/>
        </w:rPr>
        <w:t>a stejnou práci na stejném místě.</w:t>
      </w:r>
      <w:r w:rsidR="006C3F8F" w:rsidRPr="006C3F8F">
        <w:rPr>
          <w:rFonts w:ascii="Times New Roman" w:hAnsi="Times New Roman" w:cs="Times New Roman"/>
          <w:i/>
          <w:sz w:val="24"/>
        </w:rPr>
        <w:t>“</w:t>
      </w:r>
      <w:r w:rsidR="009E04CA">
        <w:rPr>
          <w:rStyle w:val="Znakapoznpodarou"/>
          <w:rFonts w:ascii="Times New Roman" w:hAnsi="Times New Roman" w:cs="Times New Roman"/>
          <w:i/>
          <w:sz w:val="24"/>
        </w:rPr>
        <w:footnoteReference w:id="256"/>
      </w:r>
      <w:r w:rsidR="006C3F8F">
        <w:rPr>
          <w:rFonts w:ascii="Times New Roman" w:hAnsi="Times New Roman" w:cs="Times New Roman"/>
          <w:sz w:val="24"/>
        </w:rPr>
        <w:t xml:space="preserve">  </w:t>
      </w:r>
      <w:r w:rsidR="00C87C4C">
        <w:rPr>
          <w:rFonts w:ascii="Times New Roman" w:hAnsi="Times New Roman" w:cs="Times New Roman"/>
          <w:sz w:val="24"/>
        </w:rPr>
        <w:t xml:space="preserve">Jiné vyjadřovaly svůj nesouhlas, když upozorňovaly dokonce na možnou neslučitelnost s unijní úpravou vnitřního trhu, </w:t>
      </w:r>
      <w:r w:rsidR="00C87C4C" w:rsidRPr="00C87C4C">
        <w:rPr>
          <w:rFonts w:ascii="Times New Roman" w:hAnsi="Times New Roman" w:cs="Times New Roman"/>
          <w:i/>
          <w:sz w:val="24"/>
        </w:rPr>
        <w:t>„poněvadž mzdové rozdíly jsou pro poskytovatele služeb legit</w:t>
      </w:r>
      <w:r w:rsidR="00CF6FD4">
        <w:rPr>
          <w:rFonts w:ascii="Times New Roman" w:hAnsi="Times New Roman" w:cs="Times New Roman"/>
          <w:i/>
          <w:sz w:val="24"/>
        </w:rPr>
        <w:t>imní složkou konkurenční výhody.</w:t>
      </w:r>
      <w:r w:rsidR="00C87C4C" w:rsidRPr="00C87C4C">
        <w:rPr>
          <w:rFonts w:ascii="Times New Roman" w:hAnsi="Times New Roman" w:cs="Times New Roman"/>
          <w:i/>
          <w:sz w:val="24"/>
        </w:rPr>
        <w:t>“</w:t>
      </w:r>
      <w:r w:rsidR="00CF6FD4">
        <w:rPr>
          <w:rStyle w:val="Znakapoznpodarou"/>
          <w:rFonts w:ascii="Times New Roman" w:hAnsi="Times New Roman" w:cs="Times New Roman"/>
          <w:i/>
          <w:sz w:val="24"/>
        </w:rPr>
        <w:footnoteReference w:id="257"/>
      </w:r>
      <w:r w:rsidR="00C87C4C">
        <w:rPr>
          <w:rFonts w:ascii="Times New Roman" w:hAnsi="Times New Roman" w:cs="Times New Roman"/>
          <w:sz w:val="24"/>
        </w:rPr>
        <w:t xml:space="preserve"> </w:t>
      </w:r>
      <w:r w:rsidR="00B53445">
        <w:rPr>
          <w:rFonts w:ascii="Times New Roman" w:hAnsi="Times New Roman" w:cs="Times New Roman"/>
          <w:sz w:val="24"/>
        </w:rPr>
        <w:t>Pokud jde o</w:t>
      </w:r>
      <w:r w:rsidR="00945E5B">
        <w:rPr>
          <w:rFonts w:ascii="Times New Roman" w:hAnsi="Times New Roman" w:cs="Times New Roman"/>
          <w:sz w:val="24"/>
        </w:rPr>
        <w:t xml:space="preserve"> odůvodnění Komise z hlediska zásady subsidiarity</w:t>
      </w:r>
      <w:r w:rsidR="00B53445">
        <w:rPr>
          <w:rFonts w:ascii="Times New Roman" w:hAnsi="Times New Roman" w:cs="Times New Roman"/>
          <w:sz w:val="24"/>
        </w:rPr>
        <w:t xml:space="preserve">, </w:t>
      </w:r>
      <w:r w:rsidR="003129C5">
        <w:rPr>
          <w:rFonts w:ascii="Times New Roman" w:hAnsi="Times New Roman" w:cs="Times New Roman"/>
          <w:sz w:val="24"/>
        </w:rPr>
        <w:t xml:space="preserve">v důvodové zprávě se </w:t>
      </w:r>
      <w:r w:rsidR="00B53445">
        <w:rPr>
          <w:rFonts w:ascii="Times New Roman" w:hAnsi="Times New Roman" w:cs="Times New Roman"/>
          <w:sz w:val="24"/>
        </w:rPr>
        <w:t xml:space="preserve">omezila na konstatování, že: </w:t>
      </w:r>
      <w:r w:rsidR="00513F90">
        <w:rPr>
          <w:rFonts w:ascii="Times New Roman" w:hAnsi="Times New Roman" w:cs="Times New Roman"/>
          <w:i/>
          <w:sz w:val="24"/>
        </w:rPr>
        <w:t>„z</w:t>
      </w:r>
      <w:r w:rsidR="00B53445" w:rsidRPr="009A4C37">
        <w:rPr>
          <w:rFonts w:ascii="Times New Roman" w:hAnsi="Times New Roman" w:cs="Times New Roman"/>
          <w:i/>
          <w:sz w:val="24"/>
        </w:rPr>
        <w:t>měnu stávající směrnice lze provést pouze přijetím nové směrnice.“</w:t>
      </w:r>
      <w:r w:rsidR="00B200E7">
        <w:rPr>
          <w:rStyle w:val="Znakapoznpodarou"/>
          <w:rFonts w:ascii="Times New Roman" w:hAnsi="Times New Roman" w:cs="Times New Roman"/>
          <w:i/>
          <w:sz w:val="24"/>
        </w:rPr>
        <w:footnoteReference w:id="258"/>
      </w:r>
      <w:r w:rsidR="00B53445">
        <w:rPr>
          <w:rFonts w:ascii="Times New Roman" w:hAnsi="Times New Roman" w:cs="Times New Roman"/>
          <w:i/>
          <w:sz w:val="24"/>
        </w:rPr>
        <w:t xml:space="preserve"> </w:t>
      </w:r>
      <w:r w:rsidR="00B53445">
        <w:rPr>
          <w:rFonts w:ascii="Times New Roman" w:hAnsi="Times New Roman" w:cs="Times New Roman"/>
          <w:sz w:val="24"/>
        </w:rPr>
        <w:t>O mnoho podrobnější vysvětlení se neobjevilo ani v posouzení dopadů</w:t>
      </w:r>
      <w:r w:rsidR="000075E4">
        <w:rPr>
          <w:rFonts w:ascii="Times New Roman" w:hAnsi="Times New Roman" w:cs="Times New Roman"/>
          <w:sz w:val="24"/>
        </w:rPr>
        <w:t>,</w:t>
      </w:r>
      <w:r w:rsidR="00540754">
        <w:rPr>
          <w:rStyle w:val="Znakapoznpodarou"/>
          <w:rFonts w:ascii="Times New Roman" w:hAnsi="Times New Roman" w:cs="Times New Roman"/>
          <w:sz w:val="24"/>
        </w:rPr>
        <w:footnoteReference w:id="259"/>
      </w:r>
      <w:r w:rsidR="00B53445">
        <w:rPr>
          <w:rFonts w:ascii="Times New Roman" w:hAnsi="Times New Roman" w:cs="Times New Roman"/>
          <w:sz w:val="24"/>
        </w:rPr>
        <w:t xml:space="preserve"> nicméně kontextuálně </w:t>
      </w:r>
      <w:r w:rsidR="00D833A0">
        <w:rPr>
          <w:rFonts w:ascii="Times New Roman" w:hAnsi="Times New Roman" w:cs="Times New Roman"/>
          <w:sz w:val="24"/>
        </w:rPr>
        <w:t xml:space="preserve">bylo patrně </w:t>
      </w:r>
      <w:r w:rsidR="00B53445">
        <w:rPr>
          <w:rFonts w:ascii="Times New Roman" w:hAnsi="Times New Roman" w:cs="Times New Roman"/>
          <w:sz w:val="24"/>
        </w:rPr>
        <w:t>možné z textů vyčíst to, co Komis</w:t>
      </w:r>
      <w:r w:rsidR="00F9699C">
        <w:rPr>
          <w:rFonts w:ascii="Times New Roman" w:hAnsi="Times New Roman" w:cs="Times New Roman"/>
          <w:sz w:val="24"/>
        </w:rPr>
        <w:t>e následně uvedla v reakci na odůvodněná stanoviska</w:t>
      </w:r>
      <w:r w:rsidR="00B53445">
        <w:rPr>
          <w:rFonts w:ascii="Times New Roman" w:hAnsi="Times New Roman" w:cs="Times New Roman"/>
          <w:sz w:val="24"/>
        </w:rPr>
        <w:t xml:space="preserve">. </w:t>
      </w:r>
      <w:r w:rsidR="00B53445" w:rsidRPr="00DC374D">
        <w:rPr>
          <w:rFonts w:ascii="Times New Roman" w:hAnsi="Times New Roman" w:cs="Times New Roman"/>
          <w:i/>
          <w:sz w:val="24"/>
        </w:rPr>
        <w:t>„Povinnost členských států uplatňovat příslušná pravidla ve všech hospodářských odvětvích nemůže být zavedena na vnitrostátní úrovni, nýbrž musí být stanovena na úrovni Unie. Návrh dále plně a explicitně ponechává v kompetenci členských států, aby určovaly výši platů v souladu s vnitrostátní praxí“</w:t>
      </w:r>
      <w:r w:rsidR="00B53445">
        <w:rPr>
          <w:rStyle w:val="Znakapoznpodarou"/>
          <w:rFonts w:ascii="Times New Roman" w:hAnsi="Times New Roman" w:cs="Times New Roman"/>
          <w:i/>
          <w:sz w:val="24"/>
        </w:rPr>
        <w:footnoteReference w:id="260"/>
      </w:r>
      <w:r w:rsidR="00FE4B96">
        <w:rPr>
          <w:rFonts w:ascii="Times New Roman" w:hAnsi="Times New Roman" w:cs="Times New Roman"/>
          <w:i/>
          <w:sz w:val="24"/>
        </w:rPr>
        <w:t xml:space="preserve"> </w:t>
      </w:r>
      <w:r w:rsidR="00FE4B96">
        <w:rPr>
          <w:rFonts w:ascii="Times New Roman" w:hAnsi="Times New Roman" w:cs="Times New Roman"/>
          <w:sz w:val="24"/>
        </w:rPr>
        <w:t xml:space="preserve">Pochopitelně se objevily názory, že Komise jasně nesplnila svou povinnost dle </w:t>
      </w:r>
      <w:r w:rsidR="00BD7818">
        <w:rPr>
          <w:rFonts w:ascii="Times New Roman" w:hAnsi="Times New Roman" w:cs="Times New Roman"/>
          <w:sz w:val="24"/>
        </w:rPr>
        <w:t xml:space="preserve">čl. 5 </w:t>
      </w:r>
      <w:r w:rsidR="00FE4B96">
        <w:rPr>
          <w:rFonts w:ascii="Times New Roman" w:hAnsi="Times New Roman" w:cs="Times New Roman"/>
          <w:sz w:val="24"/>
        </w:rPr>
        <w:t>protokolu č. 2</w:t>
      </w:r>
      <w:r w:rsidR="00BD7818">
        <w:rPr>
          <w:rFonts w:ascii="Times New Roman" w:hAnsi="Times New Roman" w:cs="Times New Roman"/>
          <w:sz w:val="24"/>
        </w:rPr>
        <w:t>.</w:t>
      </w:r>
      <w:r w:rsidR="00DC0D21">
        <w:rPr>
          <w:rFonts w:ascii="Times New Roman" w:hAnsi="Times New Roman" w:cs="Times New Roman"/>
          <w:sz w:val="24"/>
        </w:rPr>
        <w:t xml:space="preserve"> </w:t>
      </w:r>
      <w:proofErr w:type="spellStart"/>
      <w:r w:rsidR="00DC0D21" w:rsidRPr="00DC0D21">
        <w:rPr>
          <w:rFonts w:ascii="Times New Roman" w:hAnsi="Times New Roman" w:cs="Times New Roman"/>
          <w:sz w:val="24"/>
        </w:rPr>
        <w:t>Jančić</w:t>
      </w:r>
      <w:proofErr w:type="spellEnd"/>
      <w:r w:rsidR="00AF3292">
        <w:rPr>
          <w:rFonts w:ascii="Times New Roman" w:hAnsi="Times New Roman" w:cs="Times New Roman"/>
          <w:sz w:val="24"/>
        </w:rPr>
        <w:t xml:space="preserve"> dokonce </w:t>
      </w:r>
      <w:r w:rsidR="005E6E38">
        <w:rPr>
          <w:rFonts w:ascii="Times New Roman" w:hAnsi="Times New Roman" w:cs="Times New Roman"/>
          <w:sz w:val="24"/>
        </w:rPr>
        <w:t xml:space="preserve">jistým způsobem </w:t>
      </w:r>
      <w:r w:rsidR="00AF3292">
        <w:rPr>
          <w:rFonts w:ascii="Times New Roman" w:hAnsi="Times New Roman" w:cs="Times New Roman"/>
          <w:sz w:val="24"/>
        </w:rPr>
        <w:t xml:space="preserve">povzbuzoval </w:t>
      </w:r>
      <w:r w:rsidR="00DC0D21">
        <w:rPr>
          <w:rFonts w:ascii="Times New Roman" w:hAnsi="Times New Roman" w:cs="Times New Roman"/>
          <w:sz w:val="24"/>
        </w:rPr>
        <w:t xml:space="preserve">parlamenty k podání žaloby </w:t>
      </w:r>
      <w:r w:rsidR="002715A4">
        <w:rPr>
          <w:rFonts w:ascii="Times New Roman" w:hAnsi="Times New Roman" w:cs="Times New Roman"/>
          <w:sz w:val="24"/>
        </w:rPr>
        <w:t xml:space="preserve">k SDEU </w:t>
      </w:r>
      <w:r w:rsidR="00DC0D21" w:rsidRPr="00B528A4">
        <w:rPr>
          <w:rFonts w:ascii="Times New Roman" w:hAnsi="Times New Roman" w:cs="Times New Roman"/>
          <w:sz w:val="24"/>
          <w:szCs w:val="24"/>
        </w:rPr>
        <w:t>týkající</w:t>
      </w:r>
      <w:r w:rsidR="00DC0D21">
        <w:rPr>
          <w:rFonts w:ascii="Times New Roman" w:hAnsi="Times New Roman" w:cs="Times New Roman"/>
          <w:sz w:val="24"/>
          <w:szCs w:val="24"/>
        </w:rPr>
        <w:t xml:space="preserve"> se porušení zásady subsidiarity</w:t>
      </w:r>
      <w:r w:rsidR="00CB7A01">
        <w:rPr>
          <w:rFonts w:ascii="Times New Roman" w:hAnsi="Times New Roman" w:cs="Times New Roman"/>
          <w:sz w:val="24"/>
          <w:szCs w:val="24"/>
        </w:rPr>
        <w:t>. Tu zatím parlamenty od přijetí LS nevyužily.</w:t>
      </w:r>
      <w:r w:rsidR="005C36F2">
        <w:rPr>
          <w:rStyle w:val="Znakapoznpodarou"/>
          <w:rFonts w:ascii="Times New Roman" w:hAnsi="Times New Roman" w:cs="Times New Roman"/>
          <w:sz w:val="24"/>
          <w:szCs w:val="24"/>
        </w:rPr>
        <w:footnoteReference w:id="261"/>
      </w:r>
    </w:p>
    <w:p w:rsidR="000F67E3" w:rsidRDefault="00AA65D9" w:rsidP="00537CC0">
      <w:pPr>
        <w:spacing w:after="0" w:line="360" w:lineRule="auto"/>
        <w:ind w:firstLine="708"/>
        <w:jc w:val="both"/>
        <w:rPr>
          <w:rFonts w:ascii="Times New Roman" w:hAnsi="Times New Roman" w:cs="Times New Roman"/>
          <w:sz w:val="24"/>
        </w:rPr>
      </w:pPr>
      <w:r>
        <w:rPr>
          <w:rFonts w:ascii="Times New Roman" w:hAnsi="Times New Roman" w:cs="Times New Roman"/>
          <w:sz w:val="24"/>
        </w:rPr>
        <w:t>K návrhu bylo vydáno 14 odůvodněných stanovisek</w:t>
      </w:r>
      <w:r w:rsidR="00884116">
        <w:rPr>
          <w:rFonts w:ascii="Times New Roman" w:hAnsi="Times New Roman" w:cs="Times New Roman"/>
          <w:sz w:val="24"/>
        </w:rPr>
        <w:t xml:space="preserve"> o síle 22 hlasů</w:t>
      </w:r>
      <w:r w:rsidR="00B53445">
        <w:rPr>
          <w:rFonts w:ascii="Times New Roman" w:hAnsi="Times New Roman" w:cs="Times New Roman"/>
          <w:sz w:val="24"/>
        </w:rPr>
        <w:t xml:space="preserve">, a to převážně z ČS střední a východní Evropy. Naproti tomu </w:t>
      </w:r>
      <w:r w:rsidR="00CF4374">
        <w:rPr>
          <w:rFonts w:ascii="Times New Roman" w:hAnsi="Times New Roman" w:cs="Times New Roman"/>
          <w:sz w:val="24"/>
        </w:rPr>
        <w:t>v rámci politického dialogu šest</w:t>
      </w:r>
      <w:r w:rsidR="00B53445">
        <w:rPr>
          <w:rFonts w:ascii="Times New Roman" w:hAnsi="Times New Roman" w:cs="Times New Roman"/>
          <w:sz w:val="24"/>
        </w:rPr>
        <w:t xml:space="preserve"> parlamentů zaslalo názor</w:t>
      </w:r>
      <w:r w:rsidR="00DC4363">
        <w:rPr>
          <w:rFonts w:ascii="Times New Roman" w:hAnsi="Times New Roman" w:cs="Times New Roman"/>
          <w:sz w:val="24"/>
        </w:rPr>
        <w:t xml:space="preserve"> přiklánějící se k souladu se zásadou subsidiarity</w:t>
      </w:r>
      <w:r w:rsidR="00B53445">
        <w:rPr>
          <w:rFonts w:ascii="Times New Roman" w:hAnsi="Times New Roman" w:cs="Times New Roman"/>
          <w:sz w:val="24"/>
        </w:rPr>
        <w:t>.</w:t>
      </w:r>
      <w:r w:rsidR="00232981">
        <w:rPr>
          <w:rStyle w:val="Znakapoznpodarou"/>
          <w:rFonts w:ascii="Times New Roman" w:hAnsi="Times New Roman" w:cs="Times New Roman"/>
          <w:sz w:val="24"/>
        </w:rPr>
        <w:footnoteReference w:id="262"/>
      </w:r>
      <w:r w:rsidR="00991B80">
        <w:rPr>
          <w:rFonts w:ascii="Times New Roman" w:hAnsi="Times New Roman" w:cs="Times New Roman"/>
          <w:sz w:val="24"/>
        </w:rPr>
        <w:t xml:space="preserve"> V odůvodněných stanoviscích</w:t>
      </w:r>
      <w:r w:rsidR="00B53445">
        <w:rPr>
          <w:rFonts w:ascii="Times New Roman" w:hAnsi="Times New Roman" w:cs="Times New Roman"/>
          <w:sz w:val="24"/>
        </w:rPr>
        <w:t xml:space="preserve"> parlamenty navázaly na </w:t>
      </w:r>
      <w:r w:rsidR="00EC1172">
        <w:rPr>
          <w:rFonts w:ascii="Times New Roman" w:hAnsi="Times New Roman" w:cs="Times New Roman"/>
          <w:sz w:val="24"/>
        </w:rPr>
        <w:t xml:space="preserve">širší </w:t>
      </w:r>
      <w:r w:rsidR="00B53445">
        <w:rPr>
          <w:rFonts w:ascii="Times New Roman" w:hAnsi="Times New Roman" w:cs="Times New Roman"/>
          <w:sz w:val="24"/>
        </w:rPr>
        <w:t>rámec argume</w:t>
      </w:r>
      <w:r w:rsidR="00EC1172">
        <w:rPr>
          <w:rFonts w:ascii="Times New Roman" w:hAnsi="Times New Roman" w:cs="Times New Roman"/>
          <w:sz w:val="24"/>
        </w:rPr>
        <w:t>ntů</w:t>
      </w:r>
      <w:r w:rsidR="00B53445">
        <w:rPr>
          <w:rFonts w:ascii="Times New Roman" w:hAnsi="Times New Roman" w:cs="Times New Roman"/>
          <w:sz w:val="24"/>
        </w:rPr>
        <w:t>.</w:t>
      </w:r>
      <w:r w:rsidR="00432784">
        <w:rPr>
          <w:rFonts w:ascii="Times New Roman" w:hAnsi="Times New Roman" w:cs="Times New Roman"/>
          <w:sz w:val="24"/>
        </w:rPr>
        <w:t xml:space="preserve"> N</w:t>
      </w:r>
      <w:r w:rsidR="00A44AF7">
        <w:rPr>
          <w:rFonts w:ascii="Times New Roman" w:hAnsi="Times New Roman" w:cs="Times New Roman"/>
          <w:sz w:val="24"/>
        </w:rPr>
        <w:t>ejčastěji</w:t>
      </w:r>
      <w:r w:rsidR="00A44AF7" w:rsidRPr="00D039A2">
        <w:rPr>
          <w:rFonts w:ascii="Times New Roman" w:hAnsi="Times New Roman" w:cs="Times New Roman"/>
          <w:sz w:val="24"/>
        </w:rPr>
        <w:t xml:space="preserve"> </w:t>
      </w:r>
      <w:r w:rsidR="007043C2">
        <w:rPr>
          <w:rFonts w:ascii="Times New Roman" w:hAnsi="Times New Roman" w:cs="Times New Roman"/>
          <w:sz w:val="24"/>
        </w:rPr>
        <w:t xml:space="preserve">nicméně </w:t>
      </w:r>
      <w:r w:rsidR="00A44AF7" w:rsidRPr="00D039A2">
        <w:rPr>
          <w:rFonts w:ascii="Times New Roman" w:hAnsi="Times New Roman" w:cs="Times New Roman"/>
          <w:sz w:val="24"/>
        </w:rPr>
        <w:t>vytýkaly</w:t>
      </w:r>
      <w:r w:rsidR="00233904">
        <w:rPr>
          <w:rFonts w:ascii="Times New Roman" w:hAnsi="Times New Roman" w:cs="Times New Roman"/>
          <w:sz w:val="24"/>
        </w:rPr>
        <w:t xml:space="preserve"> absenci</w:t>
      </w:r>
      <w:r w:rsidR="008E0498">
        <w:rPr>
          <w:rFonts w:ascii="Times New Roman" w:hAnsi="Times New Roman" w:cs="Times New Roman"/>
          <w:sz w:val="24"/>
        </w:rPr>
        <w:t xml:space="preserve"> odůvodnění návrhu z hlediska zásady subsidiarity</w:t>
      </w:r>
      <w:r w:rsidR="00A44AF7">
        <w:rPr>
          <w:rFonts w:ascii="Times New Roman" w:hAnsi="Times New Roman" w:cs="Times New Roman"/>
          <w:sz w:val="24"/>
        </w:rPr>
        <w:t>.</w:t>
      </w:r>
      <w:r w:rsidR="006E7D59">
        <w:rPr>
          <w:rStyle w:val="Znakapoznpodarou"/>
          <w:rFonts w:ascii="Times New Roman" w:hAnsi="Times New Roman" w:cs="Times New Roman"/>
          <w:sz w:val="24"/>
        </w:rPr>
        <w:footnoteReference w:id="263"/>
      </w:r>
      <w:r w:rsidR="00A44AF7">
        <w:rPr>
          <w:rFonts w:ascii="Times New Roman" w:hAnsi="Times New Roman" w:cs="Times New Roman"/>
          <w:sz w:val="24"/>
        </w:rPr>
        <w:t xml:space="preserve"> To však Komise odmítla, když se opřela o již zmíněné </w:t>
      </w:r>
      <w:r w:rsidR="0085162E">
        <w:rPr>
          <w:rFonts w:ascii="Times New Roman" w:hAnsi="Times New Roman" w:cs="Times New Roman"/>
          <w:sz w:val="24"/>
        </w:rPr>
        <w:t xml:space="preserve">benevolentní </w:t>
      </w:r>
      <w:r w:rsidR="00A44AF7">
        <w:rPr>
          <w:rFonts w:ascii="Times New Roman" w:hAnsi="Times New Roman" w:cs="Times New Roman"/>
          <w:sz w:val="24"/>
        </w:rPr>
        <w:t>rozsudky</w:t>
      </w:r>
      <w:r w:rsidR="0085162E">
        <w:rPr>
          <w:rFonts w:ascii="Times New Roman" w:hAnsi="Times New Roman" w:cs="Times New Roman"/>
          <w:sz w:val="24"/>
        </w:rPr>
        <w:t xml:space="preserve"> SDEU</w:t>
      </w:r>
      <w:r w:rsidR="00A44AF7">
        <w:rPr>
          <w:rFonts w:ascii="Times New Roman" w:hAnsi="Times New Roman" w:cs="Times New Roman"/>
          <w:sz w:val="24"/>
        </w:rPr>
        <w:t>.</w:t>
      </w:r>
      <w:r w:rsidR="00B53445">
        <w:rPr>
          <w:rFonts w:ascii="Times New Roman" w:hAnsi="Times New Roman" w:cs="Times New Roman"/>
          <w:sz w:val="24"/>
        </w:rPr>
        <w:t xml:space="preserve"> </w:t>
      </w:r>
      <w:r w:rsidR="000F67E3">
        <w:rPr>
          <w:rFonts w:ascii="Times New Roman" w:hAnsi="Times New Roman" w:cs="Times New Roman"/>
          <w:sz w:val="24"/>
        </w:rPr>
        <w:t>Podobně se vyrov</w:t>
      </w:r>
      <w:r w:rsidR="007633F9">
        <w:rPr>
          <w:rFonts w:ascii="Times New Roman" w:hAnsi="Times New Roman" w:cs="Times New Roman"/>
          <w:sz w:val="24"/>
        </w:rPr>
        <w:t>nala vlastně se všemi námitkami.</w:t>
      </w:r>
      <w:r w:rsidR="002A0871">
        <w:rPr>
          <w:rFonts w:ascii="Times New Roman" w:hAnsi="Times New Roman" w:cs="Times New Roman"/>
          <w:sz w:val="24"/>
        </w:rPr>
        <w:t xml:space="preserve"> </w:t>
      </w:r>
      <w:r w:rsidR="007633F9">
        <w:rPr>
          <w:rFonts w:ascii="Times New Roman" w:hAnsi="Times New Roman" w:cs="Times New Roman"/>
          <w:sz w:val="24"/>
        </w:rPr>
        <w:lastRenderedPageBreak/>
        <w:t>K</w:t>
      </w:r>
      <w:r w:rsidR="000F67E3">
        <w:rPr>
          <w:rFonts w:ascii="Times New Roman" w:hAnsi="Times New Roman" w:cs="Times New Roman"/>
          <w:sz w:val="24"/>
        </w:rPr>
        <w:t>onstatov</w:t>
      </w:r>
      <w:r w:rsidR="005402DB">
        <w:rPr>
          <w:rFonts w:ascii="Times New Roman" w:hAnsi="Times New Roman" w:cs="Times New Roman"/>
          <w:sz w:val="24"/>
        </w:rPr>
        <w:t>ala, že návrh je v souladu se zásadou subsidiarity</w:t>
      </w:r>
      <w:r w:rsidR="000F67E3">
        <w:rPr>
          <w:rFonts w:ascii="Times New Roman" w:hAnsi="Times New Roman" w:cs="Times New Roman"/>
          <w:sz w:val="24"/>
        </w:rPr>
        <w:t>, a rozhodla o zachování návrhu.</w:t>
      </w:r>
      <w:r w:rsidR="000F67E3">
        <w:rPr>
          <w:rStyle w:val="Znakapoznpodarou"/>
          <w:rFonts w:ascii="Times New Roman" w:hAnsi="Times New Roman" w:cs="Times New Roman"/>
          <w:sz w:val="24"/>
        </w:rPr>
        <w:footnoteReference w:id="264"/>
      </w:r>
      <w:r w:rsidR="005A4F56">
        <w:rPr>
          <w:rFonts w:ascii="Times New Roman" w:hAnsi="Times New Roman" w:cs="Times New Roman"/>
          <w:sz w:val="24"/>
        </w:rPr>
        <w:t xml:space="preserve"> Ten je v současnosti stále projednáván.</w:t>
      </w:r>
    </w:p>
    <w:p w:rsidR="00D4491C" w:rsidRDefault="00415021" w:rsidP="00B657EE">
      <w:pPr>
        <w:spacing w:after="0" w:line="360" w:lineRule="auto"/>
        <w:ind w:firstLine="708"/>
        <w:jc w:val="both"/>
        <w:rPr>
          <w:rFonts w:ascii="Times New Roman" w:hAnsi="Times New Roman" w:cs="Times New Roman"/>
          <w:sz w:val="24"/>
        </w:rPr>
      </w:pPr>
      <w:r>
        <w:rPr>
          <w:rFonts w:ascii="Times New Roman" w:hAnsi="Times New Roman" w:cs="Times New Roman"/>
          <w:sz w:val="24"/>
        </w:rPr>
        <w:t>Odůvodněná stanoviska</w:t>
      </w:r>
      <w:r w:rsidR="00522FB0">
        <w:rPr>
          <w:rFonts w:ascii="Times New Roman" w:hAnsi="Times New Roman" w:cs="Times New Roman"/>
          <w:sz w:val="24"/>
        </w:rPr>
        <w:t xml:space="preserve"> vydaly obě komory Parlamentu ČR</w:t>
      </w:r>
      <w:r w:rsidR="001F4CB4">
        <w:rPr>
          <w:rFonts w:ascii="Times New Roman" w:hAnsi="Times New Roman" w:cs="Times New Roman"/>
          <w:sz w:val="24"/>
        </w:rPr>
        <w:t xml:space="preserve">. </w:t>
      </w:r>
      <w:r w:rsidR="00F707C6">
        <w:rPr>
          <w:rFonts w:ascii="Times New Roman" w:hAnsi="Times New Roman" w:cs="Times New Roman"/>
          <w:sz w:val="24"/>
        </w:rPr>
        <w:t>Senát např.</w:t>
      </w:r>
      <w:r w:rsidR="00B53445">
        <w:rPr>
          <w:rFonts w:ascii="Times New Roman" w:hAnsi="Times New Roman" w:cs="Times New Roman"/>
          <w:sz w:val="24"/>
        </w:rPr>
        <w:t xml:space="preserve"> ke kritériu přidané hodnoty uvedl, že namísto přínosu </w:t>
      </w:r>
      <w:r w:rsidR="001F4CB4">
        <w:rPr>
          <w:rFonts w:ascii="Times New Roman" w:hAnsi="Times New Roman" w:cs="Times New Roman"/>
          <w:sz w:val="24"/>
        </w:rPr>
        <w:t xml:space="preserve">k unijním cílům bude mít </w:t>
      </w:r>
      <w:r w:rsidR="00B53445">
        <w:rPr>
          <w:rFonts w:ascii="Times New Roman" w:hAnsi="Times New Roman" w:cs="Times New Roman"/>
          <w:sz w:val="24"/>
        </w:rPr>
        <w:t xml:space="preserve">opatření </w:t>
      </w:r>
      <w:r w:rsidR="00B53445" w:rsidRPr="00914C7D">
        <w:rPr>
          <w:rFonts w:ascii="Times New Roman" w:hAnsi="Times New Roman" w:cs="Times New Roman"/>
          <w:i/>
          <w:sz w:val="24"/>
        </w:rPr>
        <w:t>„negativní dopad zejména na malé a střední podniky z členských států s nižší úrovní mezd</w:t>
      </w:r>
      <w:r w:rsidR="00B53445">
        <w:rPr>
          <w:rFonts w:ascii="Times New Roman" w:hAnsi="Times New Roman" w:cs="Times New Roman"/>
          <w:i/>
          <w:sz w:val="24"/>
        </w:rPr>
        <w:t>.</w:t>
      </w:r>
      <w:r w:rsidR="00B53445" w:rsidRPr="00914C7D">
        <w:rPr>
          <w:rFonts w:ascii="Times New Roman" w:hAnsi="Times New Roman" w:cs="Times New Roman"/>
          <w:i/>
          <w:sz w:val="24"/>
        </w:rPr>
        <w:t>“</w:t>
      </w:r>
      <w:r w:rsidR="00B53445">
        <w:rPr>
          <w:rStyle w:val="Znakapoznpodarou"/>
          <w:rFonts w:ascii="Times New Roman" w:hAnsi="Times New Roman" w:cs="Times New Roman"/>
          <w:i/>
          <w:sz w:val="24"/>
        </w:rPr>
        <w:footnoteReference w:id="265"/>
      </w:r>
      <w:r w:rsidR="00B53445">
        <w:rPr>
          <w:rFonts w:ascii="Times New Roman" w:hAnsi="Times New Roman" w:cs="Times New Roman"/>
          <w:i/>
          <w:sz w:val="24"/>
        </w:rPr>
        <w:t xml:space="preserve"> </w:t>
      </w:r>
      <w:r w:rsidR="00075E5B">
        <w:rPr>
          <w:rFonts w:ascii="Times New Roman" w:hAnsi="Times New Roman" w:cs="Times New Roman"/>
          <w:sz w:val="24"/>
        </w:rPr>
        <w:t xml:space="preserve">Tento argument však Komise v odpovědi </w:t>
      </w:r>
      <w:r w:rsidR="002E5962">
        <w:rPr>
          <w:rFonts w:ascii="Times New Roman" w:hAnsi="Times New Roman" w:cs="Times New Roman"/>
          <w:sz w:val="24"/>
        </w:rPr>
        <w:t>určené přímo Senátu odmítla. Stejně tak</w:t>
      </w:r>
      <w:r w:rsidR="00075E5B">
        <w:rPr>
          <w:rFonts w:ascii="Times New Roman" w:hAnsi="Times New Roman" w:cs="Times New Roman"/>
          <w:sz w:val="24"/>
        </w:rPr>
        <w:t xml:space="preserve"> </w:t>
      </w:r>
      <w:r w:rsidR="001B3DD4">
        <w:rPr>
          <w:rFonts w:ascii="Times New Roman" w:hAnsi="Times New Roman" w:cs="Times New Roman"/>
          <w:sz w:val="24"/>
        </w:rPr>
        <w:t xml:space="preserve">v obecné rovině </w:t>
      </w:r>
      <w:r w:rsidR="00BF798F">
        <w:rPr>
          <w:rFonts w:ascii="Times New Roman" w:hAnsi="Times New Roman" w:cs="Times New Roman"/>
          <w:sz w:val="24"/>
        </w:rPr>
        <w:t>připomněla, že systém včasného varování se vztahuje pouze na zásadu subsidiarity</w:t>
      </w:r>
      <w:r w:rsidR="00133B57">
        <w:rPr>
          <w:rFonts w:ascii="Times New Roman" w:hAnsi="Times New Roman" w:cs="Times New Roman"/>
          <w:sz w:val="24"/>
        </w:rPr>
        <w:t xml:space="preserve"> a </w:t>
      </w:r>
      <w:r w:rsidR="00B3560F">
        <w:rPr>
          <w:rFonts w:ascii="Times New Roman" w:hAnsi="Times New Roman" w:cs="Times New Roman"/>
          <w:sz w:val="24"/>
        </w:rPr>
        <w:t xml:space="preserve">k ostatním </w:t>
      </w:r>
      <w:r w:rsidR="00133B57">
        <w:rPr>
          <w:rFonts w:ascii="Times New Roman" w:hAnsi="Times New Roman" w:cs="Times New Roman"/>
          <w:sz w:val="24"/>
        </w:rPr>
        <w:t>argumentům tak přihlížela</w:t>
      </w:r>
      <w:r w:rsidR="00B3560F">
        <w:rPr>
          <w:rFonts w:ascii="Times New Roman" w:hAnsi="Times New Roman" w:cs="Times New Roman"/>
          <w:sz w:val="24"/>
        </w:rPr>
        <w:t xml:space="preserve"> jen z politického hlediska.</w:t>
      </w:r>
      <w:r w:rsidR="00B3560F">
        <w:rPr>
          <w:rStyle w:val="Znakapoznpodarou"/>
          <w:rFonts w:ascii="Times New Roman" w:hAnsi="Times New Roman" w:cs="Times New Roman"/>
          <w:sz w:val="24"/>
        </w:rPr>
        <w:footnoteReference w:id="266"/>
      </w:r>
    </w:p>
    <w:p w:rsidR="003B0D57" w:rsidRDefault="00D4491C" w:rsidP="008F35CD">
      <w:pPr>
        <w:spacing w:after="0" w:line="360" w:lineRule="auto"/>
        <w:ind w:firstLine="708"/>
        <w:jc w:val="both"/>
        <w:rPr>
          <w:rFonts w:ascii="Times New Roman" w:hAnsi="Times New Roman" w:cs="Times New Roman"/>
          <w:i/>
          <w:sz w:val="24"/>
        </w:rPr>
      </w:pPr>
      <w:r>
        <w:rPr>
          <w:rFonts w:ascii="Times New Roman" w:hAnsi="Times New Roman" w:cs="Times New Roman"/>
          <w:sz w:val="24"/>
        </w:rPr>
        <w:t>Výbor pro evropské záležitosti Poslanecké sněmovny</w:t>
      </w:r>
      <w:r w:rsidR="00DF2598">
        <w:rPr>
          <w:rFonts w:ascii="Times New Roman" w:hAnsi="Times New Roman" w:cs="Times New Roman"/>
          <w:sz w:val="24"/>
        </w:rPr>
        <w:t xml:space="preserve"> se v odůvodněném s</w:t>
      </w:r>
      <w:r w:rsidR="008D5E32">
        <w:rPr>
          <w:rFonts w:ascii="Times New Roman" w:hAnsi="Times New Roman" w:cs="Times New Roman"/>
          <w:sz w:val="24"/>
        </w:rPr>
        <w:t>tanovisku</w:t>
      </w:r>
      <w:r w:rsidR="00DF2598">
        <w:rPr>
          <w:rFonts w:ascii="Times New Roman" w:hAnsi="Times New Roman" w:cs="Times New Roman"/>
          <w:sz w:val="24"/>
        </w:rPr>
        <w:t xml:space="preserve"> zabýval procedur</w:t>
      </w:r>
      <w:r w:rsidR="00E75F2F">
        <w:rPr>
          <w:rFonts w:ascii="Times New Roman" w:hAnsi="Times New Roman" w:cs="Times New Roman"/>
          <w:sz w:val="24"/>
        </w:rPr>
        <w:t>ální i materiální subsidiaritou, u které upozornil na možné restriktivní a extenzivní pojetí</w:t>
      </w:r>
      <w:r w:rsidR="000E6B5E">
        <w:rPr>
          <w:rFonts w:ascii="Times New Roman" w:hAnsi="Times New Roman" w:cs="Times New Roman"/>
          <w:sz w:val="24"/>
        </w:rPr>
        <w:t>. Zmínil ale také, že povaha argument</w:t>
      </w:r>
      <w:r w:rsidR="00CC6C39">
        <w:rPr>
          <w:rFonts w:ascii="Times New Roman" w:hAnsi="Times New Roman" w:cs="Times New Roman"/>
          <w:sz w:val="24"/>
        </w:rPr>
        <w:t>ů, které parlamenty v odůvodněném stanovisku použijí</w:t>
      </w:r>
      <w:r w:rsidR="000E6B5E">
        <w:rPr>
          <w:rFonts w:ascii="Times New Roman" w:hAnsi="Times New Roman" w:cs="Times New Roman"/>
          <w:sz w:val="24"/>
        </w:rPr>
        <w:t>, není rozhodující</w:t>
      </w:r>
      <w:r w:rsidR="007B771A">
        <w:rPr>
          <w:rFonts w:ascii="Times New Roman" w:hAnsi="Times New Roman" w:cs="Times New Roman"/>
          <w:sz w:val="24"/>
        </w:rPr>
        <w:t>, když</w:t>
      </w:r>
      <w:r w:rsidR="007D31F0">
        <w:rPr>
          <w:rFonts w:ascii="Times New Roman" w:hAnsi="Times New Roman" w:cs="Times New Roman"/>
          <w:sz w:val="24"/>
        </w:rPr>
        <w:t xml:space="preserve"> mají spíše podpůrnou úlohu</w:t>
      </w:r>
      <w:r w:rsidR="007B771A">
        <w:rPr>
          <w:rFonts w:ascii="Times New Roman" w:hAnsi="Times New Roman" w:cs="Times New Roman"/>
          <w:sz w:val="24"/>
        </w:rPr>
        <w:t>.</w:t>
      </w:r>
      <w:r w:rsidR="00AE6C0E">
        <w:rPr>
          <w:rFonts w:ascii="Times New Roman" w:hAnsi="Times New Roman" w:cs="Times New Roman"/>
          <w:sz w:val="24"/>
        </w:rPr>
        <w:t xml:space="preserve"> V závěru stanoviska</w:t>
      </w:r>
      <w:r w:rsidR="00D16E49">
        <w:rPr>
          <w:rFonts w:ascii="Times New Roman" w:hAnsi="Times New Roman" w:cs="Times New Roman"/>
          <w:sz w:val="24"/>
        </w:rPr>
        <w:t xml:space="preserve"> pak uvedl, </w:t>
      </w:r>
      <w:r w:rsidR="00D16E49" w:rsidRPr="00D16E49">
        <w:rPr>
          <w:rFonts w:ascii="Times New Roman" w:hAnsi="Times New Roman" w:cs="Times New Roman"/>
          <w:i/>
          <w:sz w:val="24"/>
        </w:rPr>
        <w:t>„že z hlediska principu subsidiarity ke sbližování úrovně odměn by měla vést spíše postupná konvergence v životní úrovni a odměňování ve všech členských státech než navrhovaná směrnice.“</w:t>
      </w:r>
      <w:r w:rsidR="00D16E49">
        <w:rPr>
          <w:rStyle w:val="Znakapoznpodarou"/>
          <w:rFonts w:ascii="Times New Roman" w:hAnsi="Times New Roman" w:cs="Times New Roman"/>
          <w:i/>
          <w:sz w:val="24"/>
        </w:rPr>
        <w:footnoteReference w:id="267"/>
      </w: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8F35CD">
      <w:pPr>
        <w:spacing w:after="0" w:line="360" w:lineRule="auto"/>
        <w:ind w:firstLine="708"/>
        <w:jc w:val="both"/>
        <w:rPr>
          <w:rFonts w:ascii="Times New Roman" w:hAnsi="Times New Roman" w:cs="Times New Roman"/>
          <w:i/>
          <w:sz w:val="24"/>
        </w:rPr>
      </w:pPr>
    </w:p>
    <w:p w:rsidR="005059A5" w:rsidRDefault="005059A5" w:rsidP="00A657F1">
      <w:pPr>
        <w:spacing w:after="0" w:line="360" w:lineRule="auto"/>
        <w:jc w:val="both"/>
        <w:rPr>
          <w:rFonts w:ascii="Times New Roman" w:hAnsi="Times New Roman" w:cs="Times New Roman"/>
          <w:sz w:val="24"/>
        </w:rPr>
      </w:pPr>
    </w:p>
    <w:p w:rsidR="003B0D57" w:rsidRDefault="003B0D57" w:rsidP="008B60F2">
      <w:pPr>
        <w:pStyle w:val="Nadpis1"/>
      </w:pPr>
      <w:bookmarkStart w:id="34" w:name="_Toc478235180"/>
      <w:r w:rsidRPr="003B0D57">
        <w:lastRenderedPageBreak/>
        <w:t>Závěr</w:t>
      </w:r>
      <w:bookmarkEnd w:id="34"/>
    </w:p>
    <w:p w:rsidR="004112C5" w:rsidRPr="004112C5" w:rsidRDefault="004112C5" w:rsidP="004112C5"/>
    <w:p w:rsidR="003B0D57" w:rsidRPr="003B0D57" w:rsidRDefault="007124C4"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V </w:t>
      </w:r>
      <w:r w:rsidR="003B0D57" w:rsidRPr="003B0D57">
        <w:rPr>
          <w:rFonts w:ascii="Times New Roman" w:hAnsi="Times New Roman" w:cs="Times New Roman"/>
          <w:sz w:val="24"/>
        </w:rPr>
        <w:t>počátcích</w:t>
      </w:r>
      <w:r w:rsidR="00AA376C">
        <w:rPr>
          <w:rFonts w:ascii="Times New Roman" w:hAnsi="Times New Roman" w:cs="Times New Roman"/>
          <w:sz w:val="24"/>
        </w:rPr>
        <w:t xml:space="preserve"> integrace byly parlamenty</w:t>
      </w:r>
      <w:r w:rsidR="00122EA6">
        <w:rPr>
          <w:rFonts w:ascii="Times New Roman" w:hAnsi="Times New Roman" w:cs="Times New Roman"/>
          <w:sz w:val="24"/>
        </w:rPr>
        <w:t xml:space="preserve"> odstaveny na druhou kolej. D</w:t>
      </w:r>
      <w:r w:rsidR="003B0D57" w:rsidRPr="003B0D57">
        <w:rPr>
          <w:rFonts w:ascii="Times New Roman" w:hAnsi="Times New Roman" w:cs="Times New Roman"/>
          <w:sz w:val="24"/>
        </w:rPr>
        <w:t>nes je jejich pozice v e</w:t>
      </w:r>
      <w:r w:rsidR="00C86949">
        <w:rPr>
          <w:rFonts w:ascii="Times New Roman" w:hAnsi="Times New Roman" w:cs="Times New Roman"/>
          <w:sz w:val="24"/>
        </w:rPr>
        <w:t>vropských záležitostech</w:t>
      </w:r>
      <w:r w:rsidR="003B0D57" w:rsidRPr="003B0D57">
        <w:rPr>
          <w:rFonts w:ascii="Times New Roman" w:hAnsi="Times New Roman" w:cs="Times New Roman"/>
          <w:sz w:val="24"/>
        </w:rPr>
        <w:t xml:space="preserve"> znatelná, což je ovšem nutné vnímat s ohledem na </w:t>
      </w:r>
      <w:proofErr w:type="spellStart"/>
      <w:r w:rsidR="003B0D57" w:rsidRPr="003B0D57">
        <w:rPr>
          <w:rFonts w:ascii="Times New Roman" w:hAnsi="Times New Roman" w:cs="Times New Roman"/>
          <w:sz w:val="24"/>
        </w:rPr>
        <w:t>supranacionální</w:t>
      </w:r>
      <w:proofErr w:type="spellEnd"/>
      <w:r w:rsidR="003B0D57" w:rsidRPr="003B0D57">
        <w:rPr>
          <w:rFonts w:ascii="Times New Roman" w:hAnsi="Times New Roman" w:cs="Times New Roman"/>
          <w:sz w:val="24"/>
        </w:rPr>
        <w:t xml:space="preserve"> charakter EU a rovněž s ohledem na roli vlád ČS v unijním rozhodovacím procesu.</w:t>
      </w:r>
      <w:r w:rsidR="00B12E61">
        <w:rPr>
          <w:rFonts w:ascii="Times New Roman" w:hAnsi="Times New Roman" w:cs="Times New Roman"/>
          <w:sz w:val="24"/>
        </w:rPr>
        <w:t xml:space="preserve"> </w:t>
      </w:r>
      <w:r w:rsidR="0051605D">
        <w:rPr>
          <w:rFonts w:ascii="Times New Roman" w:hAnsi="Times New Roman" w:cs="Times New Roman"/>
          <w:sz w:val="24"/>
        </w:rPr>
        <w:t>P</w:t>
      </w:r>
      <w:r w:rsidR="003B0D57" w:rsidRPr="003B0D57">
        <w:rPr>
          <w:rFonts w:ascii="Times New Roman" w:hAnsi="Times New Roman" w:cs="Times New Roman"/>
          <w:sz w:val="24"/>
        </w:rPr>
        <w:t xml:space="preserve">arlamenty </w:t>
      </w:r>
      <w:r w:rsidR="00747DCA">
        <w:rPr>
          <w:rFonts w:ascii="Times New Roman" w:hAnsi="Times New Roman" w:cs="Times New Roman"/>
          <w:sz w:val="24"/>
        </w:rPr>
        <w:t xml:space="preserve">se </w:t>
      </w:r>
      <w:r w:rsidR="003B0D57" w:rsidRPr="003B0D57">
        <w:rPr>
          <w:rFonts w:ascii="Times New Roman" w:hAnsi="Times New Roman" w:cs="Times New Roman"/>
          <w:sz w:val="24"/>
        </w:rPr>
        <w:t xml:space="preserve">zapojují do unijních </w:t>
      </w:r>
      <w:r w:rsidR="000E1B54">
        <w:rPr>
          <w:rFonts w:ascii="Times New Roman" w:hAnsi="Times New Roman" w:cs="Times New Roman"/>
          <w:sz w:val="24"/>
        </w:rPr>
        <w:t>otázek v několika rovinách</w:t>
      </w:r>
      <w:r w:rsidR="00F60D11">
        <w:rPr>
          <w:rFonts w:ascii="Times New Roman" w:hAnsi="Times New Roman" w:cs="Times New Roman"/>
          <w:sz w:val="24"/>
        </w:rPr>
        <w:t>. P</w:t>
      </w:r>
      <w:r w:rsidR="003B0D57" w:rsidRPr="003B0D57">
        <w:rPr>
          <w:rFonts w:ascii="Times New Roman" w:hAnsi="Times New Roman" w:cs="Times New Roman"/>
          <w:sz w:val="24"/>
        </w:rPr>
        <w:t>řístup k informacím o unijních záležitostech, který je klíčový pro</w:t>
      </w:r>
      <w:r w:rsidR="00212789">
        <w:rPr>
          <w:rFonts w:ascii="Times New Roman" w:hAnsi="Times New Roman" w:cs="Times New Roman"/>
          <w:sz w:val="24"/>
        </w:rPr>
        <w:t xml:space="preserve"> výkon dalších funkcí, je nyní</w:t>
      </w:r>
      <w:r w:rsidR="003B0D57" w:rsidRPr="003B0D57">
        <w:rPr>
          <w:rFonts w:ascii="Times New Roman" w:hAnsi="Times New Roman" w:cs="Times New Roman"/>
          <w:sz w:val="24"/>
        </w:rPr>
        <w:t xml:space="preserve"> v zásadě bezproblémový. </w:t>
      </w:r>
      <w:r w:rsidR="00610394">
        <w:rPr>
          <w:rFonts w:ascii="Times New Roman" w:hAnsi="Times New Roman" w:cs="Times New Roman"/>
          <w:sz w:val="24"/>
        </w:rPr>
        <w:t>Pokud jde o změny</w:t>
      </w:r>
      <w:r w:rsidR="003B0D57" w:rsidRPr="003B0D57">
        <w:rPr>
          <w:rFonts w:ascii="Times New Roman" w:hAnsi="Times New Roman" w:cs="Times New Roman"/>
          <w:sz w:val="24"/>
        </w:rPr>
        <w:t xml:space="preserve"> p</w:t>
      </w:r>
      <w:r w:rsidR="00E8473C">
        <w:rPr>
          <w:rFonts w:ascii="Times New Roman" w:hAnsi="Times New Roman" w:cs="Times New Roman"/>
          <w:sz w:val="24"/>
        </w:rPr>
        <w:t xml:space="preserve">rimárního práva, </w:t>
      </w:r>
      <w:r w:rsidR="00B44F8A">
        <w:rPr>
          <w:rFonts w:ascii="Times New Roman" w:hAnsi="Times New Roman" w:cs="Times New Roman"/>
          <w:sz w:val="24"/>
        </w:rPr>
        <w:t>zejména</w:t>
      </w:r>
      <w:r w:rsidR="00E8473C">
        <w:rPr>
          <w:rFonts w:ascii="Times New Roman" w:hAnsi="Times New Roman" w:cs="Times New Roman"/>
          <w:sz w:val="24"/>
        </w:rPr>
        <w:t xml:space="preserve"> o</w:t>
      </w:r>
      <w:r w:rsidR="00B44F8A">
        <w:rPr>
          <w:rFonts w:ascii="Times New Roman" w:hAnsi="Times New Roman" w:cs="Times New Roman"/>
          <w:sz w:val="24"/>
        </w:rPr>
        <w:t xml:space="preserve"> zjednodušený postup, máme za to</w:t>
      </w:r>
      <w:r w:rsidR="00AA376C">
        <w:rPr>
          <w:rFonts w:ascii="Times New Roman" w:hAnsi="Times New Roman" w:cs="Times New Roman"/>
          <w:sz w:val="24"/>
        </w:rPr>
        <w:t xml:space="preserve">, že parlamenty ani v intencích </w:t>
      </w:r>
      <w:r w:rsidR="00EE7839">
        <w:rPr>
          <w:rFonts w:ascii="Times New Roman" w:hAnsi="Times New Roman" w:cs="Times New Roman"/>
          <w:sz w:val="24"/>
        </w:rPr>
        <w:t>LS</w:t>
      </w:r>
      <w:r w:rsidR="007E1E56">
        <w:rPr>
          <w:rFonts w:ascii="Times New Roman" w:hAnsi="Times New Roman" w:cs="Times New Roman"/>
          <w:sz w:val="24"/>
        </w:rPr>
        <w:t xml:space="preserve"> </w:t>
      </w:r>
      <w:r w:rsidR="003B0D57" w:rsidRPr="003B0D57">
        <w:rPr>
          <w:rFonts w:ascii="Times New Roman" w:hAnsi="Times New Roman" w:cs="Times New Roman"/>
          <w:sz w:val="24"/>
        </w:rPr>
        <w:t>neustoupily z</w:t>
      </w:r>
      <w:r w:rsidR="001F34A8">
        <w:rPr>
          <w:rFonts w:ascii="Times New Roman" w:hAnsi="Times New Roman" w:cs="Times New Roman"/>
          <w:sz w:val="24"/>
        </w:rPr>
        <w:t>e svých pozic</w:t>
      </w:r>
      <w:r w:rsidR="00E239B5">
        <w:rPr>
          <w:rFonts w:ascii="Times New Roman" w:hAnsi="Times New Roman" w:cs="Times New Roman"/>
          <w:sz w:val="24"/>
        </w:rPr>
        <w:t>, když</w:t>
      </w:r>
      <w:r w:rsidR="00E239B5" w:rsidRPr="00E239B5">
        <w:rPr>
          <w:rFonts w:ascii="Times New Roman" w:hAnsi="Times New Roman" w:cs="Times New Roman"/>
          <w:sz w:val="24"/>
        </w:rPr>
        <w:t xml:space="preserve"> </w:t>
      </w:r>
      <w:r w:rsidR="00E239B5" w:rsidRPr="003B0D57">
        <w:rPr>
          <w:rFonts w:ascii="Times New Roman" w:hAnsi="Times New Roman" w:cs="Times New Roman"/>
          <w:sz w:val="24"/>
        </w:rPr>
        <w:t>mnohé navíc přijaly k unijní ještě zpřísňující vnitrostátní úpravu</w:t>
      </w:r>
      <w:r w:rsidR="00C42AF4">
        <w:rPr>
          <w:rFonts w:ascii="Times New Roman" w:hAnsi="Times New Roman" w:cs="Times New Roman"/>
          <w:sz w:val="24"/>
        </w:rPr>
        <w:t>.</w:t>
      </w:r>
      <w:r w:rsidR="00B13C5E">
        <w:rPr>
          <w:rFonts w:ascii="Times New Roman" w:hAnsi="Times New Roman" w:cs="Times New Roman"/>
          <w:sz w:val="24"/>
        </w:rPr>
        <w:t xml:space="preserve"> Pokud jde o kontrolu</w:t>
      </w:r>
      <w:r w:rsidR="003B0D57" w:rsidRPr="003B0D57">
        <w:rPr>
          <w:rFonts w:ascii="Times New Roman" w:hAnsi="Times New Roman" w:cs="Times New Roman"/>
          <w:sz w:val="24"/>
        </w:rPr>
        <w:t xml:space="preserve"> vlád a jejich členů</w:t>
      </w:r>
      <w:r w:rsidR="00B13C5E">
        <w:rPr>
          <w:rFonts w:ascii="Times New Roman" w:hAnsi="Times New Roman" w:cs="Times New Roman"/>
          <w:sz w:val="24"/>
        </w:rPr>
        <w:t xml:space="preserve"> v unijních záležitostech</w:t>
      </w:r>
      <w:r w:rsidR="002019E9">
        <w:rPr>
          <w:rFonts w:ascii="Times New Roman" w:hAnsi="Times New Roman" w:cs="Times New Roman"/>
          <w:sz w:val="24"/>
        </w:rPr>
        <w:t>, tak t</w:t>
      </w:r>
      <w:r w:rsidR="003B0D57" w:rsidRPr="003B0D57">
        <w:rPr>
          <w:rFonts w:ascii="Times New Roman" w:hAnsi="Times New Roman" w:cs="Times New Roman"/>
          <w:sz w:val="24"/>
        </w:rPr>
        <w:t>uto individuální kontrolu</w:t>
      </w:r>
      <w:r w:rsidR="00600BA5">
        <w:rPr>
          <w:rFonts w:ascii="Times New Roman" w:hAnsi="Times New Roman" w:cs="Times New Roman"/>
          <w:sz w:val="24"/>
        </w:rPr>
        <w:t>,</w:t>
      </w:r>
      <w:r w:rsidR="00D6585C">
        <w:rPr>
          <w:rFonts w:ascii="Times New Roman" w:hAnsi="Times New Roman" w:cs="Times New Roman"/>
          <w:sz w:val="24"/>
        </w:rPr>
        <w:t xml:space="preserve"> využívající typicky </w:t>
      </w:r>
      <w:r w:rsidR="003B0D57" w:rsidRPr="003B0D57">
        <w:rPr>
          <w:rFonts w:ascii="Times New Roman" w:hAnsi="Times New Roman" w:cs="Times New Roman"/>
          <w:sz w:val="24"/>
        </w:rPr>
        <w:t>institut parlamentní výhrady nebo s různou mírou závaznosti ovlivňující pozici pro jednání v</w:t>
      </w:r>
      <w:r w:rsidR="00600BA5">
        <w:rPr>
          <w:rFonts w:ascii="Times New Roman" w:hAnsi="Times New Roman" w:cs="Times New Roman"/>
          <w:sz w:val="24"/>
        </w:rPr>
        <w:t> </w:t>
      </w:r>
      <w:r w:rsidR="003B0D57" w:rsidRPr="003B0D57">
        <w:rPr>
          <w:rFonts w:ascii="Times New Roman" w:hAnsi="Times New Roman" w:cs="Times New Roman"/>
          <w:sz w:val="24"/>
        </w:rPr>
        <w:t>Radě</w:t>
      </w:r>
      <w:r w:rsidR="00600BA5">
        <w:rPr>
          <w:rFonts w:ascii="Times New Roman" w:hAnsi="Times New Roman" w:cs="Times New Roman"/>
          <w:sz w:val="24"/>
        </w:rPr>
        <w:t>,</w:t>
      </w:r>
      <w:r w:rsidR="003B0D57" w:rsidRPr="003B0D57">
        <w:rPr>
          <w:rFonts w:ascii="Times New Roman" w:hAnsi="Times New Roman" w:cs="Times New Roman"/>
          <w:sz w:val="24"/>
        </w:rPr>
        <w:t xml:space="preserve"> </w:t>
      </w:r>
      <w:r w:rsidR="00373021">
        <w:rPr>
          <w:rFonts w:ascii="Times New Roman" w:hAnsi="Times New Roman" w:cs="Times New Roman"/>
          <w:sz w:val="24"/>
        </w:rPr>
        <w:t>nepovažujeme za protipól</w:t>
      </w:r>
      <w:r w:rsidR="00F3769A">
        <w:rPr>
          <w:rFonts w:ascii="Times New Roman" w:hAnsi="Times New Roman" w:cs="Times New Roman"/>
          <w:sz w:val="24"/>
        </w:rPr>
        <w:t xml:space="preserve"> podrobněji</w:t>
      </w:r>
      <w:r w:rsidR="003B0D57" w:rsidRPr="003B0D57">
        <w:rPr>
          <w:rFonts w:ascii="Times New Roman" w:hAnsi="Times New Roman" w:cs="Times New Roman"/>
          <w:sz w:val="24"/>
        </w:rPr>
        <w:t xml:space="preserve"> zkoumané k</w:t>
      </w:r>
      <w:r w:rsidR="004425BA">
        <w:rPr>
          <w:rFonts w:ascii="Times New Roman" w:hAnsi="Times New Roman" w:cs="Times New Roman"/>
          <w:sz w:val="24"/>
        </w:rPr>
        <w:t>olektivní kontroly dodržování zásady subsidiarity</w:t>
      </w:r>
      <w:r w:rsidR="008F6D3A">
        <w:rPr>
          <w:rFonts w:ascii="Times New Roman" w:hAnsi="Times New Roman" w:cs="Times New Roman"/>
          <w:sz w:val="24"/>
        </w:rPr>
        <w:t>. Vhodné je obě role vnímat</w:t>
      </w:r>
      <w:r w:rsidR="00014A2D">
        <w:rPr>
          <w:rFonts w:ascii="Times New Roman" w:hAnsi="Times New Roman" w:cs="Times New Roman"/>
          <w:sz w:val="24"/>
        </w:rPr>
        <w:t xml:space="preserve"> jako doplňující se </w:t>
      </w:r>
      <w:r w:rsidR="003B0D57" w:rsidRPr="003B0D57">
        <w:rPr>
          <w:rFonts w:ascii="Times New Roman" w:hAnsi="Times New Roman" w:cs="Times New Roman"/>
          <w:sz w:val="24"/>
        </w:rPr>
        <w:t>součásti celkové pozice parlamentů.</w:t>
      </w:r>
    </w:p>
    <w:p w:rsidR="003B0D57" w:rsidRPr="003B0D57" w:rsidRDefault="009162BB"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Zásada subsidiarity je jednou </w:t>
      </w:r>
      <w:r w:rsidR="003B0D57" w:rsidRPr="003B0D57">
        <w:rPr>
          <w:rFonts w:ascii="Times New Roman" w:hAnsi="Times New Roman" w:cs="Times New Roman"/>
          <w:sz w:val="24"/>
        </w:rPr>
        <w:t>ze</w:t>
      </w:r>
      <w:r w:rsidR="00215DED">
        <w:rPr>
          <w:rFonts w:ascii="Times New Roman" w:hAnsi="Times New Roman" w:cs="Times New Roman"/>
          <w:sz w:val="24"/>
        </w:rPr>
        <w:t xml:space="preserve"> zák</w:t>
      </w:r>
      <w:r w:rsidR="007919BE">
        <w:rPr>
          <w:rFonts w:ascii="Times New Roman" w:hAnsi="Times New Roman" w:cs="Times New Roman"/>
          <w:sz w:val="24"/>
        </w:rPr>
        <w:t>ladních zásad fungování EU. S</w:t>
      </w:r>
      <w:r w:rsidR="00215DED">
        <w:rPr>
          <w:rFonts w:ascii="Times New Roman" w:hAnsi="Times New Roman" w:cs="Times New Roman"/>
          <w:sz w:val="24"/>
        </w:rPr>
        <w:t>ouvisí</w:t>
      </w:r>
      <w:r w:rsidR="003B0D57" w:rsidRPr="003B0D57">
        <w:rPr>
          <w:rFonts w:ascii="Times New Roman" w:hAnsi="Times New Roman" w:cs="Times New Roman"/>
          <w:sz w:val="24"/>
        </w:rPr>
        <w:t xml:space="preserve"> s dělbou</w:t>
      </w:r>
      <w:r w:rsidR="00682FCA">
        <w:rPr>
          <w:rFonts w:ascii="Times New Roman" w:hAnsi="Times New Roman" w:cs="Times New Roman"/>
          <w:sz w:val="24"/>
        </w:rPr>
        <w:t xml:space="preserve"> pravomocí mezi EU a ČS, respektive</w:t>
      </w:r>
      <w:r w:rsidR="0092726A">
        <w:rPr>
          <w:rFonts w:ascii="Times New Roman" w:hAnsi="Times New Roman" w:cs="Times New Roman"/>
          <w:sz w:val="24"/>
        </w:rPr>
        <w:t xml:space="preserve"> vztahuje se na výkon</w:t>
      </w:r>
      <w:r w:rsidR="00D8664B">
        <w:rPr>
          <w:rFonts w:ascii="Times New Roman" w:hAnsi="Times New Roman" w:cs="Times New Roman"/>
          <w:sz w:val="24"/>
        </w:rPr>
        <w:t xml:space="preserve"> těch sdílených. Jde o</w:t>
      </w:r>
      <w:r w:rsidR="003B0D57" w:rsidRPr="003B0D57">
        <w:rPr>
          <w:rFonts w:ascii="Times New Roman" w:hAnsi="Times New Roman" w:cs="Times New Roman"/>
          <w:sz w:val="24"/>
        </w:rPr>
        <w:t xml:space="preserve"> politicko-právní princip často kritizovaný pro neurčitost</w:t>
      </w:r>
      <w:r w:rsidR="000F20A4">
        <w:rPr>
          <w:rFonts w:ascii="Times New Roman" w:hAnsi="Times New Roman" w:cs="Times New Roman"/>
          <w:sz w:val="24"/>
        </w:rPr>
        <w:t>. P</w:t>
      </w:r>
      <w:r w:rsidR="002C6384">
        <w:rPr>
          <w:rFonts w:ascii="Times New Roman" w:hAnsi="Times New Roman" w:cs="Times New Roman"/>
          <w:sz w:val="24"/>
        </w:rPr>
        <w:t>řipomněli bychom zejména</w:t>
      </w:r>
      <w:r w:rsidR="003B0D57" w:rsidRPr="003B0D57">
        <w:rPr>
          <w:rFonts w:ascii="Times New Roman" w:hAnsi="Times New Roman" w:cs="Times New Roman"/>
          <w:sz w:val="24"/>
        </w:rPr>
        <w:t xml:space="preserve"> potřebu kumul</w:t>
      </w:r>
      <w:r w:rsidR="002C6384">
        <w:rPr>
          <w:rFonts w:ascii="Times New Roman" w:hAnsi="Times New Roman" w:cs="Times New Roman"/>
          <w:sz w:val="24"/>
        </w:rPr>
        <w:t xml:space="preserve">ativního splnění obou podmínek, </w:t>
      </w:r>
      <w:r w:rsidR="003B0D57" w:rsidRPr="003B0D57">
        <w:rPr>
          <w:rFonts w:ascii="Times New Roman" w:hAnsi="Times New Roman" w:cs="Times New Roman"/>
          <w:sz w:val="24"/>
        </w:rPr>
        <w:t xml:space="preserve">kritéria dostatečnosti a </w:t>
      </w:r>
      <w:r w:rsidR="002C6384">
        <w:rPr>
          <w:rFonts w:ascii="Times New Roman" w:hAnsi="Times New Roman" w:cs="Times New Roman"/>
          <w:sz w:val="24"/>
        </w:rPr>
        <w:t>kritéria unijní přidané hodnoty</w:t>
      </w:r>
      <w:r w:rsidR="007B1B0C">
        <w:rPr>
          <w:rFonts w:ascii="Times New Roman" w:hAnsi="Times New Roman" w:cs="Times New Roman"/>
          <w:sz w:val="24"/>
        </w:rPr>
        <w:t>.</w:t>
      </w:r>
      <w:r w:rsidR="003B0D57" w:rsidRPr="003B0D57">
        <w:rPr>
          <w:rFonts w:ascii="Times New Roman" w:hAnsi="Times New Roman" w:cs="Times New Roman"/>
          <w:sz w:val="24"/>
        </w:rPr>
        <w:t xml:space="preserve"> </w:t>
      </w:r>
    </w:p>
    <w:p w:rsidR="003B0D57" w:rsidRPr="003B0D57" w:rsidRDefault="003B0D57" w:rsidP="0010603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 xml:space="preserve">Nejen v souvislosti s čl. 8 protokolu č. 2 jsme se zabývali také přístupem SDEU ke </w:t>
      </w:r>
      <w:r w:rsidR="00FA3555">
        <w:rPr>
          <w:rFonts w:ascii="Times New Roman" w:hAnsi="Times New Roman" w:cs="Times New Roman"/>
          <w:sz w:val="24"/>
        </w:rPr>
        <w:t>kontrole dodržování zásady subsidiarity</w:t>
      </w:r>
      <w:r w:rsidR="008B7631">
        <w:rPr>
          <w:rFonts w:ascii="Times New Roman" w:hAnsi="Times New Roman" w:cs="Times New Roman"/>
          <w:sz w:val="24"/>
        </w:rPr>
        <w:t>. J</w:t>
      </w:r>
      <w:r w:rsidRPr="003B0D57">
        <w:rPr>
          <w:rFonts w:ascii="Times New Roman" w:hAnsi="Times New Roman" w:cs="Times New Roman"/>
          <w:sz w:val="24"/>
        </w:rPr>
        <w:t>de o přístup zdr</w:t>
      </w:r>
      <w:r w:rsidR="000C2EAF">
        <w:rPr>
          <w:rFonts w:ascii="Times New Roman" w:hAnsi="Times New Roman" w:cs="Times New Roman"/>
          <w:sz w:val="24"/>
        </w:rPr>
        <w:t>ženlivý. Velkorysý je SDEU zejména</w:t>
      </w:r>
      <w:r w:rsidRPr="003B0D57">
        <w:rPr>
          <w:rFonts w:ascii="Times New Roman" w:hAnsi="Times New Roman" w:cs="Times New Roman"/>
          <w:sz w:val="24"/>
        </w:rPr>
        <w:t xml:space="preserve"> vůči Komisi, a to v otázkách materiální i procesní subsidiarity. </w:t>
      </w:r>
      <w:r w:rsidR="00910280">
        <w:rPr>
          <w:rFonts w:ascii="Times New Roman" w:hAnsi="Times New Roman" w:cs="Times New Roman"/>
          <w:sz w:val="24"/>
        </w:rPr>
        <w:t>I proto lze zavedení kontroly zásady subsidiarity</w:t>
      </w:r>
      <w:r w:rsidRPr="003B0D57">
        <w:rPr>
          <w:rFonts w:ascii="Times New Roman" w:hAnsi="Times New Roman" w:cs="Times New Roman"/>
          <w:sz w:val="24"/>
        </w:rPr>
        <w:t xml:space="preserve"> parlamenty hodnotit jako logický krok. </w:t>
      </w:r>
    </w:p>
    <w:p w:rsidR="003B0D57" w:rsidRPr="003B0D57" w:rsidRDefault="0093182A"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Těžiště unijní právní úpravy systému včasného varování</w:t>
      </w:r>
      <w:r w:rsidR="003B0D57" w:rsidRPr="003B0D57">
        <w:rPr>
          <w:rFonts w:ascii="Times New Roman" w:hAnsi="Times New Roman" w:cs="Times New Roman"/>
          <w:sz w:val="24"/>
        </w:rPr>
        <w:t xml:space="preserve"> se nachází v protokolu č. 2. Systém je zaměřen na kon</w:t>
      </w:r>
      <w:r w:rsidR="009829AA">
        <w:rPr>
          <w:rFonts w:ascii="Times New Roman" w:hAnsi="Times New Roman" w:cs="Times New Roman"/>
          <w:sz w:val="24"/>
        </w:rPr>
        <w:t>trolu návrhů legislativních aktů</w:t>
      </w:r>
      <w:r w:rsidR="003B0D57" w:rsidRPr="003B0D57">
        <w:rPr>
          <w:rFonts w:ascii="Times New Roman" w:hAnsi="Times New Roman" w:cs="Times New Roman"/>
          <w:sz w:val="24"/>
        </w:rPr>
        <w:t>. Do jeho záběru tak nepatří nelegislativní akty, což může být problemati</w:t>
      </w:r>
      <w:r w:rsidR="00271F79">
        <w:rPr>
          <w:rFonts w:ascii="Times New Roman" w:hAnsi="Times New Roman" w:cs="Times New Roman"/>
          <w:sz w:val="24"/>
        </w:rPr>
        <w:t>cké, bude-li se jednat např.</w:t>
      </w:r>
      <w:r w:rsidR="003B0D57" w:rsidRPr="003B0D57">
        <w:rPr>
          <w:rFonts w:ascii="Times New Roman" w:hAnsi="Times New Roman" w:cs="Times New Roman"/>
          <w:sz w:val="24"/>
        </w:rPr>
        <w:t xml:space="preserve"> o detailní akty Komise vydané na základě delegované pravomoci, které</w:t>
      </w:r>
      <w:r w:rsidR="008A4913">
        <w:rPr>
          <w:rFonts w:ascii="Times New Roman" w:hAnsi="Times New Roman" w:cs="Times New Roman"/>
          <w:sz w:val="24"/>
        </w:rPr>
        <w:t xml:space="preserve"> </w:t>
      </w:r>
      <w:r w:rsidR="00FA2763">
        <w:rPr>
          <w:rFonts w:ascii="Times New Roman" w:hAnsi="Times New Roman" w:cs="Times New Roman"/>
          <w:sz w:val="24"/>
        </w:rPr>
        <w:t xml:space="preserve">rovněž </w:t>
      </w:r>
      <w:r w:rsidR="008A4913">
        <w:rPr>
          <w:rFonts w:ascii="Times New Roman" w:hAnsi="Times New Roman" w:cs="Times New Roman"/>
          <w:sz w:val="24"/>
        </w:rPr>
        <w:t>mohou mít potenciál porušení zásady subsidiarity</w:t>
      </w:r>
      <w:r w:rsidR="003B0D57" w:rsidRPr="003B0D57">
        <w:rPr>
          <w:rFonts w:ascii="Times New Roman" w:hAnsi="Times New Roman" w:cs="Times New Roman"/>
          <w:sz w:val="24"/>
        </w:rPr>
        <w:t xml:space="preserve">. </w:t>
      </w:r>
    </w:p>
    <w:p w:rsidR="00E537A0" w:rsidRDefault="003B0D57" w:rsidP="00A46422">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Základním stavební</w:t>
      </w:r>
      <w:r w:rsidR="00DB4AC7">
        <w:rPr>
          <w:rFonts w:ascii="Times New Roman" w:hAnsi="Times New Roman" w:cs="Times New Roman"/>
          <w:sz w:val="24"/>
        </w:rPr>
        <w:t>m</w:t>
      </w:r>
      <w:r w:rsidR="00F71C1F">
        <w:rPr>
          <w:rFonts w:ascii="Times New Roman" w:hAnsi="Times New Roman" w:cs="Times New Roman"/>
          <w:sz w:val="24"/>
        </w:rPr>
        <w:t xml:space="preserve"> kamenem systému včasného varování</w:t>
      </w:r>
      <w:r w:rsidR="006768A9">
        <w:rPr>
          <w:rFonts w:ascii="Times New Roman" w:hAnsi="Times New Roman" w:cs="Times New Roman"/>
          <w:sz w:val="24"/>
        </w:rPr>
        <w:t xml:space="preserve"> jsou odůvodněná stanoviska</w:t>
      </w:r>
      <w:r w:rsidRPr="003B0D57">
        <w:rPr>
          <w:rFonts w:ascii="Times New Roman" w:hAnsi="Times New Roman" w:cs="Times New Roman"/>
          <w:sz w:val="24"/>
        </w:rPr>
        <w:t>. Parlamenty je mají možnost vydat během osmitýdenní lhůty. Jejich obsahem mají být důvody, pro k</w:t>
      </w:r>
      <w:r w:rsidR="003814EF">
        <w:rPr>
          <w:rFonts w:ascii="Times New Roman" w:hAnsi="Times New Roman" w:cs="Times New Roman"/>
          <w:sz w:val="24"/>
        </w:rPr>
        <w:t>teré je spatřován nesoulad se zásadou subsidiarity</w:t>
      </w:r>
      <w:r w:rsidRPr="003B0D57">
        <w:rPr>
          <w:rFonts w:ascii="Times New Roman" w:hAnsi="Times New Roman" w:cs="Times New Roman"/>
          <w:sz w:val="24"/>
        </w:rPr>
        <w:t>. Po</w:t>
      </w:r>
      <w:r w:rsidR="006768A9">
        <w:rPr>
          <w:rFonts w:ascii="Times New Roman" w:hAnsi="Times New Roman" w:cs="Times New Roman"/>
          <w:sz w:val="24"/>
        </w:rPr>
        <w:t>kud odůvodněná stanoviska</w:t>
      </w:r>
      <w:r w:rsidRPr="003B0D57">
        <w:rPr>
          <w:rFonts w:ascii="Times New Roman" w:hAnsi="Times New Roman" w:cs="Times New Roman"/>
          <w:sz w:val="24"/>
        </w:rPr>
        <w:t xml:space="preserve"> reprezent</w:t>
      </w:r>
      <w:r w:rsidR="007F0F55">
        <w:rPr>
          <w:rFonts w:ascii="Times New Roman" w:hAnsi="Times New Roman" w:cs="Times New Roman"/>
          <w:sz w:val="24"/>
        </w:rPr>
        <w:t>ují alespoň jednu třetinu, v oblasti PSBP jednu čtvrtinu,</w:t>
      </w:r>
      <w:r w:rsidR="00432397">
        <w:rPr>
          <w:rFonts w:ascii="Times New Roman" w:hAnsi="Times New Roman" w:cs="Times New Roman"/>
          <w:sz w:val="24"/>
        </w:rPr>
        <w:t xml:space="preserve"> z 56</w:t>
      </w:r>
      <w:r w:rsidRPr="003B0D57">
        <w:rPr>
          <w:rFonts w:ascii="Times New Roman" w:hAnsi="Times New Roman" w:cs="Times New Roman"/>
          <w:sz w:val="24"/>
        </w:rPr>
        <w:t xml:space="preserve"> hlasů, jež jsou parl</w:t>
      </w:r>
      <w:r w:rsidR="003D6419">
        <w:rPr>
          <w:rFonts w:ascii="Times New Roman" w:hAnsi="Times New Roman" w:cs="Times New Roman"/>
          <w:sz w:val="24"/>
        </w:rPr>
        <w:t>amentům přiděleny, je udělena žlutá karta</w:t>
      </w:r>
      <w:r w:rsidRPr="003B0D57">
        <w:rPr>
          <w:rFonts w:ascii="Times New Roman" w:hAnsi="Times New Roman" w:cs="Times New Roman"/>
          <w:sz w:val="24"/>
        </w:rPr>
        <w:t>. Návrh musí být iniciátorem, zpravidla Komisí, přezkoumán. Iniciátor pak také rozhoduje, zda návrh zachová, změní či stá</w:t>
      </w:r>
      <w:r w:rsidR="003A76CA">
        <w:rPr>
          <w:rFonts w:ascii="Times New Roman" w:hAnsi="Times New Roman" w:cs="Times New Roman"/>
          <w:sz w:val="24"/>
        </w:rPr>
        <w:t>hne. Nejedná se tedy</w:t>
      </w:r>
      <w:r w:rsidRPr="003B0D57">
        <w:rPr>
          <w:rFonts w:ascii="Times New Roman" w:hAnsi="Times New Roman" w:cs="Times New Roman"/>
          <w:sz w:val="24"/>
        </w:rPr>
        <w:t xml:space="preserve"> o povinnost změny či stažení návrhu. </w:t>
      </w:r>
    </w:p>
    <w:p w:rsidR="003B0D57" w:rsidRPr="003B0D57" w:rsidRDefault="003B0D57" w:rsidP="00A46422">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lastRenderedPageBreak/>
        <w:t xml:space="preserve">Pokud </w:t>
      </w:r>
      <w:r w:rsidR="00353C2A">
        <w:rPr>
          <w:rFonts w:ascii="Times New Roman" w:hAnsi="Times New Roman" w:cs="Times New Roman"/>
          <w:sz w:val="24"/>
        </w:rPr>
        <w:t xml:space="preserve">by </w:t>
      </w:r>
      <w:r w:rsidR="0081397F">
        <w:rPr>
          <w:rFonts w:ascii="Times New Roman" w:hAnsi="Times New Roman" w:cs="Times New Roman"/>
          <w:sz w:val="24"/>
        </w:rPr>
        <w:t>odůvodněná stanoviska</w:t>
      </w:r>
      <w:r w:rsidRPr="003B0D57">
        <w:rPr>
          <w:rFonts w:ascii="Times New Roman" w:hAnsi="Times New Roman" w:cs="Times New Roman"/>
          <w:sz w:val="24"/>
        </w:rPr>
        <w:t xml:space="preserve"> představ</w:t>
      </w:r>
      <w:r w:rsidR="00353C2A">
        <w:rPr>
          <w:rFonts w:ascii="Times New Roman" w:hAnsi="Times New Roman" w:cs="Times New Roman"/>
          <w:sz w:val="24"/>
        </w:rPr>
        <w:t>ovala</w:t>
      </w:r>
      <w:r w:rsidR="00DD54BB">
        <w:rPr>
          <w:rFonts w:ascii="Times New Roman" w:hAnsi="Times New Roman" w:cs="Times New Roman"/>
          <w:sz w:val="24"/>
        </w:rPr>
        <w:t xml:space="preserve"> většinu</w:t>
      </w:r>
      <w:r w:rsidR="00F7024B">
        <w:rPr>
          <w:rFonts w:ascii="Times New Roman" w:hAnsi="Times New Roman" w:cs="Times New Roman"/>
          <w:sz w:val="24"/>
        </w:rPr>
        <w:t xml:space="preserve"> všech</w:t>
      </w:r>
      <w:r w:rsidR="00DD54BB">
        <w:rPr>
          <w:rFonts w:ascii="Times New Roman" w:hAnsi="Times New Roman" w:cs="Times New Roman"/>
          <w:sz w:val="24"/>
        </w:rPr>
        <w:t xml:space="preserve"> hlasů</w:t>
      </w:r>
      <w:r w:rsidR="00F7024B">
        <w:rPr>
          <w:rFonts w:ascii="Times New Roman" w:hAnsi="Times New Roman" w:cs="Times New Roman"/>
          <w:sz w:val="24"/>
        </w:rPr>
        <w:t>, kterými parlamenty v systému včasného varování disponují</w:t>
      </w:r>
      <w:r w:rsidR="00DD54BB">
        <w:rPr>
          <w:rFonts w:ascii="Times New Roman" w:hAnsi="Times New Roman" w:cs="Times New Roman"/>
          <w:sz w:val="24"/>
        </w:rPr>
        <w:t>, šlo by</w:t>
      </w:r>
      <w:r w:rsidR="00DC2D9B">
        <w:rPr>
          <w:rFonts w:ascii="Times New Roman" w:hAnsi="Times New Roman" w:cs="Times New Roman"/>
          <w:sz w:val="24"/>
        </w:rPr>
        <w:t xml:space="preserve"> o oranžovou kartu</w:t>
      </w:r>
      <w:r w:rsidRPr="003B0D57">
        <w:rPr>
          <w:rFonts w:ascii="Times New Roman" w:hAnsi="Times New Roman" w:cs="Times New Roman"/>
          <w:sz w:val="24"/>
        </w:rPr>
        <w:t>. Ta se vztahuje pouze k řádnému legislativnímu postupu. Po jejím udělení rovněž následuje přezkoumání</w:t>
      </w:r>
      <w:r w:rsidR="009C48B6">
        <w:rPr>
          <w:rFonts w:ascii="Times New Roman" w:hAnsi="Times New Roman" w:cs="Times New Roman"/>
          <w:sz w:val="24"/>
        </w:rPr>
        <w:t xml:space="preserve">. </w:t>
      </w:r>
      <w:r w:rsidRPr="003B0D57">
        <w:rPr>
          <w:rFonts w:ascii="Times New Roman" w:hAnsi="Times New Roman" w:cs="Times New Roman"/>
          <w:sz w:val="24"/>
        </w:rPr>
        <w:t xml:space="preserve"> Komise rozhoduje, zda návrh zachovat, změnit či stáhnout. Je-li zvolena první možnost, do p</w:t>
      </w:r>
      <w:r w:rsidR="00785DE9">
        <w:rPr>
          <w:rFonts w:ascii="Times New Roman" w:hAnsi="Times New Roman" w:cs="Times New Roman"/>
          <w:sz w:val="24"/>
        </w:rPr>
        <w:t>rocesu vstupují EP a Rada. Každá z těchto institucí</w:t>
      </w:r>
      <w:r w:rsidRPr="003B0D57">
        <w:rPr>
          <w:rFonts w:ascii="Times New Roman" w:hAnsi="Times New Roman" w:cs="Times New Roman"/>
          <w:sz w:val="24"/>
        </w:rPr>
        <w:t xml:space="preserve"> má </w:t>
      </w:r>
      <w:r w:rsidR="0090367D">
        <w:rPr>
          <w:rFonts w:ascii="Times New Roman" w:hAnsi="Times New Roman" w:cs="Times New Roman"/>
          <w:sz w:val="24"/>
        </w:rPr>
        <w:t xml:space="preserve">dle protokolu č. 2 </w:t>
      </w:r>
      <w:r w:rsidRPr="003B0D57">
        <w:rPr>
          <w:rFonts w:ascii="Times New Roman" w:hAnsi="Times New Roman" w:cs="Times New Roman"/>
          <w:sz w:val="24"/>
        </w:rPr>
        <w:t xml:space="preserve">možnost návrh zablokovat, když v Radě je třeba většina </w:t>
      </w:r>
      <w:r w:rsidR="00AB629A" w:rsidRPr="003B0D57">
        <w:rPr>
          <w:rFonts w:ascii="Times New Roman" w:hAnsi="Times New Roman" w:cs="Times New Roman"/>
          <w:sz w:val="24"/>
        </w:rPr>
        <w:t>55 %</w:t>
      </w:r>
      <w:r w:rsidRPr="003B0D57">
        <w:rPr>
          <w:rFonts w:ascii="Times New Roman" w:hAnsi="Times New Roman" w:cs="Times New Roman"/>
          <w:sz w:val="24"/>
        </w:rPr>
        <w:t xml:space="preserve"> členů, v EP je třeba většina odevzdaných hlasů.</w:t>
      </w:r>
    </w:p>
    <w:p w:rsidR="003B0D57" w:rsidRPr="003B0D57" w:rsidRDefault="003B0D57" w:rsidP="0010603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Pro zodpovězení hlavní výzkumné otázky se nejdůležitější</w:t>
      </w:r>
      <w:r w:rsidR="00E3721D">
        <w:rPr>
          <w:rFonts w:ascii="Times New Roman" w:hAnsi="Times New Roman" w:cs="Times New Roman"/>
          <w:sz w:val="24"/>
        </w:rPr>
        <w:t>mi jeví čtvrtá a pátá</w:t>
      </w:r>
      <w:r w:rsidR="00AD02C5">
        <w:rPr>
          <w:rFonts w:ascii="Times New Roman" w:hAnsi="Times New Roman" w:cs="Times New Roman"/>
          <w:sz w:val="24"/>
        </w:rPr>
        <w:t xml:space="preserve"> kapitola</w:t>
      </w:r>
      <w:r w:rsidR="00E3721D">
        <w:rPr>
          <w:rFonts w:ascii="Times New Roman" w:hAnsi="Times New Roman" w:cs="Times New Roman"/>
          <w:sz w:val="24"/>
        </w:rPr>
        <w:t>.</w:t>
      </w:r>
      <w:r w:rsidRPr="003B0D57">
        <w:rPr>
          <w:rFonts w:ascii="Times New Roman" w:hAnsi="Times New Roman" w:cs="Times New Roman"/>
          <w:sz w:val="24"/>
        </w:rPr>
        <w:t xml:space="preserve"> </w:t>
      </w:r>
      <w:r w:rsidR="00D04015">
        <w:rPr>
          <w:rFonts w:ascii="Times New Roman" w:hAnsi="Times New Roman" w:cs="Times New Roman"/>
          <w:sz w:val="24"/>
        </w:rPr>
        <w:t>N</w:t>
      </w:r>
      <w:r w:rsidRPr="003B0D57">
        <w:rPr>
          <w:rFonts w:ascii="Times New Roman" w:hAnsi="Times New Roman" w:cs="Times New Roman"/>
          <w:sz w:val="24"/>
        </w:rPr>
        <w:t>ejdříve</w:t>
      </w:r>
      <w:r w:rsidR="00D04015">
        <w:rPr>
          <w:rFonts w:ascii="Times New Roman" w:hAnsi="Times New Roman" w:cs="Times New Roman"/>
          <w:sz w:val="24"/>
        </w:rPr>
        <w:t xml:space="preserve"> jsme se</w:t>
      </w:r>
      <w:r w:rsidRPr="003B0D57">
        <w:rPr>
          <w:rFonts w:ascii="Times New Roman" w:hAnsi="Times New Roman" w:cs="Times New Roman"/>
          <w:sz w:val="24"/>
        </w:rPr>
        <w:t xml:space="preserve"> zaměřili na odůvodňo</w:t>
      </w:r>
      <w:r w:rsidR="00B9124E">
        <w:rPr>
          <w:rFonts w:ascii="Times New Roman" w:hAnsi="Times New Roman" w:cs="Times New Roman"/>
          <w:sz w:val="24"/>
        </w:rPr>
        <w:t>vání návrhů Komise z hlediska zásady subsidiarity</w:t>
      </w:r>
      <w:r w:rsidR="00E91DAF">
        <w:rPr>
          <w:rFonts w:ascii="Times New Roman" w:hAnsi="Times New Roman" w:cs="Times New Roman"/>
          <w:sz w:val="24"/>
        </w:rPr>
        <w:t>. Jde o</w:t>
      </w:r>
      <w:r w:rsidRPr="003B0D57">
        <w:rPr>
          <w:rFonts w:ascii="Times New Roman" w:hAnsi="Times New Roman" w:cs="Times New Roman"/>
          <w:sz w:val="24"/>
        </w:rPr>
        <w:t xml:space="preserve"> povinnost Komise dle čl. 5 protokolu č. 2. Ta ale v tomto ohledu spíše navazuje na neurčité znění principu. Kritika směřuje vůči obecnosti odůvodnění i nedostatečnému množství přímých argumentů. </w:t>
      </w:r>
      <w:r w:rsidR="00BB3752" w:rsidRPr="003B0D57">
        <w:rPr>
          <w:rFonts w:ascii="Times New Roman" w:hAnsi="Times New Roman" w:cs="Times New Roman"/>
          <w:sz w:val="24"/>
        </w:rPr>
        <w:t>Odůvodňování návrhů ze strany Komise se jeví jako nedostatečné</w:t>
      </w:r>
      <w:r w:rsidR="00BB3752">
        <w:rPr>
          <w:rFonts w:ascii="Times New Roman" w:hAnsi="Times New Roman" w:cs="Times New Roman"/>
          <w:sz w:val="24"/>
        </w:rPr>
        <w:t>.</w:t>
      </w:r>
      <w:r w:rsidR="00BB3752" w:rsidRPr="003B0D57">
        <w:rPr>
          <w:rFonts w:ascii="Times New Roman" w:hAnsi="Times New Roman" w:cs="Times New Roman"/>
          <w:sz w:val="24"/>
        </w:rPr>
        <w:t xml:space="preserve"> </w:t>
      </w:r>
      <w:r w:rsidRPr="003B0D57">
        <w:rPr>
          <w:rFonts w:ascii="Times New Roman" w:hAnsi="Times New Roman" w:cs="Times New Roman"/>
          <w:sz w:val="24"/>
        </w:rPr>
        <w:t>Komise</w:t>
      </w:r>
      <w:r w:rsidR="00374571">
        <w:rPr>
          <w:rFonts w:ascii="Times New Roman" w:hAnsi="Times New Roman" w:cs="Times New Roman"/>
          <w:sz w:val="24"/>
        </w:rPr>
        <w:t xml:space="preserve"> nejen při něm </w:t>
      </w:r>
      <w:r w:rsidRPr="003B0D57">
        <w:rPr>
          <w:rFonts w:ascii="Times New Roman" w:hAnsi="Times New Roman" w:cs="Times New Roman"/>
          <w:sz w:val="24"/>
        </w:rPr>
        <w:t>vychází z užšího</w:t>
      </w:r>
      <w:r w:rsidR="00F554D6">
        <w:rPr>
          <w:rFonts w:ascii="Times New Roman" w:hAnsi="Times New Roman" w:cs="Times New Roman"/>
          <w:sz w:val="24"/>
        </w:rPr>
        <w:t xml:space="preserve"> pojetí testu subsidiarity, při </w:t>
      </w:r>
      <w:r w:rsidRPr="003B0D57">
        <w:rPr>
          <w:rFonts w:ascii="Times New Roman" w:hAnsi="Times New Roman" w:cs="Times New Roman"/>
          <w:sz w:val="24"/>
        </w:rPr>
        <w:t xml:space="preserve">čemž se opírá o dosavadní rozsudky SDEU. </w:t>
      </w:r>
      <w:r w:rsidR="007C2C69">
        <w:rPr>
          <w:rFonts w:ascii="Times New Roman" w:hAnsi="Times New Roman" w:cs="Times New Roman"/>
          <w:sz w:val="24"/>
        </w:rPr>
        <w:t>I samo f</w:t>
      </w:r>
      <w:r w:rsidR="00DF4119">
        <w:rPr>
          <w:rFonts w:ascii="Times New Roman" w:hAnsi="Times New Roman" w:cs="Times New Roman"/>
          <w:sz w:val="24"/>
        </w:rPr>
        <w:t>ungování systému včasného varování</w:t>
      </w:r>
      <w:r w:rsidR="007831F5">
        <w:rPr>
          <w:rFonts w:ascii="Times New Roman" w:hAnsi="Times New Roman" w:cs="Times New Roman"/>
          <w:sz w:val="24"/>
        </w:rPr>
        <w:t xml:space="preserve"> je tak ovlivňováno judikaturou vzniklou ještě před jeho</w:t>
      </w:r>
      <w:r w:rsidR="00B228B9">
        <w:rPr>
          <w:rFonts w:ascii="Times New Roman" w:hAnsi="Times New Roman" w:cs="Times New Roman"/>
          <w:sz w:val="24"/>
        </w:rPr>
        <w:t xml:space="preserve"> zakotvením do primárního práva</w:t>
      </w:r>
      <w:r w:rsidR="00E7211E">
        <w:rPr>
          <w:rFonts w:ascii="Times New Roman" w:hAnsi="Times New Roman" w:cs="Times New Roman"/>
          <w:sz w:val="24"/>
        </w:rPr>
        <w:t>.</w:t>
      </w:r>
    </w:p>
    <w:p w:rsidR="00076F51" w:rsidRDefault="00D42C22"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Parlamenty </w:t>
      </w:r>
      <w:r w:rsidR="004E2611">
        <w:rPr>
          <w:rFonts w:ascii="Times New Roman" w:hAnsi="Times New Roman" w:cs="Times New Roman"/>
          <w:sz w:val="24"/>
        </w:rPr>
        <w:t>naopak v odůvodněných stanoviscích</w:t>
      </w:r>
      <w:r w:rsidR="003B0D57" w:rsidRPr="003B0D57">
        <w:rPr>
          <w:rFonts w:ascii="Times New Roman" w:hAnsi="Times New Roman" w:cs="Times New Roman"/>
          <w:sz w:val="24"/>
        </w:rPr>
        <w:t xml:space="preserve"> ukazují příklon k širšímu konceptu testu subsidiarity</w:t>
      </w:r>
      <w:r w:rsidR="00924E75">
        <w:rPr>
          <w:rFonts w:ascii="Times New Roman" w:hAnsi="Times New Roman" w:cs="Times New Roman"/>
          <w:sz w:val="24"/>
        </w:rPr>
        <w:t xml:space="preserve"> a svou interpretací nahrazují</w:t>
      </w:r>
      <w:r w:rsidR="003B0D57" w:rsidRPr="003B0D57">
        <w:rPr>
          <w:rFonts w:ascii="Times New Roman" w:hAnsi="Times New Roman" w:cs="Times New Roman"/>
          <w:sz w:val="24"/>
        </w:rPr>
        <w:t xml:space="preserve"> např. vynechání zá</w:t>
      </w:r>
      <w:r w:rsidR="00F213D8">
        <w:rPr>
          <w:rFonts w:ascii="Times New Roman" w:hAnsi="Times New Roman" w:cs="Times New Roman"/>
          <w:sz w:val="24"/>
        </w:rPr>
        <w:t>sady proporcionality z úpravy systému včasného varování</w:t>
      </w:r>
      <w:r w:rsidR="00904128">
        <w:rPr>
          <w:rFonts w:ascii="Times New Roman" w:hAnsi="Times New Roman" w:cs="Times New Roman"/>
          <w:sz w:val="24"/>
        </w:rPr>
        <w:t>.</w:t>
      </w:r>
      <w:r w:rsidR="00522FD9">
        <w:rPr>
          <w:rFonts w:ascii="Times New Roman" w:hAnsi="Times New Roman" w:cs="Times New Roman"/>
          <w:sz w:val="24"/>
        </w:rPr>
        <w:t xml:space="preserve"> Často se vyjadřují i ke zvolenému právnímu základu.</w:t>
      </w:r>
      <w:r w:rsidR="00904128">
        <w:rPr>
          <w:rFonts w:ascii="Times New Roman" w:hAnsi="Times New Roman" w:cs="Times New Roman"/>
          <w:sz w:val="24"/>
        </w:rPr>
        <w:t xml:space="preserve"> My se i s ohledem na cíle a </w:t>
      </w:r>
      <w:r w:rsidR="009A2FA3">
        <w:rPr>
          <w:rFonts w:ascii="Times New Roman" w:hAnsi="Times New Roman" w:cs="Times New Roman"/>
          <w:sz w:val="24"/>
        </w:rPr>
        <w:t>důvody zavedení systému včasného varování</w:t>
      </w:r>
      <w:r w:rsidR="003B0D57" w:rsidRPr="003B0D57">
        <w:rPr>
          <w:rFonts w:ascii="Times New Roman" w:hAnsi="Times New Roman" w:cs="Times New Roman"/>
          <w:sz w:val="24"/>
        </w:rPr>
        <w:t xml:space="preserve"> k takovému širšímu přístupu přikláníme, když se ztotož</w:t>
      </w:r>
      <w:r w:rsidR="000010AE">
        <w:rPr>
          <w:rFonts w:ascii="Times New Roman" w:hAnsi="Times New Roman" w:cs="Times New Roman"/>
          <w:sz w:val="24"/>
        </w:rPr>
        <w:t>ňujeme např. s argumentem, že zásada subsidiarity</w:t>
      </w:r>
      <w:r w:rsidR="003B0D57" w:rsidRPr="003B0D57">
        <w:rPr>
          <w:rFonts w:ascii="Times New Roman" w:hAnsi="Times New Roman" w:cs="Times New Roman"/>
          <w:sz w:val="24"/>
        </w:rPr>
        <w:t xml:space="preserve"> v sobě zahrnuje i prvky proporcionality. Rovněž je třeba souhlasit s tím, že nemá-li EU pravomoc jednat, ne</w:t>
      </w:r>
      <w:r w:rsidR="002D35F2">
        <w:rPr>
          <w:rFonts w:ascii="Times New Roman" w:hAnsi="Times New Roman" w:cs="Times New Roman"/>
          <w:sz w:val="24"/>
        </w:rPr>
        <w:t>může být předmětný návrh</w:t>
      </w:r>
      <w:r w:rsidR="00BE346B">
        <w:rPr>
          <w:rFonts w:ascii="Times New Roman" w:hAnsi="Times New Roman" w:cs="Times New Roman"/>
          <w:sz w:val="24"/>
        </w:rPr>
        <w:t xml:space="preserve"> ani v souladu se zásadou subsidiarity</w:t>
      </w:r>
      <w:r w:rsidR="003B0D57" w:rsidRPr="003B0D57">
        <w:rPr>
          <w:rFonts w:ascii="Times New Roman" w:hAnsi="Times New Roman" w:cs="Times New Roman"/>
          <w:sz w:val="24"/>
        </w:rPr>
        <w:t>.</w:t>
      </w:r>
      <w:r w:rsidR="00790C96">
        <w:rPr>
          <w:rFonts w:ascii="Times New Roman" w:hAnsi="Times New Roman" w:cs="Times New Roman"/>
          <w:sz w:val="24"/>
        </w:rPr>
        <w:t xml:space="preserve"> </w:t>
      </w:r>
    </w:p>
    <w:p w:rsidR="00F86B88" w:rsidRDefault="00F86B88"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Rozdílný přístup, kdy Komise vychází z užšího pojetí testu subsidiarity, zatímco parlamenty se přiklání k širšímu konceptu</w:t>
      </w:r>
      <w:r w:rsidR="00362851">
        <w:rPr>
          <w:rFonts w:ascii="Times New Roman" w:hAnsi="Times New Roman" w:cs="Times New Roman"/>
          <w:sz w:val="24"/>
        </w:rPr>
        <w:t>, předpokládala i první</w:t>
      </w:r>
      <w:r w:rsidR="00847D0C">
        <w:rPr>
          <w:rFonts w:ascii="Times New Roman" w:hAnsi="Times New Roman" w:cs="Times New Roman"/>
          <w:sz w:val="24"/>
        </w:rPr>
        <w:t xml:space="preserve"> z hypotéz, která </w:t>
      </w:r>
      <w:r w:rsidR="00A75D7B">
        <w:rPr>
          <w:rFonts w:ascii="Times New Roman" w:hAnsi="Times New Roman" w:cs="Times New Roman"/>
          <w:sz w:val="24"/>
        </w:rPr>
        <w:t xml:space="preserve">tak </w:t>
      </w:r>
      <w:r w:rsidR="00847D0C">
        <w:rPr>
          <w:rFonts w:ascii="Times New Roman" w:hAnsi="Times New Roman" w:cs="Times New Roman"/>
          <w:sz w:val="24"/>
        </w:rPr>
        <w:t xml:space="preserve">byla potvrzena. </w:t>
      </w:r>
      <w:r>
        <w:rPr>
          <w:rFonts w:ascii="Times New Roman" w:hAnsi="Times New Roman" w:cs="Times New Roman"/>
          <w:sz w:val="24"/>
        </w:rPr>
        <w:t xml:space="preserve"> </w:t>
      </w:r>
    </w:p>
    <w:p w:rsidR="003B0D57" w:rsidRDefault="003001CC"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Z</w:t>
      </w:r>
      <w:r w:rsidR="003B0D57" w:rsidRPr="003B0D57">
        <w:rPr>
          <w:rFonts w:ascii="Times New Roman" w:hAnsi="Times New Roman" w:cs="Times New Roman"/>
          <w:sz w:val="24"/>
        </w:rPr>
        <w:t>abývali</w:t>
      </w:r>
      <w:r>
        <w:rPr>
          <w:rFonts w:ascii="Times New Roman" w:hAnsi="Times New Roman" w:cs="Times New Roman"/>
          <w:sz w:val="24"/>
        </w:rPr>
        <w:t xml:space="preserve"> jsme se</w:t>
      </w:r>
      <w:r w:rsidR="003B0D57" w:rsidRPr="003B0D57">
        <w:rPr>
          <w:rFonts w:ascii="Times New Roman" w:hAnsi="Times New Roman" w:cs="Times New Roman"/>
          <w:sz w:val="24"/>
        </w:rPr>
        <w:t xml:space="preserve"> i aktivitou jednotlivých parlamentů.  V případě nezájmu v</w:t>
      </w:r>
      <w:r w:rsidR="00D01D0D">
        <w:rPr>
          <w:rFonts w:ascii="Times New Roman" w:hAnsi="Times New Roman" w:cs="Times New Roman"/>
          <w:sz w:val="24"/>
        </w:rPr>
        <w:t>ětšího počtu z nich by totiž systém včasného varování</w:t>
      </w:r>
      <w:r w:rsidR="003B0D57" w:rsidRPr="003B0D57">
        <w:rPr>
          <w:rFonts w:ascii="Times New Roman" w:hAnsi="Times New Roman" w:cs="Times New Roman"/>
          <w:sz w:val="24"/>
        </w:rPr>
        <w:t xml:space="preserve"> mohl bý</w:t>
      </w:r>
      <w:r w:rsidR="00F24DE1">
        <w:rPr>
          <w:rFonts w:ascii="Times New Roman" w:hAnsi="Times New Roman" w:cs="Times New Roman"/>
          <w:sz w:val="24"/>
        </w:rPr>
        <w:t>t do značné míry ochromen. M</w:t>
      </w:r>
      <w:r w:rsidR="003B0D57" w:rsidRPr="003B0D57">
        <w:rPr>
          <w:rFonts w:ascii="Times New Roman" w:hAnsi="Times New Roman" w:cs="Times New Roman"/>
          <w:sz w:val="24"/>
        </w:rPr>
        <w:t>ezi parlamenty lze identifikovat viditelné rozdíly</w:t>
      </w:r>
      <w:r w:rsidR="00D82685">
        <w:rPr>
          <w:rFonts w:ascii="Times New Roman" w:hAnsi="Times New Roman" w:cs="Times New Roman"/>
          <w:sz w:val="24"/>
        </w:rPr>
        <w:t>, některé se zapojují jen mini</w:t>
      </w:r>
      <w:r w:rsidR="00A33713">
        <w:rPr>
          <w:rFonts w:ascii="Times New Roman" w:hAnsi="Times New Roman" w:cs="Times New Roman"/>
          <w:sz w:val="24"/>
        </w:rPr>
        <w:t>málně</w:t>
      </w:r>
      <w:r w:rsidR="003B0D57" w:rsidRPr="003B0D57">
        <w:rPr>
          <w:rFonts w:ascii="Times New Roman" w:hAnsi="Times New Roman" w:cs="Times New Roman"/>
          <w:sz w:val="24"/>
        </w:rPr>
        <w:t>. Možným řešením by mohlo být povinné zapojení parlamentů do kont</w:t>
      </w:r>
      <w:r w:rsidR="00691991">
        <w:rPr>
          <w:rFonts w:ascii="Times New Roman" w:hAnsi="Times New Roman" w:cs="Times New Roman"/>
          <w:sz w:val="24"/>
        </w:rPr>
        <w:t>roly návrhů, kdy by tyto</w:t>
      </w:r>
      <w:r w:rsidR="003B0D57" w:rsidRPr="003B0D57">
        <w:rPr>
          <w:rFonts w:ascii="Times New Roman" w:hAnsi="Times New Roman" w:cs="Times New Roman"/>
          <w:sz w:val="24"/>
        </w:rPr>
        <w:t xml:space="preserve"> obliga</w:t>
      </w:r>
      <w:r w:rsidR="00315A59">
        <w:rPr>
          <w:rFonts w:ascii="Times New Roman" w:hAnsi="Times New Roman" w:cs="Times New Roman"/>
          <w:sz w:val="24"/>
        </w:rPr>
        <w:t>torně zasílaly buď negativní odůvodněné stanovisko</w:t>
      </w:r>
      <w:r w:rsidR="003B0D57" w:rsidRPr="003B0D57">
        <w:rPr>
          <w:rFonts w:ascii="Times New Roman" w:hAnsi="Times New Roman" w:cs="Times New Roman"/>
          <w:sz w:val="24"/>
        </w:rPr>
        <w:t xml:space="preserve"> nebo naopak </w:t>
      </w:r>
      <w:r w:rsidR="001E6DEC">
        <w:rPr>
          <w:rFonts w:ascii="Times New Roman" w:hAnsi="Times New Roman" w:cs="Times New Roman"/>
          <w:sz w:val="24"/>
        </w:rPr>
        <w:t>takové</w:t>
      </w:r>
      <w:r w:rsidR="003B0D57" w:rsidRPr="003B0D57">
        <w:rPr>
          <w:rFonts w:ascii="Times New Roman" w:hAnsi="Times New Roman" w:cs="Times New Roman"/>
          <w:sz w:val="24"/>
        </w:rPr>
        <w:t xml:space="preserve"> deklarující, že neshledaly nesoul</w:t>
      </w:r>
      <w:r w:rsidR="004A7125">
        <w:rPr>
          <w:rFonts w:ascii="Times New Roman" w:hAnsi="Times New Roman" w:cs="Times New Roman"/>
          <w:sz w:val="24"/>
        </w:rPr>
        <w:t>ad. Případnému zdržení</w:t>
      </w:r>
      <w:r w:rsidR="00A43BC3">
        <w:rPr>
          <w:rFonts w:ascii="Times New Roman" w:hAnsi="Times New Roman" w:cs="Times New Roman"/>
          <w:sz w:val="24"/>
        </w:rPr>
        <w:t xml:space="preserve"> by mohl být</w:t>
      </w:r>
      <w:r w:rsidR="003B0D57" w:rsidRPr="003B0D57">
        <w:rPr>
          <w:rFonts w:ascii="Times New Roman" w:hAnsi="Times New Roman" w:cs="Times New Roman"/>
          <w:sz w:val="24"/>
        </w:rPr>
        <w:t xml:space="preserve"> přizpůsoben systém počítání hlasů.</w:t>
      </w:r>
      <w:r w:rsidR="006339A8">
        <w:rPr>
          <w:rFonts w:ascii="Times New Roman" w:hAnsi="Times New Roman" w:cs="Times New Roman"/>
          <w:sz w:val="24"/>
        </w:rPr>
        <w:t xml:space="preserve"> R</w:t>
      </w:r>
      <w:r w:rsidR="006339A8" w:rsidRPr="003B0D57">
        <w:rPr>
          <w:rFonts w:ascii="Times New Roman" w:hAnsi="Times New Roman" w:cs="Times New Roman"/>
          <w:sz w:val="24"/>
        </w:rPr>
        <w:t>ezervy lze stále nalé</w:t>
      </w:r>
      <w:r w:rsidR="008A07D6">
        <w:rPr>
          <w:rFonts w:ascii="Times New Roman" w:hAnsi="Times New Roman" w:cs="Times New Roman"/>
          <w:sz w:val="24"/>
        </w:rPr>
        <w:t>zt i v meziparlamentní spolupráci</w:t>
      </w:r>
      <w:r w:rsidR="006339A8" w:rsidRPr="003B0D57">
        <w:rPr>
          <w:rFonts w:ascii="Times New Roman" w:hAnsi="Times New Roman" w:cs="Times New Roman"/>
          <w:sz w:val="24"/>
        </w:rPr>
        <w:t>, kde doporučujeme soustředit se zejm</w:t>
      </w:r>
      <w:r w:rsidR="00521AC1">
        <w:rPr>
          <w:rFonts w:ascii="Times New Roman" w:hAnsi="Times New Roman" w:cs="Times New Roman"/>
          <w:sz w:val="24"/>
        </w:rPr>
        <w:t xml:space="preserve">éna na </w:t>
      </w:r>
      <w:r w:rsidR="006339A8" w:rsidRPr="003B0D57">
        <w:rPr>
          <w:rFonts w:ascii="Times New Roman" w:hAnsi="Times New Roman" w:cs="Times New Roman"/>
          <w:sz w:val="24"/>
        </w:rPr>
        <w:t>včasné využívání databáze IPEX.</w:t>
      </w:r>
    </w:p>
    <w:p w:rsidR="00A26050" w:rsidRDefault="00720F63" w:rsidP="0010603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Odpovědi Komise </w:t>
      </w:r>
      <w:r w:rsidR="009E6690">
        <w:rPr>
          <w:rFonts w:ascii="Times New Roman" w:hAnsi="Times New Roman" w:cs="Times New Roman"/>
          <w:sz w:val="24"/>
        </w:rPr>
        <w:t xml:space="preserve">na odůvodněná stanoviska </w:t>
      </w:r>
      <w:r w:rsidR="009E2E2A">
        <w:rPr>
          <w:rFonts w:ascii="Times New Roman" w:hAnsi="Times New Roman" w:cs="Times New Roman"/>
          <w:sz w:val="24"/>
        </w:rPr>
        <w:t>jsou zpravidla stručné. P</w:t>
      </w:r>
      <w:r w:rsidR="00082EAC">
        <w:rPr>
          <w:rFonts w:ascii="Times New Roman" w:hAnsi="Times New Roman" w:cs="Times New Roman"/>
          <w:sz w:val="24"/>
        </w:rPr>
        <w:t xml:space="preserve">odobně jako odůvodnění návrhů </w:t>
      </w:r>
      <w:r>
        <w:rPr>
          <w:rFonts w:ascii="Times New Roman" w:hAnsi="Times New Roman" w:cs="Times New Roman"/>
          <w:sz w:val="24"/>
        </w:rPr>
        <w:t>jsou i ony ze strany parlamentů kritizovány.</w:t>
      </w:r>
      <w:r w:rsidR="008B5624">
        <w:rPr>
          <w:rFonts w:ascii="Times New Roman" w:hAnsi="Times New Roman" w:cs="Times New Roman"/>
          <w:sz w:val="24"/>
        </w:rPr>
        <w:t xml:space="preserve"> </w:t>
      </w:r>
      <w:r w:rsidR="00CD5D3A">
        <w:rPr>
          <w:rFonts w:ascii="Times New Roman" w:hAnsi="Times New Roman" w:cs="Times New Roman"/>
          <w:sz w:val="24"/>
        </w:rPr>
        <w:t xml:space="preserve">Pokud jde o dopad systému </w:t>
      </w:r>
      <w:r w:rsidR="00CD5D3A">
        <w:rPr>
          <w:rFonts w:ascii="Times New Roman" w:hAnsi="Times New Roman" w:cs="Times New Roman"/>
          <w:sz w:val="24"/>
        </w:rPr>
        <w:lastRenderedPageBreak/>
        <w:t>včasného varování</w:t>
      </w:r>
      <w:r w:rsidR="0008468A">
        <w:rPr>
          <w:rFonts w:ascii="Times New Roman" w:hAnsi="Times New Roman" w:cs="Times New Roman"/>
          <w:sz w:val="24"/>
        </w:rPr>
        <w:t xml:space="preserve"> na legislativní proces</w:t>
      </w:r>
      <w:r w:rsidR="00CE2F5E">
        <w:rPr>
          <w:rFonts w:ascii="Times New Roman" w:hAnsi="Times New Roman" w:cs="Times New Roman"/>
          <w:sz w:val="24"/>
        </w:rPr>
        <w:t xml:space="preserve">, </w:t>
      </w:r>
      <w:r w:rsidR="00701D2D">
        <w:rPr>
          <w:rFonts w:ascii="Times New Roman" w:hAnsi="Times New Roman" w:cs="Times New Roman"/>
          <w:sz w:val="24"/>
        </w:rPr>
        <w:t>tak např.</w:t>
      </w:r>
      <w:r w:rsidR="003E14C8">
        <w:rPr>
          <w:rFonts w:ascii="Times New Roman" w:hAnsi="Times New Roman" w:cs="Times New Roman"/>
          <w:sz w:val="24"/>
        </w:rPr>
        <w:t xml:space="preserve"> z</w:t>
      </w:r>
      <w:r w:rsidR="008938BD">
        <w:rPr>
          <w:rFonts w:ascii="Times New Roman" w:hAnsi="Times New Roman" w:cs="Times New Roman"/>
          <w:sz w:val="24"/>
        </w:rPr>
        <w:t xml:space="preserve"> </w:t>
      </w:r>
      <w:r w:rsidR="00CE2F5E">
        <w:rPr>
          <w:rFonts w:ascii="Times New Roman" w:hAnsi="Times New Roman" w:cs="Times New Roman"/>
          <w:sz w:val="24"/>
        </w:rPr>
        <w:t>přehled</w:t>
      </w:r>
      <w:r w:rsidR="003E14C8">
        <w:rPr>
          <w:rFonts w:ascii="Times New Roman" w:hAnsi="Times New Roman" w:cs="Times New Roman"/>
          <w:sz w:val="24"/>
        </w:rPr>
        <w:t xml:space="preserve">u vypracovaného </w:t>
      </w:r>
      <w:proofErr w:type="spellStart"/>
      <w:r w:rsidR="003E14C8">
        <w:rPr>
          <w:rFonts w:ascii="Times New Roman" w:hAnsi="Times New Roman" w:cs="Times New Roman"/>
          <w:sz w:val="24"/>
        </w:rPr>
        <w:t>Grincem</w:t>
      </w:r>
      <w:proofErr w:type="spellEnd"/>
      <w:r w:rsidR="003E14C8">
        <w:rPr>
          <w:rFonts w:ascii="Times New Roman" w:hAnsi="Times New Roman" w:cs="Times New Roman"/>
          <w:sz w:val="24"/>
        </w:rPr>
        <w:t xml:space="preserve"> vyplývá,</w:t>
      </w:r>
      <w:r w:rsidR="00B85787">
        <w:rPr>
          <w:rFonts w:ascii="Times New Roman" w:hAnsi="Times New Roman" w:cs="Times New Roman"/>
          <w:sz w:val="24"/>
        </w:rPr>
        <w:t xml:space="preserve"> že i v případě většího počtu odůvodněných stanovisek</w:t>
      </w:r>
      <w:r w:rsidR="003E14C8">
        <w:rPr>
          <w:rFonts w:ascii="Times New Roman" w:hAnsi="Times New Roman" w:cs="Times New Roman"/>
          <w:sz w:val="24"/>
        </w:rPr>
        <w:t xml:space="preserve"> dochází jen málo</w:t>
      </w:r>
      <w:r w:rsidR="002908BF">
        <w:rPr>
          <w:rFonts w:ascii="Times New Roman" w:hAnsi="Times New Roman" w:cs="Times New Roman"/>
          <w:sz w:val="24"/>
        </w:rPr>
        <w:t>kdy</w:t>
      </w:r>
      <w:r w:rsidR="003E14C8">
        <w:rPr>
          <w:rFonts w:ascii="Times New Roman" w:hAnsi="Times New Roman" w:cs="Times New Roman"/>
          <w:sz w:val="24"/>
        </w:rPr>
        <w:t xml:space="preserve"> ke stažení návrhu. </w:t>
      </w:r>
      <w:r w:rsidR="002D5BA4">
        <w:rPr>
          <w:rFonts w:ascii="Times New Roman" w:hAnsi="Times New Roman" w:cs="Times New Roman"/>
          <w:sz w:val="24"/>
        </w:rPr>
        <w:t>Vhodné je vyzdvihnout, že d</w:t>
      </w:r>
      <w:r w:rsidR="00FF1F77">
        <w:rPr>
          <w:rFonts w:ascii="Times New Roman" w:hAnsi="Times New Roman" w:cs="Times New Roman"/>
          <w:sz w:val="24"/>
        </w:rPr>
        <w:t>ojde-li ke stažení návrhu, Komise ve svých vyjádřeních zásadně ani náznakem nepřipouští nesoulad se zásadou subsidiarity</w:t>
      </w:r>
      <w:r w:rsidR="008E1860">
        <w:rPr>
          <w:rFonts w:ascii="Times New Roman" w:hAnsi="Times New Roman" w:cs="Times New Roman"/>
          <w:sz w:val="24"/>
        </w:rPr>
        <w:t xml:space="preserve">. </w:t>
      </w:r>
      <w:r w:rsidR="00E56153">
        <w:rPr>
          <w:rFonts w:ascii="Times New Roman" w:hAnsi="Times New Roman" w:cs="Times New Roman"/>
          <w:sz w:val="24"/>
        </w:rPr>
        <w:t xml:space="preserve">Také </w:t>
      </w:r>
      <w:r w:rsidR="00860A34">
        <w:rPr>
          <w:rFonts w:ascii="Times New Roman" w:hAnsi="Times New Roman" w:cs="Times New Roman"/>
          <w:sz w:val="24"/>
        </w:rPr>
        <w:t xml:space="preserve">ale </w:t>
      </w:r>
      <w:r w:rsidR="00E56153">
        <w:rPr>
          <w:rFonts w:ascii="Times New Roman" w:hAnsi="Times New Roman" w:cs="Times New Roman"/>
          <w:sz w:val="24"/>
        </w:rPr>
        <w:t>připomeňme, že ve všech případech byly p</w:t>
      </w:r>
      <w:r w:rsidR="00787E83">
        <w:rPr>
          <w:rFonts w:ascii="Times New Roman" w:hAnsi="Times New Roman" w:cs="Times New Roman"/>
          <w:sz w:val="24"/>
        </w:rPr>
        <w:t>arlamenty, které řádně vydaly odůvodněné stanovisko</w:t>
      </w:r>
      <w:r w:rsidR="00BB38E8">
        <w:rPr>
          <w:rFonts w:ascii="Times New Roman" w:hAnsi="Times New Roman" w:cs="Times New Roman"/>
          <w:sz w:val="24"/>
        </w:rPr>
        <w:t>,</w:t>
      </w:r>
      <w:r w:rsidR="00E56153">
        <w:rPr>
          <w:rFonts w:ascii="Times New Roman" w:hAnsi="Times New Roman" w:cs="Times New Roman"/>
          <w:sz w:val="24"/>
        </w:rPr>
        <w:t xml:space="preserve"> v</w:t>
      </w:r>
      <w:r w:rsidR="0073244F">
        <w:rPr>
          <w:rFonts w:ascii="Times New Roman" w:hAnsi="Times New Roman" w:cs="Times New Roman"/>
          <w:sz w:val="24"/>
        </w:rPr>
        <w:t> </w:t>
      </w:r>
      <w:r w:rsidR="00E56153">
        <w:rPr>
          <w:rFonts w:ascii="Times New Roman" w:hAnsi="Times New Roman" w:cs="Times New Roman"/>
          <w:sz w:val="24"/>
        </w:rPr>
        <w:t>menšině</w:t>
      </w:r>
      <w:r w:rsidR="00F538B0">
        <w:rPr>
          <w:rFonts w:ascii="Times New Roman" w:hAnsi="Times New Roman" w:cs="Times New Roman"/>
          <w:sz w:val="24"/>
        </w:rPr>
        <w:t xml:space="preserve">. </w:t>
      </w:r>
      <w:r w:rsidR="008F32C7">
        <w:rPr>
          <w:rFonts w:ascii="Times New Roman" w:hAnsi="Times New Roman" w:cs="Times New Roman"/>
          <w:sz w:val="24"/>
        </w:rPr>
        <w:t>D</w:t>
      </w:r>
      <w:r w:rsidR="005E7E9F">
        <w:rPr>
          <w:rFonts w:ascii="Times New Roman" w:hAnsi="Times New Roman" w:cs="Times New Roman"/>
          <w:sz w:val="24"/>
        </w:rPr>
        <w:t>osavadní d</w:t>
      </w:r>
      <w:r w:rsidR="008F32C7">
        <w:rPr>
          <w:rFonts w:ascii="Times New Roman" w:hAnsi="Times New Roman" w:cs="Times New Roman"/>
          <w:sz w:val="24"/>
        </w:rPr>
        <w:t>opad odůvodněných stanovisek lze označit</w:t>
      </w:r>
      <w:r w:rsidR="0073244F">
        <w:rPr>
          <w:rFonts w:ascii="Times New Roman" w:hAnsi="Times New Roman" w:cs="Times New Roman"/>
          <w:sz w:val="24"/>
        </w:rPr>
        <w:t xml:space="preserve"> jako nevelký.</w:t>
      </w:r>
    </w:p>
    <w:p w:rsidR="003B0D57" w:rsidRPr="003B0D57" w:rsidRDefault="009225B3" w:rsidP="00106039">
      <w:pPr>
        <w:spacing w:after="0" w:line="360" w:lineRule="auto"/>
        <w:ind w:firstLine="708"/>
        <w:jc w:val="both"/>
        <w:rPr>
          <w:rFonts w:ascii="Times New Roman" w:hAnsi="Times New Roman" w:cs="Times New Roman"/>
          <w:sz w:val="24"/>
        </w:rPr>
      </w:pPr>
      <w:r w:rsidRPr="00106039">
        <w:rPr>
          <w:rFonts w:ascii="Times New Roman" w:hAnsi="Times New Roman" w:cs="Times New Roman"/>
          <w:sz w:val="24"/>
        </w:rPr>
        <w:t>Bližší pohled na fungování</w:t>
      </w:r>
      <w:r w:rsidR="002D0616">
        <w:rPr>
          <w:rFonts w:ascii="Times New Roman" w:hAnsi="Times New Roman" w:cs="Times New Roman"/>
          <w:sz w:val="24"/>
        </w:rPr>
        <w:t xml:space="preserve"> systému včasného varování</w:t>
      </w:r>
      <w:r w:rsidRPr="009562C1">
        <w:rPr>
          <w:rFonts w:ascii="Times New Roman" w:hAnsi="Times New Roman" w:cs="Times New Roman"/>
          <w:sz w:val="24"/>
        </w:rPr>
        <w:t xml:space="preserve"> přinesla pátá</w:t>
      </w:r>
      <w:r w:rsidRPr="0051167B">
        <w:rPr>
          <w:rFonts w:ascii="Times New Roman" w:hAnsi="Times New Roman" w:cs="Times New Roman"/>
          <w:sz w:val="24"/>
        </w:rPr>
        <w:t xml:space="preserve"> kapitola, kde</w:t>
      </w:r>
      <w:r w:rsidR="000B08E8" w:rsidRPr="0051167B">
        <w:rPr>
          <w:rFonts w:ascii="Times New Roman" w:hAnsi="Times New Roman" w:cs="Times New Roman"/>
          <w:sz w:val="24"/>
        </w:rPr>
        <w:t xml:space="preserve"> jsme zkoumali </w:t>
      </w:r>
      <w:r w:rsidR="00AD7F30">
        <w:rPr>
          <w:rFonts w:ascii="Times New Roman" w:hAnsi="Times New Roman" w:cs="Times New Roman"/>
          <w:sz w:val="24"/>
        </w:rPr>
        <w:t>udělené žluté karty</w:t>
      </w:r>
      <w:r w:rsidR="003B0D57" w:rsidRPr="0051167B">
        <w:rPr>
          <w:rFonts w:ascii="Times New Roman" w:hAnsi="Times New Roman" w:cs="Times New Roman"/>
          <w:sz w:val="24"/>
        </w:rPr>
        <w:t>.</w:t>
      </w:r>
      <w:r w:rsidR="003B0D57" w:rsidRPr="003B0D57">
        <w:rPr>
          <w:rFonts w:ascii="Times New Roman" w:hAnsi="Times New Roman" w:cs="Times New Roman"/>
          <w:sz w:val="24"/>
        </w:rPr>
        <w:t xml:space="preserve"> První mířila proti </w:t>
      </w:r>
      <w:r w:rsidR="0058282E">
        <w:rPr>
          <w:rFonts w:ascii="Times New Roman" w:hAnsi="Times New Roman" w:cs="Times New Roman"/>
          <w:sz w:val="24"/>
        </w:rPr>
        <w:t>návrhu nařízení Rady</w:t>
      </w:r>
      <w:r w:rsidR="0058282E" w:rsidRPr="00DA4710">
        <w:rPr>
          <w:rFonts w:ascii="Times New Roman" w:hAnsi="Times New Roman" w:cs="Times New Roman"/>
          <w:sz w:val="24"/>
        </w:rPr>
        <w:t xml:space="preserve"> </w:t>
      </w:r>
      <w:r w:rsidR="003B0D57" w:rsidRPr="003B0D57">
        <w:rPr>
          <w:rFonts w:ascii="Times New Roman" w:hAnsi="Times New Roman" w:cs="Times New Roman"/>
          <w:sz w:val="24"/>
        </w:rPr>
        <w:t>o výkonu práva na kolektivní akci v rámci svobody usazování a volného pohybu</w:t>
      </w:r>
      <w:r w:rsidR="00185717">
        <w:rPr>
          <w:rFonts w:ascii="Times New Roman" w:hAnsi="Times New Roman" w:cs="Times New Roman"/>
          <w:sz w:val="24"/>
        </w:rPr>
        <w:t xml:space="preserve"> služeb. Parlamenty vydaly 12 odůvodněných stanovisek</w:t>
      </w:r>
      <w:r w:rsidR="003B0D57" w:rsidRPr="003B0D57">
        <w:rPr>
          <w:rFonts w:ascii="Times New Roman" w:hAnsi="Times New Roman" w:cs="Times New Roman"/>
          <w:sz w:val="24"/>
        </w:rPr>
        <w:t>. Potvrdil se jejich širší přístup k posuzování návrhů, když argumentovaly např. i proti zvolenému právnímu základu, kterým byla doložka flexibility. Komise sice tent</w:t>
      </w:r>
      <w:r w:rsidR="00777121">
        <w:rPr>
          <w:rFonts w:ascii="Times New Roman" w:hAnsi="Times New Roman" w:cs="Times New Roman"/>
          <w:sz w:val="24"/>
        </w:rPr>
        <w:t>o návrh stáhla, ale rozpor se zásadou subsidiarity</w:t>
      </w:r>
      <w:r w:rsidR="003B0D57" w:rsidRPr="003B0D57">
        <w:rPr>
          <w:rFonts w:ascii="Times New Roman" w:hAnsi="Times New Roman" w:cs="Times New Roman"/>
          <w:sz w:val="24"/>
        </w:rPr>
        <w:t xml:space="preserve"> neuznala. Stažení odůvodnila nedostatkem nezbytné politické podpory umožňující přijetí návrhu v EP a Radě, kde byla potřeba jednomyslnost. </w:t>
      </w:r>
    </w:p>
    <w:p w:rsidR="003B0D57" w:rsidRPr="003B0D57" w:rsidRDefault="001A2936" w:rsidP="00595722">
      <w:pPr>
        <w:spacing w:after="0" w:line="360" w:lineRule="auto"/>
        <w:ind w:firstLine="708"/>
        <w:jc w:val="both"/>
        <w:rPr>
          <w:rFonts w:ascii="Times New Roman" w:hAnsi="Times New Roman" w:cs="Times New Roman"/>
          <w:sz w:val="24"/>
        </w:rPr>
      </w:pPr>
      <w:r>
        <w:rPr>
          <w:rFonts w:ascii="Times New Roman" w:hAnsi="Times New Roman" w:cs="Times New Roman"/>
          <w:sz w:val="24"/>
        </w:rPr>
        <w:t>Druhou žlutou kartu</w:t>
      </w:r>
      <w:r w:rsidR="003B0D57" w:rsidRPr="009562C1">
        <w:rPr>
          <w:rFonts w:ascii="Times New Roman" w:hAnsi="Times New Roman" w:cs="Times New Roman"/>
          <w:sz w:val="24"/>
        </w:rPr>
        <w:t xml:space="preserve"> vystavily</w:t>
      </w:r>
      <w:r w:rsidR="003B0D57" w:rsidRPr="003B0D57">
        <w:rPr>
          <w:rFonts w:ascii="Times New Roman" w:hAnsi="Times New Roman" w:cs="Times New Roman"/>
          <w:sz w:val="24"/>
        </w:rPr>
        <w:t xml:space="preserve"> parlamenty </w:t>
      </w:r>
      <w:r w:rsidR="00C26288">
        <w:rPr>
          <w:rFonts w:ascii="Times New Roman" w:hAnsi="Times New Roman" w:cs="Times New Roman"/>
          <w:sz w:val="24"/>
        </w:rPr>
        <w:t>návrhu nařízení Rady</w:t>
      </w:r>
      <w:r w:rsidR="00C26288" w:rsidRPr="00DA4710">
        <w:rPr>
          <w:rFonts w:ascii="Times New Roman" w:hAnsi="Times New Roman" w:cs="Times New Roman"/>
          <w:sz w:val="24"/>
        </w:rPr>
        <w:t xml:space="preserve"> </w:t>
      </w:r>
      <w:r w:rsidR="003B0D57" w:rsidRPr="003B0D57">
        <w:rPr>
          <w:rFonts w:ascii="Times New Roman" w:hAnsi="Times New Roman" w:cs="Times New Roman"/>
          <w:sz w:val="24"/>
        </w:rPr>
        <w:t>o zřízení Úřadu evropského veřejného žalobce. Šlo o návrh z oblasti PSBP, právním základem</w:t>
      </w:r>
      <w:r w:rsidR="00503E86">
        <w:rPr>
          <w:rFonts w:ascii="Times New Roman" w:hAnsi="Times New Roman" w:cs="Times New Roman"/>
          <w:sz w:val="24"/>
        </w:rPr>
        <w:t xml:space="preserve"> byl čl. 86 SFEU, k vystavení žluté karty</w:t>
      </w:r>
      <w:r w:rsidR="003B0D57" w:rsidRPr="003B0D57">
        <w:rPr>
          <w:rFonts w:ascii="Times New Roman" w:hAnsi="Times New Roman" w:cs="Times New Roman"/>
          <w:sz w:val="24"/>
        </w:rPr>
        <w:t xml:space="preserve"> byla třeba čtvrtina hl</w:t>
      </w:r>
      <w:r w:rsidR="0046336B">
        <w:rPr>
          <w:rFonts w:ascii="Times New Roman" w:hAnsi="Times New Roman" w:cs="Times New Roman"/>
          <w:sz w:val="24"/>
        </w:rPr>
        <w:t xml:space="preserve">asů </w:t>
      </w:r>
      <w:r w:rsidR="00503E86">
        <w:rPr>
          <w:rFonts w:ascii="Times New Roman" w:hAnsi="Times New Roman" w:cs="Times New Roman"/>
          <w:sz w:val="24"/>
        </w:rPr>
        <w:t>v rámci systému včasného varování</w:t>
      </w:r>
      <w:r w:rsidR="0046336B">
        <w:rPr>
          <w:rFonts w:ascii="Times New Roman" w:hAnsi="Times New Roman" w:cs="Times New Roman"/>
          <w:sz w:val="24"/>
        </w:rPr>
        <w:t>. Parlamenty v odůvodněných stanoviscích</w:t>
      </w:r>
      <w:r w:rsidR="003B0D57" w:rsidRPr="003B0D57">
        <w:rPr>
          <w:rFonts w:ascii="Times New Roman" w:hAnsi="Times New Roman" w:cs="Times New Roman"/>
          <w:sz w:val="24"/>
        </w:rPr>
        <w:t xml:space="preserve"> tvrdily, že existující spolupráce a mechanis</w:t>
      </w:r>
      <w:r w:rsidR="000363AB">
        <w:rPr>
          <w:rFonts w:ascii="Times New Roman" w:hAnsi="Times New Roman" w:cs="Times New Roman"/>
          <w:sz w:val="24"/>
        </w:rPr>
        <w:t>my na úrovni ČS jsou uspokojivé. Z</w:t>
      </w:r>
      <w:r w:rsidR="003B0D57" w:rsidRPr="003B0D57">
        <w:rPr>
          <w:rFonts w:ascii="Times New Roman" w:hAnsi="Times New Roman" w:cs="Times New Roman"/>
          <w:sz w:val="24"/>
        </w:rPr>
        <w:t>pochybňovaly i přidanou hodnotu představeného unijního řešení. Komise se ovšem v tomto případě rozhodla návrh zachovat, a to pravděpodobně i s ohledem na případné snazší navázá</w:t>
      </w:r>
      <w:r w:rsidR="00376690">
        <w:rPr>
          <w:rFonts w:ascii="Times New Roman" w:hAnsi="Times New Roman" w:cs="Times New Roman"/>
          <w:sz w:val="24"/>
        </w:rPr>
        <w:t>ní posílené spolupráce, jak je upraveno v</w:t>
      </w:r>
      <w:r w:rsidR="003B0D57" w:rsidRPr="003B0D57">
        <w:rPr>
          <w:rFonts w:ascii="Times New Roman" w:hAnsi="Times New Roman" w:cs="Times New Roman"/>
          <w:sz w:val="24"/>
        </w:rPr>
        <w:t xml:space="preserve"> čl. 86 SFEU.</w:t>
      </w:r>
    </w:p>
    <w:p w:rsidR="00595722" w:rsidRDefault="00C34810" w:rsidP="00595722">
      <w:pPr>
        <w:spacing w:after="0" w:line="360" w:lineRule="auto"/>
        <w:ind w:firstLine="708"/>
        <w:jc w:val="both"/>
        <w:rPr>
          <w:rFonts w:ascii="Times New Roman" w:hAnsi="Times New Roman" w:cs="Times New Roman"/>
          <w:sz w:val="24"/>
        </w:rPr>
      </w:pPr>
      <w:r>
        <w:rPr>
          <w:rFonts w:ascii="Times New Roman" w:hAnsi="Times New Roman" w:cs="Times New Roman"/>
          <w:sz w:val="24"/>
        </w:rPr>
        <w:t>Třetí žlutá karta</w:t>
      </w:r>
      <w:r w:rsidR="003B0D57" w:rsidRPr="006204F9">
        <w:rPr>
          <w:rFonts w:ascii="Times New Roman" w:hAnsi="Times New Roman" w:cs="Times New Roman"/>
          <w:sz w:val="24"/>
        </w:rPr>
        <w:t xml:space="preserve"> byla vydána</w:t>
      </w:r>
      <w:r w:rsidR="003B0D57" w:rsidRPr="003B0D57">
        <w:rPr>
          <w:rFonts w:ascii="Times New Roman" w:hAnsi="Times New Roman" w:cs="Times New Roman"/>
          <w:sz w:val="24"/>
        </w:rPr>
        <w:t xml:space="preserve"> </w:t>
      </w:r>
      <w:r w:rsidR="006204F9">
        <w:rPr>
          <w:rFonts w:ascii="Times New Roman" w:hAnsi="Times New Roman" w:cs="Times New Roman"/>
          <w:sz w:val="24"/>
        </w:rPr>
        <w:t>návrhu směrnice EP a Rady</w:t>
      </w:r>
      <w:r w:rsidR="0001457A">
        <w:rPr>
          <w:rFonts w:ascii="Times New Roman" w:hAnsi="Times New Roman" w:cs="Times New Roman"/>
          <w:sz w:val="24"/>
        </w:rPr>
        <w:t xml:space="preserve"> týkající</w:t>
      </w:r>
      <w:r w:rsidR="006B7371">
        <w:rPr>
          <w:rFonts w:ascii="Times New Roman" w:hAnsi="Times New Roman" w:cs="Times New Roman"/>
          <w:sz w:val="24"/>
        </w:rPr>
        <w:t>ho</w:t>
      </w:r>
      <w:r w:rsidR="0001457A">
        <w:rPr>
          <w:rFonts w:ascii="Times New Roman" w:hAnsi="Times New Roman" w:cs="Times New Roman"/>
          <w:sz w:val="24"/>
        </w:rPr>
        <w:t xml:space="preserve"> se změn v oblasti</w:t>
      </w:r>
      <w:r w:rsidR="003B0D57" w:rsidRPr="003B0D57">
        <w:rPr>
          <w:rFonts w:ascii="Times New Roman" w:hAnsi="Times New Roman" w:cs="Times New Roman"/>
          <w:sz w:val="24"/>
        </w:rPr>
        <w:t xml:space="preserve"> vysílání pracovníků v rámci poskytování služeb. Komise se, i s ohledem na to, že jde o změnu směrnice, omezila na velmi</w:t>
      </w:r>
      <w:r w:rsidR="00BC2A04">
        <w:rPr>
          <w:rFonts w:ascii="Times New Roman" w:hAnsi="Times New Roman" w:cs="Times New Roman"/>
          <w:sz w:val="24"/>
        </w:rPr>
        <w:t xml:space="preserve"> strohé odůvodnění z hlediska zásady subsidiarity</w:t>
      </w:r>
      <w:r w:rsidR="003B0D57" w:rsidRPr="003B0D57">
        <w:rPr>
          <w:rFonts w:ascii="Times New Roman" w:hAnsi="Times New Roman" w:cs="Times New Roman"/>
          <w:sz w:val="24"/>
        </w:rPr>
        <w:t xml:space="preserve">, což parlamenty hojně namítaly. Jinak v zásadě obsahově </w:t>
      </w:r>
      <w:r w:rsidR="005B5E29">
        <w:rPr>
          <w:rFonts w:ascii="Times New Roman" w:hAnsi="Times New Roman" w:cs="Times New Roman"/>
          <w:sz w:val="24"/>
        </w:rPr>
        <w:t>navázaly na rámec argumentů, které</w:t>
      </w:r>
      <w:r w:rsidR="003B0D57" w:rsidRPr="003B0D57">
        <w:rPr>
          <w:rFonts w:ascii="Times New Roman" w:hAnsi="Times New Roman" w:cs="Times New Roman"/>
          <w:sz w:val="24"/>
        </w:rPr>
        <w:t xml:space="preserve"> pře</w:t>
      </w:r>
      <w:r w:rsidR="005B5E29">
        <w:rPr>
          <w:rFonts w:ascii="Times New Roman" w:hAnsi="Times New Roman" w:cs="Times New Roman"/>
          <w:sz w:val="24"/>
        </w:rPr>
        <w:t>dnesly při předchozích uděleních žlutých karet</w:t>
      </w:r>
      <w:r w:rsidR="003B0D57" w:rsidRPr="003B0D57">
        <w:rPr>
          <w:rFonts w:ascii="Times New Roman" w:hAnsi="Times New Roman" w:cs="Times New Roman"/>
          <w:sz w:val="24"/>
        </w:rPr>
        <w:t>. An</w:t>
      </w:r>
      <w:r w:rsidR="00792BF4">
        <w:rPr>
          <w:rFonts w:ascii="Times New Roman" w:hAnsi="Times New Roman" w:cs="Times New Roman"/>
          <w:sz w:val="24"/>
        </w:rPr>
        <w:t>i zde však Komise nesoulad se subsidiaritou</w:t>
      </w:r>
      <w:r w:rsidR="00972A7B">
        <w:rPr>
          <w:rFonts w:ascii="Times New Roman" w:hAnsi="Times New Roman" w:cs="Times New Roman"/>
          <w:sz w:val="24"/>
        </w:rPr>
        <w:t xml:space="preserve"> nepřipustila a návrh se</w:t>
      </w:r>
      <w:r w:rsidR="003B0D57" w:rsidRPr="003B0D57">
        <w:rPr>
          <w:rFonts w:ascii="Times New Roman" w:hAnsi="Times New Roman" w:cs="Times New Roman"/>
          <w:sz w:val="24"/>
        </w:rPr>
        <w:t xml:space="preserve"> rozhodla zachovat.</w:t>
      </w:r>
      <w:r w:rsidR="00E3040E">
        <w:rPr>
          <w:rFonts w:ascii="Times New Roman" w:hAnsi="Times New Roman" w:cs="Times New Roman"/>
          <w:sz w:val="24"/>
        </w:rPr>
        <w:t xml:space="preserve"> </w:t>
      </w:r>
    </w:p>
    <w:p w:rsidR="003B0D57" w:rsidRDefault="00E3040E" w:rsidP="00595722">
      <w:pPr>
        <w:spacing w:after="0" w:line="360" w:lineRule="auto"/>
        <w:ind w:firstLine="708"/>
        <w:jc w:val="both"/>
        <w:rPr>
          <w:rFonts w:ascii="Times New Roman" w:hAnsi="Times New Roman" w:cs="Times New Roman"/>
          <w:sz w:val="24"/>
        </w:rPr>
      </w:pPr>
      <w:r>
        <w:rPr>
          <w:rFonts w:ascii="Times New Roman" w:hAnsi="Times New Roman" w:cs="Times New Roman"/>
          <w:sz w:val="24"/>
        </w:rPr>
        <w:t>Výzkum konkrétních případů kromě jiného potvrdil to, že zásada subsidiarity je principem s výrazným politic</w:t>
      </w:r>
      <w:r w:rsidR="00C4476E">
        <w:rPr>
          <w:rFonts w:ascii="Times New Roman" w:hAnsi="Times New Roman" w:cs="Times New Roman"/>
          <w:sz w:val="24"/>
        </w:rPr>
        <w:t>kým rázem. Záměrně jsme se</w:t>
      </w:r>
      <w:r w:rsidR="009C7F4B">
        <w:rPr>
          <w:rFonts w:ascii="Times New Roman" w:hAnsi="Times New Roman" w:cs="Times New Roman"/>
          <w:sz w:val="24"/>
        </w:rPr>
        <w:t xml:space="preserve"> nestavěli do role toho, kdo by měl říci, zda návrhy v souladu se zásadou subsidiarity byly či ne.</w:t>
      </w:r>
    </w:p>
    <w:p w:rsidR="00CC5356" w:rsidRPr="003B0D57" w:rsidRDefault="00EE7B15" w:rsidP="004E2173">
      <w:pPr>
        <w:spacing w:after="0" w:line="360" w:lineRule="auto"/>
        <w:ind w:firstLine="708"/>
        <w:jc w:val="both"/>
        <w:rPr>
          <w:rFonts w:ascii="Times New Roman" w:hAnsi="Times New Roman" w:cs="Times New Roman"/>
          <w:sz w:val="24"/>
        </w:rPr>
      </w:pPr>
      <w:r>
        <w:rPr>
          <w:rFonts w:ascii="Times New Roman" w:hAnsi="Times New Roman" w:cs="Times New Roman"/>
          <w:sz w:val="24"/>
        </w:rPr>
        <w:t>K předchozím</w:t>
      </w:r>
      <w:r w:rsidR="00CC5356">
        <w:rPr>
          <w:rFonts w:ascii="Times New Roman" w:hAnsi="Times New Roman" w:cs="Times New Roman"/>
          <w:sz w:val="24"/>
        </w:rPr>
        <w:t xml:space="preserve"> odstavcům se vztahuje druhá </w:t>
      </w:r>
      <w:r w:rsidR="00CC55CE">
        <w:rPr>
          <w:rFonts w:ascii="Times New Roman" w:hAnsi="Times New Roman" w:cs="Times New Roman"/>
          <w:sz w:val="24"/>
        </w:rPr>
        <w:t xml:space="preserve">hypotéza, která předpokládala, že </w:t>
      </w:r>
      <w:r w:rsidR="00CC55CE" w:rsidRPr="00CC55CE">
        <w:rPr>
          <w:rFonts w:ascii="Times New Roman" w:hAnsi="Times New Roman" w:cs="Times New Roman"/>
          <w:sz w:val="24"/>
        </w:rPr>
        <w:t>ani ve větším počtu</w:t>
      </w:r>
      <w:r w:rsidR="00856E07">
        <w:rPr>
          <w:rFonts w:ascii="Times New Roman" w:hAnsi="Times New Roman" w:cs="Times New Roman"/>
          <w:sz w:val="24"/>
        </w:rPr>
        <w:t xml:space="preserve"> nemají odůvodněná stanoviska</w:t>
      </w:r>
      <w:r w:rsidR="00817E9D">
        <w:rPr>
          <w:rFonts w:ascii="Times New Roman" w:hAnsi="Times New Roman" w:cs="Times New Roman"/>
          <w:sz w:val="24"/>
        </w:rPr>
        <w:t xml:space="preserve"> podstatný vliv na stažení</w:t>
      </w:r>
      <w:r w:rsidR="0001646E">
        <w:rPr>
          <w:rFonts w:ascii="Times New Roman" w:hAnsi="Times New Roman" w:cs="Times New Roman"/>
          <w:sz w:val="24"/>
        </w:rPr>
        <w:t>, další projednávání</w:t>
      </w:r>
      <w:r w:rsidR="00817E9D">
        <w:rPr>
          <w:rFonts w:ascii="Times New Roman" w:hAnsi="Times New Roman" w:cs="Times New Roman"/>
          <w:sz w:val="24"/>
        </w:rPr>
        <w:t xml:space="preserve"> či přijetí návrhu</w:t>
      </w:r>
      <w:r w:rsidR="00CC55CE" w:rsidRPr="00CC55CE">
        <w:rPr>
          <w:rFonts w:ascii="Times New Roman" w:hAnsi="Times New Roman" w:cs="Times New Roman"/>
          <w:sz w:val="24"/>
        </w:rPr>
        <w:t>.</w:t>
      </w:r>
      <w:r w:rsidR="00D946B3">
        <w:rPr>
          <w:rFonts w:ascii="Times New Roman" w:hAnsi="Times New Roman" w:cs="Times New Roman"/>
          <w:sz w:val="24"/>
        </w:rPr>
        <w:t xml:space="preserve"> </w:t>
      </w:r>
      <w:r w:rsidR="00F6527D">
        <w:rPr>
          <w:rFonts w:ascii="Times New Roman" w:hAnsi="Times New Roman" w:cs="Times New Roman"/>
          <w:sz w:val="24"/>
        </w:rPr>
        <w:t>Ať již</w:t>
      </w:r>
      <w:r w:rsidR="00B41D69">
        <w:rPr>
          <w:rFonts w:ascii="Times New Roman" w:hAnsi="Times New Roman" w:cs="Times New Roman"/>
          <w:sz w:val="24"/>
        </w:rPr>
        <w:t>,</w:t>
      </w:r>
      <w:r w:rsidR="00F6527D">
        <w:rPr>
          <w:rFonts w:ascii="Times New Roman" w:hAnsi="Times New Roman" w:cs="Times New Roman"/>
          <w:sz w:val="24"/>
        </w:rPr>
        <w:t xml:space="preserve"> </w:t>
      </w:r>
      <w:r w:rsidR="00C7562A">
        <w:rPr>
          <w:rFonts w:ascii="Times New Roman" w:hAnsi="Times New Roman" w:cs="Times New Roman"/>
          <w:sz w:val="24"/>
        </w:rPr>
        <w:t>s ohledem na dosavadní praxi</w:t>
      </w:r>
      <w:r w:rsidR="00B41D69">
        <w:rPr>
          <w:rFonts w:ascii="Times New Roman" w:hAnsi="Times New Roman" w:cs="Times New Roman"/>
          <w:sz w:val="24"/>
        </w:rPr>
        <w:t>,</w:t>
      </w:r>
      <w:r w:rsidR="00C7562A">
        <w:rPr>
          <w:rFonts w:ascii="Times New Roman" w:hAnsi="Times New Roman" w:cs="Times New Roman"/>
          <w:sz w:val="24"/>
        </w:rPr>
        <w:t xml:space="preserve"> </w:t>
      </w:r>
      <w:r w:rsidR="00766BE0">
        <w:rPr>
          <w:rFonts w:ascii="Times New Roman" w:hAnsi="Times New Roman" w:cs="Times New Roman"/>
          <w:sz w:val="24"/>
        </w:rPr>
        <w:t>definujeme větší počet jako šest</w:t>
      </w:r>
      <w:r w:rsidR="007664D0">
        <w:rPr>
          <w:rFonts w:ascii="Times New Roman" w:hAnsi="Times New Roman" w:cs="Times New Roman"/>
          <w:sz w:val="24"/>
        </w:rPr>
        <w:t xml:space="preserve"> </w:t>
      </w:r>
      <w:r w:rsidR="007664D0">
        <w:rPr>
          <w:rFonts w:ascii="Times New Roman" w:hAnsi="Times New Roman" w:cs="Times New Roman"/>
          <w:sz w:val="24"/>
        </w:rPr>
        <w:lastRenderedPageBreak/>
        <w:t>odůvodněných stanovisek</w:t>
      </w:r>
      <w:r w:rsidR="00417F9D">
        <w:rPr>
          <w:rFonts w:ascii="Times New Roman" w:hAnsi="Times New Roman" w:cs="Times New Roman"/>
          <w:sz w:val="24"/>
        </w:rPr>
        <w:t xml:space="preserve"> nebo jako práh pro dosažení žluté karty</w:t>
      </w:r>
      <w:r w:rsidR="00C25B28">
        <w:rPr>
          <w:rFonts w:ascii="Times New Roman" w:hAnsi="Times New Roman" w:cs="Times New Roman"/>
          <w:sz w:val="24"/>
        </w:rPr>
        <w:t>, máme za to, že hypotéza byla v textu potvrzena.</w:t>
      </w:r>
    </w:p>
    <w:p w:rsidR="003B0D57" w:rsidRPr="003B0D57" w:rsidRDefault="00075DA4" w:rsidP="004E2173">
      <w:pPr>
        <w:spacing w:after="0" w:line="360" w:lineRule="auto"/>
        <w:ind w:firstLine="708"/>
        <w:jc w:val="both"/>
        <w:rPr>
          <w:rFonts w:ascii="Times New Roman" w:hAnsi="Times New Roman" w:cs="Times New Roman"/>
          <w:sz w:val="24"/>
        </w:rPr>
      </w:pPr>
      <w:r>
        <w:rPr>
          <w:rFonts w:ascii="Times New Roman" w:hAnsi="Times New Roman" w:cs="Times New Roman"/>
          <w:sz w:val="24"/>
        </w:rPr>
        <w:t>Vedeni snahou o objektivní</w:t>
      </w:r>
      <w:r w:rsidR="00557C6D" w:rsidRPr="003B0D57">
        <w:rPr>
          <w:rFonts w:ascii="Times New Roman" w:hAnsi="Times New Roman" w:cs="Times New Roman"/>
          <w:sz w:val="24"/>
        </w:rPr>
        <w:t xml:space="preserve"> zhodnocení </w:t>
      </w:r>
      <w:r w:rsidR="00557C6D">
        <w:rPr>
          <w:rFonts w:ascii="Times New Roman" w:hAnsi="Times New Roman" w:cs="Times New Roman"/>
          <w:sz w:val="24"/>
        </w:rPr>
        <w:t>tak na</w:t>
      </w:r>
      <w:r w:rsidR="00E14BD1">
        <w:rPr>
          <w:rFonts w:ascii="Times New Roman" w:hAnsi="Times New Roman" w:cs="Times New Roman"/>
          <w:sz w:val="24"/>
        </w:rPr>
        <w:t xml:space="preserve"> základě</w:t>
      </w:r>
      <w:r w:rsidR="003B0D57" w:rsidRPr="003B0D57">
        <w:rPr>
          <w:rFonts w:ascii="Times New Roman" w:hAnsi="Times New Roman" w:cs="Times New Roman"/>
          <w:sz w:val="24"/>
        </w:rPr>
        <w:t xml:space="preserve"> předestřených skutečností a </w:t>
      </w:r>
      <w:r w:rsidR="00F828B2">
        <w:rPr>
          <w:rFonts w:ascii="Times New Roman" w:hAnsi="Times New Roman" w:cs="Times New Roman"/>
          <w:sz w:val="24"/>
        </w:rPr>
        <w:t>zkoumaných</w:t>
      </w:r>
      <w:r w:rsidR="00557C6D">
        <w:rPr>
          <w:rFonts w:ascii="Times New Roman" w:hAnsi="Times New Roman" w:cs="Times New Roman"/>
          <w:sz w:val="24"/>
        </w:rPr>
        <w:t xml:space="preserve"> pramenů</w:t>
      </w:r>
      <w:r w:rsidR="003B0D57" w:rsidRPr="003B0D57">
        <w:rPr>
          <w:rFonts w:ascii="Times New Roman" w:hAnsi="Times New Roman" w:cs="Times New Roman"/>
          <w:sz w:val="24"/>
        </w:rPr>
        <w:t xml:space="preserve"> musíme na otázku vyřčenou v úvodu práce, zda je právně zak</w:t>
      </w:r>
      <w:r w:rsidR="004219F2">
        <w:rPr>
          <w:rFonts w:ascii="Times New Roman" w:hAnsi="Times New Roman" w:cs="Times New Roman"/>
          <w:sz w:val="24"/>
        </w:rPr>
        <w:t>otvený dohle</w:t>
      </w:r>
      <w:r w:rsidR="00BA15A9">
        <w:rPr>
          <w:rFonts w:ascii="Times New Roman" w:hAnsi="Times New Roman" w:cs="Times New Roman"/>
          <w:sz w:val="24"/>
        </w:rPr>
        <w:t>d nad dodržováním zásady subsid</w:t>
      </w:r>
      <w:r w:rsidR="004219F2">
        <w:rPr>
          <w:rFonts w:ascii="Times New Roman" w:hAnsi="Times New Roman" w:cs="Times New Roman"/>
          <w:sz w:val="24"/>
        </w:rPr>
        <w:t>i</w:t>
      </w:r>
      <w:r w:rsidR="00BA15A9">
        <w:rPr>
          <w:rFonts w:ascii="Times New Roman" w:hAnsi="Times New Roman" w:cs="Times New Roman"/>
          <w:sz w:val="24"/>
        </w:rPr>
        <w:t>a</w:t>
      </w:r>
      <w:r w:rsidR="004219F2">
        <w:rPr>
          <w:rFonts w:ascii="Times New Roman" w:hAnsi="Times New Roman" w:cs="Times New Roman"/>
          <w:sz w:val="24"/>
        </w:rPr>
        <w:t>rity</w:t>
      </w:r>
      <w:r w:rsidR="003B0D57" w:rsidRPr="003B0D57">
        <w:rPr>
          <w:rFonts w:ascii="Times New Roman" w:hAnsi="Times New Roman" w:cs="Times New Roman"/>
          <w:sz w:val="24"/>
        </w:rPr>
        <w:t xml:space="preserve"> ze strany parl</w:t>
      </w:r>
      <w:r w:rsidR="00222E83">
        <w:rPr>
          <w:rFonts w:ascii="Times New Roman" w:hAnsi="Times New Roman" w:cs="Times New Roman"/>
          <w:sz w:val="24"/>
        </w:rPr>
        <w:t>amentů skutečně funkční</w:t>
      </w:r>
      <w:r w:rsidR="003B0D57" w:rsidRPr="003B0D57">
        <w:rPr>
          <w:rFonts w:ascii="Times New Roman" w:hAnsi="Times New Roman" w:cs="Times New Roman"/>
          <w:sz w:val="24"/>
        </w:rPr>
        <w:t>, odpovědět, že d</w:t>
      </w:r>
      <w:r w:rsidR="000C2C7D">
        <w:rPr>
          <w:rFonts w:ascii="Times New Roman" w:hAnsi="Times New Roman" w:cs="Times New Roman"/>
          <w:sz w:val="24"/>
        </w:rPr>
        <w:t>le našeho názoru spíše není. Systém včasného varování</w:t>
      </w:r>
      <w:r w:rsidR="003B0D57" w:rsidRPr="003B0D57">
        <w:rPr>
          <w:rFonts w:ascii="Times New Roman" w:hAnsi="Times New Roman" w:cs="Times New Roman"/>
          <w:sz w:val="24"/>
        </w:rPr>
        <w:t xml:space="preserve"> výrazněji nepřispívá ke zvýšení de</w:t>
      </w:r>
      <w:r w:rsidR="00780855">
        <w:rPr>
          <w:rFonts w:ascii="Times New Roman" w:hAnsi="Times New Roman" w:cs="Times New Roman"/>
          <w:sz w:val="24"/>
        </w:rPr>
        <w:t>mokratické legitimity EU</w:t>
      </w:r>
      <w:r w:rsidR="0039687E">
        <w:rPr>
          <w:rFonts w:ascii="Times New Roman" w:hAnsi="Times New Roman" w:cs="Times New Roman"/>
          <w:sz w:val="24"/>
        </w:rPr>
        <w:t>. V</w:t>
      </w:r>
      <w:r w:rsidR="003B0D57" w:rsidRPr="003B0D57">
        <w:rPr>
          <w:rFonts w:ascii="Times New Roman" w:hAnsi="Times New Roman" w:cs="Times New Roman"/>
          <w:sz w:val="24"/>
        </w:rPr>
        <w:t>ýrazný posun nelze zaznamenat ani v otázce ko</w:t>
      </w:r>
      <w:r w:rsidR="00EF7079">
        <w:rPr>
          <w:rFonts w:ascii="Times New Roman" w:hAnsi="Times New Roman" w:cs="Times New Roman"/>
          <w:sz w:val="24"/>
        </w:rPr>
        <w:t>ntroly a samotného dodržování zásady subsidiarity</w:t>
      </w:r>
      <w:r w:rsidR="003B0D57" w:rsidRPr="003B0D57">
        <w:rPr>
          <w:rFonts w:ascii="Times New Roman" w:hAnsi="Times New Roman" w:cs="Times New Roman"/>
          <w:sz w:val="24"/>
        </w:rPr>
        <w:t xml:space="preserve">. </w:t>
      </w:r>
      <w:r w:rsidR="000C2C7D">
        <w:rPr>
          <w:rFonts w:ascii="Times New Roman" w:hAnsi="Times New Roman" w:cs="Times New Roman"/>
          <w:sz w:val="24"/>
        </w:rPr>
        <w:t>Celkový dopad systému včasného varování</w:t>
      </w:r>
      <w:r w:rsidR="004920BC">
        <w:rPr>
          <w:rFonts w:ascii="Times New Roman" w:hAnsi="Times New Roman" w:cs="Times New Roman"/>
          <w:sz w:val="24"/>
        </w:rPr>
        <w:t xml:space="preserve"> na legislativní proces a jeho výstupy je malý</w:t>
      </w:r>
      <w:r w:rsidR="00460307">
        <w:rPr>
          <w:rFonts w:ascii="Times New Roman" w:hAnsi="Times New Roman" w:cs="Times New Roman"/>
          <w:sz w:val="24"/>
        </w:rPr>
        <w:t>.</w:t>
      </w:r>
      <w:r w:rsidR="00D56FD3">
        <w:rPr>
          <w:rFonts w:ascii="Times New Roman" w:hAnsi="Times New Roman" w:cs="Times New Roman"/>
          <w:sz w:val="24"/>
        </w:rPr>
        <w:t xml:space="preserve"> </w:t>
      </w:r>
    </w:p>
    <w:p w:rsidR="003B0D57" w:rsidRPr="003B0D57" w:rsidRDefault="00E529B3" w:rsidP="00AB773F">
      <w:pPr>
        <w:spacing w:after="0" w:line="360" w:lineRule="auto"/>
        <w:ind w:firstLine="708"/>
        <w:jc w:val="both"/>
        <w:rPr>
          <w:rFonts w:ascii="Times New Roman" w:hAnsi="Times New Roman" w:cs="Times New Roman"/>
          <w:sz w:val="24"/>
        </w:rPr>
      </w:pPr>
      <w:r>
        <w:rPr>
          <w:rFonts w:ascii="Times New Roman" w:hAnsi="Times New Roman" w:cs="Times New Roman"/>
          <w:sz w:val="24"/>
        </w:rPr>
        <w:t>Sys</w:t>
      </w:r>
      <w:r w:rsidR="00436E5A">
        <w:rPr>
          <w:rFonts w:ascii="Times New Roman" w:hAnsi="Times New Roman" w:cs="Times New Roman"/>
          <w:sz w:val="24"/>
        </w:rPr>
        <w:t xml:space="preserve">tému chybí červená karta, respektive </w:t>
      </w:r>
      <w:r w:rsidR="003B0D57" w:rsidRPr="003B0D57">
        <w:rPr>
          <w:rFonts w:ascii="Times New Roman" w:hAnsi="Times New Roman" w:cs="Times New Roman"/>
          <w:sz w:val="24"/>
        </w:rPr>
        <w:t>kolektivní právo veta ze</w:t>
      </w:r>
      <w:r w:rsidR="00761E16">
        <w:rPr>
          <w:rFonts w:ascii="Times New Roman" w:hAnsi="Times New Roman" w:cs="Times New Roman"/>
          <w:sz w:val="24"/>
        </w:rPr>
        <w:t xml:space="preserve"> strany parlamentů. To</w:t>
      </w:r>
      <w:r w:rsidR="00940502">
        <w:rPr>
          <w:rFonts w:ascii="Times New Roman" w:hAnsi="Times New Roman" w:cs="Times New Roman"/>
          <w:sz w:val="24"/>
        </w:rPr>
        <w:t xml:space="preserve"> má podle nás přirozený</w:t>
      </w:r>
      <w:r w:rsidR="003B0D57" w:rsidRPr="003B0D57">
        <w:rPr>
          <w:rFonts w:ascii="Times New Roman" w:hAnsi="Times New Roman" w:cs="Times New Roman"/>
          <w:sz w:val="24"/>
        </w:rPr>
        <w:t xml:space="preserve"> vliv na celkový přístup Komise. Ta doposud nepřipustila nesoula</w:t>
      </w:r>
      <w:r w:rsidR="00052F84">
        <w:rPr>
          <w:rFonts w:ascii="Times New Roman" w:hAnsi="Times New Roman" w:cs="Times New Roman"/>
          <w:sz w:val="24"/>
        </w:rPr>
        <w:t>d některého jejího návrhu se zásadou subsidiarity</w:t>
      </w:r>
      <w:r w:rsidR="003B0D57" w:rsidRPr="003B0D57">
        <w:rPr>
          <w:rFonts w:ascii="Times New Roman" w:hAnsi="Times New Roman" w:cs="Times New Roman"/>
          <w:sz w:val="24"/>
        </w:rPr>
        <w:t>.</w:t>
      </w:r>
      <w:r w:rsidR="006A3F00">
        <w:rPr>
          <w:rFonts w:ascii="Times New Roman" w:hAnsi="Times New Roman" w:cs="Times New Roman"/>
          <w:sz w:val="24"/>
        </w:rPr>
        <w:t xml:space="preserve"> Mohou se objevovat otázky, zda Komise vůbec bere systém včasného varování vážně.</w:t>
      </w:r>
      <w:r w:rsidR="005F300C">
        <w:rPr>
          <w:rFonts w:ascii="Times New Roman" w:hAnsi="Times New Roman" w:cs="Times New Roman"/>
          <w:sz w:val="24"/>
        </w:rPr>
        <w:t xml:space="preserve"> </w:t>
      </w:r>
      <w:r w:rsidR="003B0D57" w:rsidRPr="003B0D57">
        <w:rPr>
          <w:rFonts w:ascii="Times New Roman" w:hAnsi="Times New Roman" w:cs="Times New Roman"/>
          <w:sz w:val="24"/>
        </w:rPr>
        <w:t xml:space="preserve"> </w:t>
      </w:r>
      <w:r w:rsidR="007F0D90">
        <w:rPr>
          <w:rFonts w:ascii="Times New Roman" w:hAnsi="Times New Roman" w:cs="Times New Roman"/>
          <w:sz w:val="24"/>
        </w:rPr>
        <w:t>Negativní</w:t>
      </w:r>
      <w:r w:rsidR="003B0D57" w:rsidRPr="003B0D57">
        <w:rPr>
          <w:rFonts w:ascii="Times New Roman" w:hAnsi="Times New Roman" w:cs="Times New Roman"/>
          <w:sz w:val="24"/>
        </w:rPr>
        <w:t xml:space="preserve"> dopad mohou mít na kontrolu prováděnou parlamenty také neformální trialogy.</w:t>
      </w:r>
      <w:r w:rsidR="00DD7174">
        <w:rPr>
          <w:rFonts w:ascii="Times New Roman" w:hAnsi="Times New Roman" w:cs="Times New Roman"/>
          <w:sz w:val="24"/>
        </w:rPr>
        <w:t xml:space="preserve"> Problematickým se může jevit také </w:t>
      </w:r>
      <w:r w:rsidR="003B0D57" w:rsidRPr="003B0D57">
        <w:rPr>
          <w:rFonts w:ascii="Times New Roman" w:hAnsi="Times New Roman" w:cs="Times New Roman"/>
          <w:sz w:val="24"/>
        </w:rPr>
        <w:t>fakt, že parlamenty, a zde pomiňme možnost ža</w:t>
      </w:r>
      <w:r w:rsidR="00DD7174">
        <w:rPr>
          <w:rFonts w:ascii="Times New Roman" w:hAnsi="Times New Roman" w:cs="Times New Roman"/>
          <w:sz w:val="24"/>
        </w:rPr>
        <w:t>loby k SDEU, provádí kontrolu zásady subsidiarity</w:t>
      </w:r>
      <w:r w:rsidR="00242E90">
        <w:rPr>
          <w:rFonts w:ascii="Times New Roman" w:hAnsi="Times New Roman" w:cs="Times New Roman"/>
          <w:sz w:val="24"/>
        </w:rPr>
        <w:t xml:space="preserve"> v rámci systému včasného varování</w:t>
      </w:r>
      <w:r w:rsidR="003B0D57" w:rsidRPr="003B0D57">
        <w:rPr>
          <w:rFonts w:ascii="Times New Roman" w:hAnsi="Times New Roman" w:cs="Times New Roman"/>
          <w:sz w:val="24"/>
        </w:rPr>
        <w:t xml:space="preserve"> pouze na začátku legislativního postupu, kdy pracují s originálním návrhem Komise. </w:t>
      </w:r>
    </w:p>
    <w:p w:rsidR="003B0D57" w:rsidRPr="003B0D57" w:rsidRDefault="003B0D57" w:rsidP="008F2CA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 xml:space="preserve">De lege </w:t>
      </w:r>
      <w:proofErr w:type="spellStart"/>
      <w:r w:rsidRPr="003B0D57">
        <w:rPr>
          <w:rFonts w:ascii="Times New Roman" w:hAnsi="Times New Roman" w:cs="Times New Roman"/>
          <w:sz w:val="24"/>
        </w:rPr>
        <w:t>ferenda</w:t>
      </w:r>
      <w:proofErr w:type="spellEnd"/>
      <w:r w:rsidRPr="003B0D57">
        <w:rPr>
          <w:rFonts w:ascii="Times New Roman" w:hAnsi="Times New Roman" w:cs="Times New Roman"/>
          <w:sz w:val="24"/>
        </w:rPr>
        <w:t xml:space="preserve"> lze v návaznosti na výše uvedené uvažovat o následujících návrzích či změnách. Širší přístup parlamentů p</w:t>
      </w:r>
      <w:r w:rsidR="004A01F2">
        <w:rPr>
          <w:rFonts w:ascii="Times New Roman" w:hAnsi="Times New Roman" w:cs="Times New Roman"/>
          <w:sz w:val="24"/>
        </w:rPr>
        <w:t>ři posuzování návrhů v rámci systému včasného varování</w:t>
      </w:r>
      <w:r w:rsidRPr="003B0D57">
        <w:rPr>
          <w:rFonts w:ascii="Times New Roman" w:hAnsi="Times New Roman" w:cs="Times New Roman"/>
          <w:sz w:val="24"/>
        </w:rPr>
        <w:t xml:space="preserve"> by se měl promítnout i do právní úpravy. Výslovně by mělo být stanove</w:t>
      </w:r>
      <w:r w:rsidR="001C0D1B">
        <w:rPr>
          <w:rFonts w:ascii="Times New Roman" w:hAnsi="Times New Roman" w:cs="Times New Roman"/>
          <w:sz w:val="24"/>
        </w:rPr>
        <w:t>no, že parlamenty mohou vydat odůvodněná stanoviska</w:t>
      </w:r>
      <w:r w:rsidRPr="003B0D57">
        <w:rPr>
          <w:rFonts w:ascii="Times New Roman" w:hAnsi="Times New Roman" w:cs="Times New Roman"/>
          <w:sz w:val="24"/>
        </w:rPr>
        <w:t xml:space="preserve"> namítající nesoulad se zásadou proporcionality či obsahující námitku proti právnímu základu. I na tyto argumenty by se tak jasně vztahovala povinnost přihl</w:t>
      </w:r>
      <w:r w:rsidR="00E103FE">
        <w:rPr>
          <w:rFonts w:ascii="Times New Roman" w:hAnsi="Times New Roman" w:cs="Times New Roman"/>
          <w:sz w:val="24"/>
        </w:rPr>
        <w:t>édnutí a přezkoumání v rámci systému včasného varování</w:t>
      </w:r>
      <w:r w:rsidRPr="003B0D57">
        <w:rPr>
          <w:rFonts w:ascii="Times New Roman" w:hAnsi="Times New Roman" w:cs="Times New Roman"/>
          <w:sz w:val="24"/>
        </w:rPr>
        <w:t>, a to typicky ze str</w:t>
      </w:r>
      <w:r w:rsidR="00396F91">
        <w:rPr>
          <w:rFonts w:ascii="Times New Roman" w:hAnsi="Times New Roman" w:cs="Times New Roman"/>
          <w:sz w:val="24"/>
        </w:rPr>
        <w:t>any Komise.</w:t>
      </w:r>
    </w:p>
    <w:p w:rsidR="003B0D57" w:rsidRPr="003B0D57" w:rsidRDefault="003B0D57" w:rsidP="008F2CA9">
      <w:pPr>
        <w:spacing w:after="0" w:line="360" w:lineRule="auto"/>
        <w:ind w:firstLine="708"/>
        <w:jc w:val="both"/>
        <w:rPr>
          <w:rFonts w:ascii="Times New Roman" w:hAnsi="Times New Roman" w:cs="Times New Roman"/>
          <w:sz w:val="24"/>
        </w:rPr>
      </w:pPr>
      <w:r w:rsidRPr="005A1B19">
        <w:rPr>
          <w:rFonts w:ascii="Times New Roman" w:hAnsi="Times New Roman" w:cs="Times New Roman"/>
          <w:sz w:val="24"/>
        </w:rPr>
        <w:t>Nejen</w:t>
      </w:r>
      <w:r w:rsidRPr="003B0D57">
        <w:rPr>
          <w:rFonts w:ascii="Times New Roman" w:hAnsi="Times New Roman" w:cs="Times New Roman"/>
          <w:sz w:val="24"/>
        </w:rPr>
        <w:t xml:space="preserve"> vzhledem k dosavadním reakcím Komise na u</w:t>
      </w:r>
      <w:r w:rsidR="00F12FEA">
        <w:rPr>
          <w:rFonts w:ascii="Times New Roman" w:hAnsi="Times New Roman" w:cs="Times New Roman"/>
          <w:sz w:val="24"/>
        </w:rPr>
        <w:t>dělené žluté karty</w:t>
      </w:r>
      <w:r w:rsidRPr="003B0D57">
        <w:rPr>
          <w:rFonts w:ascii="Times New Roman" w:hAnsi="Times New Roman" w:cs="Times New Roman"/>
          <w:sz w:val="24"/>
        </w:rPr>
        <w:t xml:space="preserve"> pak máme za to, že parlamenty by měly mít možnost vystavit návrhům kartu červenou. Vhodně by takové kolektivní absolutní pr</w:t>
      </w:r>
      <w:r w:rsidR="000A34D2">
        <w:rPr>
          <w:rFonts w:ascii="Times New Roman" w:hAnsi="Times New Roman" w:cs="Times New Roman"/>
          <w:sz w:val="24"/>
        </w:rPr>
        <w:t>ávo veta mohlo nahradit např. oranžovou kartu</w:t>
      </w:r>
      <w:r w:rsidRPr="003B0D57">
        <w:rPr>
          <w:rFonts w:ascii="Times New Roman" w:hAnsi="Times New Roman" w:cs="Times New Roman"/>
          <w:sz w:val="24"/>
        </w:rPr>
        <w:t>.  Lze se domnívat, že i při aplikaci jiných</w:t>
      </w:r>
      <w:r w:rsidR="002B6D45">
        <w:rPr>
          <w:rFonts w:ascii="Times New Roman" w:hAnsi="Times New Roman" w:cs="Times New Roman"/>
          <w:sz w:val="24"/>
        </w:rPr>
        <w:t xml:space="preserve"> nastíněných změn</w:t>
      </w:r>
      <w:r w:rsidRPr="003B0D57">
        <w:rPr>
          <w:rFonts w:ascii="Times New Roman" w:hAnsi="Times New Roman" w:cs="Times New Roman"/>
          <w:sz w:val="24"/>
        </w:rPr>
        <w:t xml:space="preserve"> by možnost červené karty nemu</w:t>
      </w:r>
      <w:r w:rsidR="00F4571C">
        <w:rPr>
          <w:rFonts w:ascii="Times New Roman" w:hAnsi="Times New Roman" w:cs="Times New Roman"/>
          <w:sz w:val="24"/>
        </w:rPr>
        <w:t>sela být nadužívána. Oranžová karta</w:t>
      </w:r>
      <w:r w:rsidRPr="003B0D57">
        <w:rPr>
          <w:rFonts w:ascii="Times New Roman" w:hAnsi="Times New Roman" w:cs="Times New Roman"/>
          <w:sz w:val="24"/>
        </w:rPr>
        <w:t xml:space="preserve"> totiž doposud udělena nebyla a nejvyšší poč</w:t>
      </w:r>
      <w:r w:rsidR="002E5E17">
        <w:rPr>
          <w:rFonts w:ascii="Times New Roman" w:hAnsi="Times New Roman" w:cs="Times New Roman"/>
          <w:sz w:val="24"/>
        </w:rPr>
        <w:t>et hlasů odpovídající vydaným odůvodněným stanoviskům</w:t>
      </w:r>
      <w:r w:rsidRPr="003B0D57">
        <w:rPr>
          <w:rFonts w:ascii="Times New Roman" w:hAnsi="Times New Roman" w:cs="Times New Roman"/>
          <w:sz w:val="24"/>
        </w:rPr>
        <w:t xml:space="preserve"> k jednomu návrhu činil 22. I tak lze pravděpodobně pro případnou </w:t>
      </w:r>
      <w:r w:rsidR="0012261D">
        <w:rPr>
          <w:rFonts w:ascii="Times New Roman" w:hAnsi="Times New Roman" w:cs="Times New Roman"/>
          <w:sz w:val="24"/>
        </w:rPr>
        <w:t xml:space="preserve">kolektivní </w:t>
      </w:r>
      <w:r w:rsidRPr="003B0D57">
        <w:rPr>
          <w:rFonts w:ascii="Times New Roman" w:hAnsi="Times New Roman" w:cs="Times New Roman"/>
          <w:sz w:val="24"/>
        </w:rPr>
        <w:t>červenou kartu</w:t>
      </w:r>
      <w:r w:rsidR="00C26E8F">
        <w:rPr>
          <w:rFonts w:ascii="Times New Roman" w:hAnsi="Times New Roman" w:cs="Times New Roman"/>
          <w:sz w:val="24"/>
        </w:rPr>
        <w:t xml:space="preserve"> vzhledem k její závaznosti</w:t>
      </w:r>
      <w:r w:rsidRPr="003B0D57">
        <w:rPr>
          <w:rFonts w:ascii="Times New Roman" w:hAnsi="Times New Roman" w:cs="Times New Roman"/>
          <w:sz w:val="24"/>
        </w:rPr>
        <w:t xml:space="preserve"> uvažovat i o vyšším pr</w:t>
      </w:r>
      <w:r w:rsidR="00D6309F">
        <w:rPr>
          <w:rFonts w:ascii="Times New Roman" w:hAnsi="Times New Roman" w:cs="Times New Roman"/>
          <w:sz w:val="24"/>
        </w:rPr>
        <w:t>ahu, než jaký je uplatňován u té oranžové</w:t>
      </w:r>
      <w:r w:rsidRPr="003B0D57">
        <w:rPr>
          <w:rFonts w:ascii="Times New Roman" w:hAnsi="Times New Roman" w:cs="Times New Roman"/>
          <w:sz w:val="24"/>
        </w:rPr>
        <w:t>. Uvažovaná červená karta by neměla být omezena na řádný legislativní postup. Nelegislativní akty bychom</w:t>
      </w:r>
      <w:r w:rsidR="00461B31">
        <w:rPr>
          <w:rFonts w:ascii="Times New Roman" w:hAnsi="Times New Roman" w:cs="Times New Roman"/>
          <w:sz w:val="24"/>
        </w:rPr>
        <w:t xml:space="preserve"> ale</w:t>
      </w:r>
      <w:r w:rsidRPr="003B0D57">
        <w:rPr>
          <w:rFonts w:ascii="Times New Roman" w:hAnsi="Times New Roman" w:cs="Times New Roman"/>
          <w:sz w:val="24"/>
        </w:rPr>
        <w:t xml:space="preserve"> i</w:t>
      </w:r>
      <w:r w:rsidR="00E6538A">
        <w:rPr>
          <w:rFonts w:ascii="Times New Roman" w:hAnsi="Times New Roman" w:cs="Times New Roman"/>
          <w:sz w:val="24"/>
        </w:rPr>
        <w:t xml:space="preserve"> nadále ponechali mimo záběr systému včasného varování</w:t>
      </w:r>
      <w:r w:rsidRPr="003B0D57">
        <w:rPr>
          <w:rFonts w:ascii="Times New Roman" w:hAnsi="Times New Roman" w:cs="Times New Roman"/>
          <w:sz w:val="24"/>
        </w:rPr>
        <w:t xml:space="preserve">. Důvodem jsou však spíše obavy o zahlcení parlamentů. Lze každopádně </w:t>
      </w:r>
      <w:r w:rsidR="001A5A5D">
        <w:rPr>
          <w:rFonts w:ascii="Times New Roman" w:hAnsi="Times New Roman" w:cs="Times New Roman"/>
          <w:sz w:val="24"/>
        </w:rPr>
        <w:lastRenderedPageBreak/>
        <w:t xml:space="preserve">obecně </w:t>
      </w:r>
      <w:r w:rsidRPr="003B0D57">
        <w:rPr>
          <w:rFonts w:ascii="Times New Roman" w:hAnsi="Times New Roman" w:cs="Times New Roman"/>
          <w:sz w:val="24"/>
        </w:rPr>
        <w:t xml:space="preserve">doporučit obezřetnost při delegaci pravomocí na Komisi a důkladnost při kontrole </w:t>
      </w:r>
      <w:r w:rsidR="001B569B">
        <w:rPr>
          <w:rFonts w:ascii="Times New Roman" w:hAnsi="Times New Roman" w:cs="Times New Roman"/>
          <w:sz w:val="24"/>
        </w:rPr>
        <w:t xml:space="preserve">toho, jak tyto pravomoci </w:t>
      </w:r>
      <w:r w:rsidRPr="003B0D57">
        <w:rPr>
          <w:rFonts w:ascii="Times New Roman" w:hAnsi="Times New Roman" w:cs="Times New Roman"/>
          <w:sz w:val="24"/>
        </w:rPr>
        <w:t xml:space="preserve">vykonává.  </w:t>
      </w:r>
    </w:p>
    <w:p w:rsidR="003B0D57" w:rsidRPr="003B0D57" w:rsidRDefault="003B0D57" w:rsidP="008F2CA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V případě nevůle pro zavedení červené karty bycho</w:t>
      </w:r>
      <w:r w:rsidR="009934F5">
        <w:rPr>
          <w:rFonts w:ascii="Times New Roman" w:hAnsi="Times New Roman" w:cs="Times New Roman"/>
          <w:sz w:val="24"/>
        </w:rPr>
        <w:t>m doporučili snížení hlasovacích prahů</w:t>
      </w:r>
      <w:r w:rsidRPr="003B0D57">
        <w:rPr>
          <w:rFonts w:ascii="Times New Roman" w:hAnsi="Times New Roman" w:cs="Times New Roman"/>
          <w:sz w:val="24"/>
        </w:rPr>
        <w:t xml:space="preserve"> potřebných v Radě či EP pro z</w:t>
      </w:r>
      <w:r w:rsidR="00F36ECE">
        <w:rPr>
          <w:rFonts w:ascii="Times New Roman" w:hAnsi="Times New Roman" w:cs="Times New Roman"/>
          <w:sz w:val="24"/>
        </w:rPr>
        <w:t>ablokování návrhu při udělení oranžové karty</w:t>
      </w:r>
      <w:r w:rsidRPr="003B0D57">
        <w:rPr>
          <w:rFonts w:ascii="Times New Roman" w:hAnsi="Times New Roman" w:cs="Times New Roman"/>
          <w:sz w:val="24"/>
        </w:rPr>
        <w:t>. Současně bychom v takovém případě nebyli proti často navrhovanému sn</w:t>
      </w:r>
      <w:r w:rsidR="00B61E10">
        <w:rPr>
          <w:rFonts w:ascii="Times New Roman" w:hAnsi="Times New Roman" w:cs="Times New Roman"/>
          <w:sz w:val="24"/>
        </w:rPr>
        <w:t>ížení prahů nutných k udělení žluté a oranžové karty</w:t>
      </w:r>
      <w:r w:rsidRPr="003B0D57">
        <w:rPr>
          <w:rFonts w:ascii="Times New Roman" w:hAnsi="Times New Roman" w:cs="Times New Roman"/>
          <w:sz w:val="24"/>
        </w:rPr>
        <w:t>.</w:t>
      </w:r>
    </w:p>
    <w:p w:rsidR="00690EE1" w:rsidRPr="003B0D57" w:rsidRDefault="003B0D57" w:rsidP="008F2CA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 xml:space="preserve">V zásadě pak nejsme ani proti rovněž často navrhovanému prodloužení lhůty pro posouzení návrhů, byť přednost dáváme </w:t>
      </w:r>
      <w:r w:rsidR="00DC11B6">
        <w:rPr>
          <w:rFonts w:ascii="Times New Roman" w:hAnsi="Times New Roman" w:cs="Times New Roman"/>
          <w:sz w:val="24"/>
        </w:rPr>
        <w:t>zlepšení jejich spolupráce a</w:t>
      </w:r>
      <w:r w:rsidRPr="003B0D57">
        <w:rPr>
          <w:rFonts w:ascii="Times New Roman" w:hAnsi="Times New Roman" w:cs="Times New Roman"/>
          <w:sz w:val="24"/>
        </w:rPr>
        <w:t xml:space="preserve"> zrych</w:t>
      </w:r>
      <w:r w:rsidR="00DC11B6">
        <w:rPr>
          <w:rFonts w:ascii="Times New Roman" w:hAnsi="Times New Roman" w:cs="Times New Roman"/>
          <w:sz w:val="24"/>
        </w:rPr>
        <w:t>lení procesů na půdě parlamentů</w:t>
      </w:r>
      <w:r w:rsidRPr="003B0D57">
        <w:rPr>
          <w:rFonts w:ascii="Times New Roman" w:hAnsi="Times New Roman" w:cs="Times New Roman"/>
          <w:sz w:val="24"/>
        </w:rPr>
        <w:t>.</w:t>
      </w:r>
      <w:r w:rsidR="00690EE1">
        <w:rPr>
          <w:rFonts w:ascii="Times New Roman" w:hAnsi="Times New Roman" w:cs="Times New Roman"/>
          <w:sz w:val="24"/>
        </w:rPr>
        <w:t xml:space="preserve"> </w:t>
      </w:r>
      <w:r w:rsidR="00690EE1" w:rsidRPr="003B0D57">
        <w:rPr>
          <w:rFonts w:ascii="Times New Roman" w:hAnsi="Times New Roman" w:cs="Times New Roman"/>
          <w:sz w:val="24"/>
        </w:rPr>
        <w:t>V tomto ohledu doporučujeme úpravu jednacích řádů či jiných procedurálních předpisů tak, aby kontrolu prováděly sektorové výbory namísto těch pro evropské záležitosti. U prvně jmenovaných dle nás klesá pravděpodobnost potřeby žádat stanovisko od jiných výborů. Jinak se ale nejeví problematickým konečné rozhodnutí pléna, dokonce jej lze z hlediska demokratické legitimity preferovat.</w:t>
      </w:r>
    </w:p>
    <w:p w:rsidR="003B0D57" w:rsidRPr="003B0D57" w:rsidRDefault="003B0D57" w:rsidP="008F2CA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 xml:space="preserve"> </w:t>
      </w:r>
      <w:r w:rsidR="00B84B46">
        <w:rPr>
          <w:rFonts w:ascii="Times New Roman" w:hAnsi="Times New Roman" w:cs="Times New Roman"/>
          <w:sz w:val="24"/>
        </w:rPr>
        <w:t>Zrychlení a zlepšení interních parlamentních procesů doporučujeme</w:t>
      </w:r>
      <w:r w:rsidRPr="003B0D57">
        <w:rPr>
          <w:rFonts w:ascii="Times New Roman" w:hAnsi="Times New Roman" w:cs="Times New Roman"/>
          <w:sz w:val="24"/>
        </w:rPr>
        <w:t xml:space="preserve"> i s ohledem na další navrhovanou změnu. Tou by mohlo být zařazení jakéhosi druhého</w:t>
      </w:r>
      <w:r w:rsidR="00C14D6D">
        <w:rPr>
          <w:rFonts w:ascii="Times New Roman" w:hAnsi="Times New Roman" w:cs="Times New Roman"/>
          <w:sz w:val="24"/>
        </w:rPr>
        <w:t xml:space="preserve"> kola kontroly návrhu</w:t>
      </w:r>
      <w:r w:rsidRPr="003B0D57">
        <w:rPr>
          <w:rFonts w:ascii="Times New Roman" w:hAnsi="Times New Roman" w:cs="Times New Roman"/>
          <w:sz w:val="24"/>
        </w:rPr>
        <w:t>.</w:t>
      </w:r>
      <w:r w:rsidR="00E6770C">
        <w:rPr>
          <w:rStyle w:val="Znakapoznpodarou"/>
          <w:rFonts w:ascii="Times New Roman" w:hAnsi="Times New Roman" w:cs="Times New Roman"/>
          <w:sz w:val="24"/>
        </w:rPr>
        <w:footnoteReference w:id="268"/>
      </w:r>
      <w:r w:rsidRPr="003B0D57">
        <w:rPr>
          <w:rFonts w:ascii="Times New Roman" w:hAnsi="Times New Roman" w:cs="Times New Roman"/>
          <w:sz w:val="24"/>
        </w:rPr>
        <w:t xml:space="preserve"> Parlamenty by např. mohly posuzovat právě přijatý legislativní akt</w:t>
      </w:r>
      <w:r w:rsidR="00540B33">
        <w:rPr>
          <w:rFonts w:ascii="Times New Roman" w:hAnsi="Times New Roman" w:cs="Times New Roman"/>
          <w:sz w:val="24"/>
        </w:rPr>
        <w:t>, který již byl schválen zpravidla Radou a EP</w:t>
      </w:r>
      <w:r w:rsidR="0078198B">
        <w:rPr>
          <w:rFonts w:ascii="Times New Roman" w:hAnsi="Times New Roman" w:cs="Times New Roman"/>
          <w:sz w:val="24"/>
        </w:rPr>
        <w:t xml:space="preserve">. </w:t>
      </w:r>
      <w:r w:rsidR="00C05E45">
        <w:rPr>
          <w:rFonts w:ascii="Times New Roman" w:hAnsi="Times New Roman" w:cs="Times New Roman"/>
          <w:sz w:val="24"/>
        </w:rPr>
        <w:t>Zde jen poznamenejme, že č</w:t>
      </w:r>
      <w:r w:rsidR="007968D4">
        <w:rPr>
          <w:rFonts w:ascii="Times New Roman" w:hAnsi="Times New Roman" w:cs="Times New Roman"/>
          <w:sz w:val="24"/>
        </w:rPr>
        <w:t xml:space="preserve">innost </w:t>
      </w:r>
      <w:r w:rsidR="0078198B">
        <w:rPr>
          <w:rFonts w:ascii="Times New Roman" w:hAnsi="Times New Roman" w:cs="Times New Roman"/>
          <w:sz w:val="24"/>
        </w:rPr>
        <w:t xml:space="preserve">těchto institucí </w:t>
      </w:r>
      <w:r w:rsidR="007968D4">
        <w:rPr>
          <w:rFonts w:ascii="Times New Roman" w:hAnsi="Times New Roman" w:cs="Times New Roman"/>
          <w:sz w:val="24"/>
        </w:rPr>
        <w:t>mů</w:t>
      </w:r>
      <w:r w:rsidR="00255794">
        <w:rPr>
          <w:rFonts w:ascii="Times New Roman" w:hAnsi="Times New Roman" w:cs="Times New Roman"/>
          <w:sz w:val="24"/>
        </w:rPr>
        <w:t>že být pro dopad systému včasného varování</w:t>
      </w:r>
      <w:r w:rsidR="000024C1">
        <w:rPr>
          <w:rFonts w:ascii="Times New Roman" w:hAnsi="Times New Roman" w:cs="Times New Roman"/>
          <w:sz w:val="24"/>
        </w:rPr>
        <w:t xml:space="preserve"> </w:t>
      </w:r>
      <w:r w:rsidR="00B13607">
        <w:rPr>
          <w:rFonts w:ascii="Times New Roman" w:hAnsi="Times New Roman" w:cs="Times New Roman"/>
          <w:sz w:val="24"/>
        </w:rPr>
        <w:t xml:space="preserve">a soulad se zásadou subsidiarity </w:t>
      </w:r>
      <w:r w:rsidR="000024C1">
        <w:rPr>
          <w:rFonts w:ascii="Times New Roman" w:hAnsi="Times New Roman" w:cs="Times New Roman"/>
          <w:sz w:val="24"/>
        </w:rPr>
        <w:t>také významná, my jsme ji však nevěnovali mnoho pozornosti.</w:t>
      </w:r>
      <w:r w:rsidR="00DE5433">
        <w:rPr>
          <w:rFonts w:ascii="Times New Roman" w:hAnsi="Times New Roman" w:cs="Times New Roman"/>
          <w:sz w:val="24"/>
        </w:rPr>
        <w:t xml:space="preserve"> V úvahu by u druhého kola kontroly</w:t>
      </w:r>
      <w:r w:rsidR="00740147">
        <w:rPr>
          <w:rFonts w:ascii="Times New Roman" w:hAnsi="Times New Roman" w:cs="Times New Roman"/>
          <w:sz w:val="24"/>
        </w:rPr>
        <w:t xml:space="preserve"> </w:t>
      </w:r>
      <w:r w:rsidR="00DE738F">
        <w:rPr>
          <w:rFonts w:ascii="Times New Roman" w:hAnsi="Times New Roman" w:cs="Times New Roman"/>
          <w:sz w:val="24"/>
        </w:rPr>
        <w:t xml:space="preserve">patrně </w:t>
      </w:r>
      <w:r w:rsidRPr="003B0D57">
        <w:rPr>
          <w:rFonts w:ascii="Times New Roman" w:hAnsi="Times New Roman" w:cs="Times New Roman"/>
          <w:sz w:val="24"/>
        </w:rPr>
        <w:t>připadalo pouze udělení červené karty.</w:t>
      </w:r>
      <w:r w:rsidR="00FE5BA4">
        <w:rPr>
          <w:rStyle w:val="Znakapoznpodarou"/>
          <w:rFonts w:ascii="Times New Roman" w:hAnsi="Times New Roman" w:cs="Times New Roman"/>
          <w:sz w:val="24"/>
        </w:rPr>
        <w:footnoteReference w:id="269"/>
      </w:r>
      <w:r w:rsidRPr="003B0D57">
        <w:rPr>
          <w:rFonts w:ascii="Times New Roman" w:hAnsi="Times New Roman" w:cs="Times New Roman"/>
          <w:sz w:val="24"/>
        </w:rPr>
        <w:t xml:space="preserve">  </w:t>
      </w:r>
    </w:p>
    <w:p w:rsidR="003B0D57" w:rsidRDefault="003B0D57" w:rsidP="008F2CA9">
      <w:pPr>
        <w:spacing w:after="0" w:line="360" w:lineRule="auto"/>
        <w:ind w:firstLine="708"/>
        <w:jc w:val="both"/>
        <w:rPr>
          <w:rFonts w:ascii="Times New Roman" w:hAnsi="Times New Roman" w:cs="Times New Roman"/>
          <w:sz w:val="24"/>
        </w:rPr>
      </w:pPr>
      <w:r w:rsidRPr="003B0D57">
        <w:rPr>
          <w:rFonts w:ascii="Times New Roman" w:hAnsi="Times New Roman" w:cs="Times New Roman"/>
          <w:sz w:val="24"/>
        </w:rPr>
        <w:t>Nepochybně se nabízí více potenciálních modifikací, než jsme uvedli. Zároveň jsme si vědomi toho, že každou z nastíněných změn by bylo třeba důk</w:t>
      </w:r>
      <w:r w:rsidR="00901014">
        <w:rPr>
          <w:rFonts w:ascii="Times New Roman" w:hAnsi="Times New Roman" w:cs="Times New Roman"/>
          <w:sz w:val="24"/>
        </w:rPr>
        <w:t>ladně zvážit v širším kontextu, v</w:t>
      </w:r>
      <w:r w:rsidR="00111316">
        <w:rPr>
          <w:rFonts w:ascii="Times New Roman" w:hAnsi="Times New Roman" w:cs="Times New Roman"/>
          <w:sz w:val="24"/>
        </w:rPr>
        <w:t> poslední době</w:t>
      </w:r>
      <w:r w:rsidR="00901014">
        <w:rPr>
          <w:rFonts w:ascii="Times New Roman" w:hAnsi="Times New Roman" w:cs="Times New Roman"/>
          <w:sz w:val="24"/>
        </w:rPr>
        <w:t xml:space="preserve"> například</w:t>
      </w:r>
      <w:r w:rsidR="000D2D1A">
        <w:rPr>
          <w:rFonts w:ascii="Times New Roman" w:hAnsi="Times New Roman" w:cs="Times New Roman"/>
          <w:sz w:val="24"/>
        </w:rPr>
        <w:t xml:space="preserve"> i</w:t>
      </w:r>
      <w:r w:rsidR="00901014">
        <w:rPr>
          <w:rFonts w:ascii="Times New Roman" w:hAnsi="Times New Roman" w:cs="Times New Roman"/>
          <w:sz w:val="24"/>
        </w:rPr>
        <w:t xml:space="preserve"> v kontextu scénářů </w:t>
      </w:r>
      <w:r w:rsidR="00111316">
        <w:rPr>
          <w:rFonts w:ascii="Times New Roman" w:hAnsi="Times New Roman" w:cs="Times New Roman"/>
          <w:sz w:val="24"/>
        </w:rPr>
        <w:t xml:space="preserve">budoucího vývoje </w:t>
      </w:r>
      <w:r w:rsidR="00901014">
        <w:rPr>
          <w:rFonts w:ascii="Times New Roman" w:hAnsi="Times New Roman" w:cs="Times New Roman"/>
          <w:sz w:val="24"/>
        </w:rPr>
        <w:t>představených Komisí</w:t>
      </w:r>
      <w:r w:rsidR="00111316">
        <w:rPr>
          <w:rFonts w:ascii="Times New Roman" w:hAnsi="Times New Roman" w:cs="Times New Roman"/>
          <w:sz w:val="24"/>
        </w:rPr>
        <w:t>.</w:t>
      </w:r>
      <w:r w:rsidR="00A94300">
        <w:rPr>
          <w:rStyle w:val="Znakapoznpodarou"/>
          <w:rFonts w:ascii="Times New Roman" w:hAnsi="Times New Roman" w:cs="Times New Roman"/>
          <w:sz w:val="24"/>
        </w:rPr>
        <w:footnoteReference w:id="270"/>
      </w:r>
      <w:r w:rsidR="0067694D">
        <w:rPr>
          <w:rFonts w:ascii="Times New Roman" w:hAnsi="Times New Roman" w:cs="Times New Roman"/>
          <w:sz w:val="24"/>
        </w:rPr>
        <w:t xml:space="preserve"> Pokud by se například šlo pouze cestou vnitřníh</w:t>
      </w:r>
      <w:r w:rsidR="002033D4">
        <w:rPr>
          <w:rFonts w:ascii="Times New Roman" w:hAnsi="Times New Roman" w:cs="Times New Roman"/>
          <w:sz w:val="24"/>
        </w:rPr>
        <w:t xml:space="preserve">o trhu, </w:t>
      </w:r>
      <w:r w:rsidR="00AF602E">
        <w:rPr>
          <w:rFonts w:ascii="Times New Roman" w:hAnsi="Times New Roman" w:cs="Times New Roman"/>
          <w:sz w:val="24"/>
        </w:rPr>
        <w:t xml:space="preserve">pak by kromě diskuze o </w:t>
      </w:r>
      <w:r w:rsidR="00D0682B">
        <w:rPr>
          <w:rFonts w:ascii="Times New Roman" w:hAnsi="Times New Roman" w:cs="Times New Roman"/>
          <w:sz w:val="24"/>
        </w:rPr>
        <w:t xml:space="preserve">unijních </w:t>
      </w:r>
      <w:r w:rsidR="00AF602E">
        <w:rPr>
          <w:rFonts w:ascii="Times New Roman" w:hAnsi="Times New Roman" w:cs="Times New Roman"/>
          <w:sz w:val="24"/>
        </w:rPr>
        <w:t xml:space="preserve">institucionálních změnách </w:t>
      </w:r>
      <w:r w:rsidR="002033D4">
        <w:rPr>
          <w:rFonts w:ascii="Times New Roman" w:hAnsi="Times New Roman" w:cs="Times New Roman"/>
          <w:sz w:val="24"/>
        </w:rPr>
        <w:t xml:space="preserve">na místě </w:t>
      </w:r>
      <w:r w:rsidR="002D7595">
        <w:rPr>
          <w:rFonts w:ascii="Times New Roman" w:hAnsi="Times New Roman" w:cs="Times New Roman"/>
          <w:sz w:val="24"/>
        </w:rPr>
        <w:t xml:space="preserve">patrně </w:t>
      </w:r>
      <w:r w:rsidR="002033D4">
        <w:rPr>
          <w:rFonts w:ascii="Times New Roman" w:hAnsi="Times New Roman" w:cs="Times New Roman"/>
          <w:sz w:val="24"/>
        </w:rPr>
        <w:t>by</w:t>
      </w:r>
      <w:r w:rsidR="00AF602E">
        <w:rPr>
          <w:rFonts w:ascii="Times New Roman" w:hAnsi="Times New Roman" w:cs="Times New Roman"/>
          <w:sz w:val="24"/>
        </w:rPr>
        <w:t>la</w:t>
      </w:r>
      <w:r w:rsidR="002033D4">
        <w:rPr>
          <w:rFonts w:ascii="Times New Roman" w:hAnsi="Times New Roman" w:cs="Times New Roman"/>
          <w:sz w:val="24"/>
        </w:rPr>
        <w:t xml:space="preserve"> i otázka</w:t>
      </w:r>
      <w:r w:rsidR="0067694D">
        <w:rPr>
          <w:rFonts w:ascii="Times New Roman" w:hAnsi="Times New Roman" w:cs="Times New Roman"/>
          <w:sz w:val="24"/>
        </w:rPr>
        <w:t>, zda vůbec v nástroji jako je systém včasného varování</w:t>
      </w:r>
      <w:r w:rsidR="002519E3">
        <w:rPr>
          <w:rFonts w:ascii="Times New Roman" w:hAnsi="Times New Roman" w:cs="Times New Roman"/>
          <w:sz w:val="24"/>
        </w:rPr>
        <w:t xml:space="preserve"> a podobném zapojení </w:t>
      </w:r>
      <w:r w:rsidR="00FB2B35">
        <w:rPr>
          <w:rFonts w:ascii="Times New Roman" w:hAnsi="Times New Roman" w:cs="Times New Roman"/>
          <w:sz w:val="24"/>
        </w:rPr>
        <w:t>parlamentů</w:t>
      </w:r>
      <w:r w:rsidR="0067694D">
        <w:rPr>
          <w:rFonts w:ascii="Times New Roman" w:hAnsi="Times New Roman" w:cs="Times New Roman"/>
          <w:sz w:val="24"/>
        </w:rPr>
        <w:t xml:space="preserve"> pokračovat.</w:t>
      </w:r>
      <w:r w:rsidR="005C7761">
        <w:rPr>
          <w:rFonts w:ascii="Times New Roman" w:hAnsi="Times New Roman" w:cs="Times New Roman"/>
          <w:sz w:val="24"/>
        </w:rPr>
        <w:t xml:space="preserve"> Nao</w:t>
      </w:r>
      <w:r w:rsidR="004C235D">
        <w:rPr>
          <w:rFonts w:ascii="Times New Roman" w:hAnsi="Times New Roman" w:cs="Times New Roman"/>
          <w:sz w:val="24"/>
        </w:rPr>
        <w:t xml:space="preserve">pak pokud by byla zvolena cesta dalšího posílení nadnárodní úrovně a, slovy Komise, mnohem více by se dělalo společně, tak by se patrně našli mnozí, kteří by volali po posílení hlídací role parlamentů, </w:t>
      </w:r>
      <w:r w:rsidR="00C14F4D">
        <w:rPr>
          <w:rFonts w:ascii="Times New Roman" w:hAnsi="Times New Roman" w:cs="Times New Roman"/>
          <w:sz w:val="24"/>
        </w:rPr>
        <w:t>a to patrně</w:t>
      </w:r>
      <w:r w:rsidR="00413DF6">
        <w:rPr>
          <w:rFonts w:ascii="Times New Roman" w:hAnsi="Times New Roman" w:cs="Times New Roman"/>
          <w:sz w:val="24"/>
        </w:rPr>
        <w:t xml:space="preserve"> nejen vůči </w:t>
      </w:r>
      <w:r w:rsidR="00554F75">
        <w:rPr>
          <w:rFonts w:ascii="Times New Roman" w:hAnsi="Times New Roman" w:cs="Times New Roman"/>
          <w:sz w:val="24"/>
        </w:rPr>
        <w:t>dodržování zásady</w:t>
      </w:r>
      <w:r w:rsidR="00413DF6">
        <w:rPr>
          <w:rFonts w:ascii="Times New Roman" w:hAnsi="Times New Roman" w:cs="Times New Roman"/>
          <w:sz w:val="24"/>
        </w:rPr>
        <w:t xml:space="preserve"> subsidiarity.</w:t>
      </w:r>
      <w:r w:rsidR="00111316">
        <w:rPr>
          <w:rFonts w:ascii="Times New Roman" w:hAnsi="Times New Roman" w:cs="Times New Roman"/>
          <w:sz w:val="24"/>
        </w:rPr>
        <w:t xml:space="preserve"> </w:t>
      </w:r>
      <w:r w:rsidR="00831138">
        <w:rPr>
          <w:rFonts w:ascii="Times New Roman" w:hAnsi="Times New Roman" w:cs="Times New Roman"/>
          <w:sz w:val="24"/>
        </w:rPr>
        <w:t>Nejen p</w:t>
      </w:r>
      <w:r w:rsidR="00D52E16">
        <w:rPr>
          <w:rFonts w:ascii="Times New Roman" w:hAnsi="Times New Roman" w:cs="Times New Roman"/>
          <w:sz w:val="24"/>
        </w:rPr>
        <w:t xml:space="preserve">ři zvažování změn systému včasného </w:t>
      </w:r>
      <w:r w:rsidR="00D52E16">
        <w:rPr>
          <w:rFonts w:ascii="Times New Roman" w:hAnsi="Times New Roman" w:cs="Times New Roman"/>
          <w:sz w:val="24"/>
        </w:rPr>
        <w:lastRenderedPageBreak/>
        <w:t>varování</w:t>
      </w:r>
      <w:r w:rsidR="00873922">
        <w:rPr>
          <w:rFonts w:ascii="Times New Roman" w:hAnsi="Times New Roman" w:cs="Times New Roman"/>
          <w:sz w:val="24"/>
        </w:rPr>
        <w:t xml:space="preserve"> je</w:t>
      </w:r>
      <w:r w:rsidRPr="003B0D57">
        <w:rPr>
          <w:rFonts w:ascii="Times New Roman" w:hAnsi="Times New Roman" w:cs="Times New Roman"/>
          <w:sz w:val="24"/>
        </w:rPr>
        <w:t xml:space="preserve"> </w:t>
      </w:r>
      <w:r w:rsidR="00D768B1">
        <w:rPr>
          <w:rFonts w:ascii="Times New Roman" w:hAnsi="Times New Roman" w:cs="Times New Roman"/>
          <w:sz w:val="24"/>
        </w:rPr>
        <w:t xml:space="preserve">každopádně </w:t>
      </w:r>
      <w:r w:rsidRPr="003B0D57">
        <w:rPr>
          <w:rFonts w:ascii="Times New Roman" w:hAnsi="Times New Roman" w:cs="Times New Roman"/>
          <w:sz w:val="24"/>
        </w:rPr>
        <w:t>třeba mít na paměti dosavadní úspěšný vývoj evropské integrace a vliv m</w:t>
      </w:r>
      <w:r w:rsidR="005C02CB">
        <w:rPr>
          <w:rFonts w:ascii="Times New Roman" w:hAnsi="Times New Roman" w:cs="Times New Roman"/>
          <w:sz w:val="24"/>
        </w:rPr>
        <w:t>o</w:t>
      </w:r>
      <w:r w:rsidR="00315832">
        <w:rPr>
          <w:rFonts w:ascii="Times New Roman" w:hAnsi="Times New Roman" w:cs="Times New Roman"/>
          <w:sz w:val="24"/>
        </w:rPr>
        <w:t xml:space="preserve">žných změn na jeho pokračování. Zvážit je nutné také </w:t>
      </w:r>
      <w:r w:rsidR="005C02CB">
        <w:rPr>
          <w:rFonts w:ascii="Times New Roman" w:hAnsi="Times New Roman" w:cs="Times New Roman"/>
          <w:sz w:val="24"/>
        </w:rPr>
        <w:t>vliv</w:t>
      </w:r>
      <w:r w:rsidR="00315832">
        <w:rPr>
          <w:rFonts w:ascii="Times New Roman" w:hAnsi="Times New Roman" w:cs="Times New Roman"/>
          <w:sz w:val="24"/>
        </w:rPr>
        <w:t xml:space="preserve"> změn</w:t>
      </w:r>
      <w:r w:rsidR="005C02CB">
        <w:rPr>
          <w:rFonts w:ascii="Times New Roman" w:hAnsi="Times New Roman" w:cs="Times New Roman"/>
          <w:sz w:val="24"/>
        </w:rPr>
        <w:t xml:space="preserve"> na efektivitu</w:t>
      </w:r>
      <w:r w:rsidR="00AA569C">
        <w:rPr>
          <w:rFonts w:ascii="Times New Roman" w:hAnsi="Times New Roman" w:cs="Times New Roman"/>
          <w:sz w:val="24"/>
        </w:rPr>
        <w:t xml:space="preserve"> a rychlost</w:t>
      </w:r>
      <w:r w:rsidR="005C02CB">
        <w:rPr>
          <w:rFonts w:ascii="Times New Roman" w:hAnsi="Times New Roman" w:cs="Times New Roman"/>
          <w:sz w:val="24"/>
        </w:rPr>
        <w:t xml:space="preserve"> unijního rozhodovacího procesu.</w:t>
      </w:r>
      <w:r w:rsidR="00C21E33">
        <w:rPr>
          <w:rFonts w:ascii="Times New Roman" w:hAnsi="Times New Roman" w:cs="Times New Roman"/>
          <w:sz w:val="24"/>
        </w:rPr>
        <w:t xml:space="preserve"> Tyto aspekty </w:t>
      </w:r>
      <w:r w:rsidR="00AF71A8">
        <w:rPr>
          <w:rFonts w:ascii="Times New Roman" w:hAnsi="Times New Roman" w:cs="Times New Roman"/>
          <w:sz w:val="24"/>
        </w:rPr>
        <w:t xml:space="preserve">totiž </w:t>
      </w:r>
      <w:r w:rsidR="00C21E33">
        <w:rPr>
          <w:rFonts w:ascii="Times New Roman" w:hAnsi="Times New Roman" w:cs="Times New Roman"/>
          <w:sz w:val="24"/>
        </w:rPr>
        <w:t xml:space="preserve">mohou být </w:t>
      </w:r>
      <w:r w:rsidR="00FB0909">
        <w:rPr>
          <w:rFonts w:ascii="Times New Roman" w:hAnsi="Times New Roman" w:cs="Times New Roman"/>
          <w:sz w:val="24"/>
        </w:rPr>
        <w:t xml:space="preserve">rozhodující </w:t>
      </w:r>
      <w:r w:rsidR="00C21E33">
        <w:rPr>
          <w:rFonts w:ascii="Times New Roman" w:hAnsi="Times New Roman" w:cs="Times New Roman"/>
          <w:sz w:val="24"/>
        </w:rPr>
        <w:t>při řešení kontinentálních či</w:t>
      </w:r>
      <w:r w:rsidR="00FB0909">
        <w:rPr>
          <w:rFonts w:ascii="Times New Roman" w:hAnsi="Times New Roman" w:cs="Times New Roman"/>
          <w:sz w:val="24"/>
        </w:rPr>
        <w:t xml:space="preserve"> globálních problémů</w:t>
      </w:r>
      <w:r w:rsidR="00C21E33">
        <w:rPr>
          <w:rFonts w:ascii="Times New Roman" w:hAnsi="Times New Roman" w:cs="Times New Roman"/>
          <w:sz w:val="24"/>
        </w:rPr>
        <w:t>.</w:t>
      </w:r>
      <w:r w:rsidR="00964D02">
        <w:rPr>
          <w:rFonts w:ascii="Times New Roman" w:hAnsi="Times New Roman" w:cs="Times New Roman"/>
          <w:sz w:val="24"/>
        </w:rPr>
        <w:t xml:space="preserve"> Na druhou stranu,</w:t>
      </w:r>
      <w:r w:rsidR="000E3D67">
        <w:rPr>
          <w:rFonts w:ascii="Times New Roman" w:hAnsi="Times New Roman" w:cs="Times New Roman"/>
          <w:sz w:val="24"/>
        </w:rPr>
        <w:t xml:space="preserve"> pokud jde o systém včasného varování, tak dle našeho názoru platí, že</w:t>
      </w:r>
      <w:r w:rsidR="00964D02">
        <w:rPr>
          <w:rFonts w:ascii="Times New Roman" w:hAnsi="Times New Roman" w:cs="Times New Roman"/>
          <w:sz w:val="24"/>
        </w:rPr>
        <w:t xml:space="preserve"> existuje-li zde nástroj pro kontrolu zásady subsidiarity ze strany parlamentů, měly by být vyvíjeny snahy zajistit jeho lepší fungování.</w:t>
      </w:r>
      <w:r w:rsidR="00D03385">
        <w:rPr>
          <w:rFonts w:ascii="Times New Roman" w:hAnsi="Times New Roman" w:cs="Times New Roman"/>
          <w:sz w:val="24"/>
        </w:rPr>
        <w:t xml:space="preserve"> </w:t>
      </w:r>
    </w:p>
    <w:p w:rsidR="00D62310" w:rsidRDefault="00D62310" w:rsidP="00401DEA">
      <w:pPr>
        <w:spacing w:line="360" w:lineRule="auto"/>
        <w:ind w:firstLine="708"/>
        <w:jc w:val="both"/>
        <w:rPr>
          <w:rFonts w:ascii="Times New Roman" w:hAnsi="Times New Roman" w:cs="Times New Roman"/>
          <w:sz w:val="24"/>
        </w:rPr>
      </w:pPr>
    </w:p>
    <w:p w:rsidR="006F4B54" w:rsidRDefault="006F4B54"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2212EA" w:rsidRDefault="002212EA" w:rsidP="002D4154">
      <w:pPr>
        <w:spacing w:line="360" w:lineRule="auto"/>
        <w:jc w:val="both"/>
        <w:rPr>
          <w:rFonts w:ascii="Times New Roman" w:hAnsi="Times New Roman" w:cs="Times New Roman"/>
          <w:sz w:val="24"/>
        </w:rPr>
      </w:pPr>
    </w:p>
    <w:p w:rsidR="007F698C" w:rsidRDefault="002D4154" w:rsidP="008B27B9">
      <w:pPr>
        <w:pStyle w:val="Nadpis1"/>
        <w:spacing w:before="0"/>
      </w:pPr>
      <w:bookmarkStart w:id="35" w:name="_Toc478235181"/>
      <w:r w:rsidRPr="002D4154">
        <w:lastRenderedPageBreak/>
        <w:t>Seznam použitých zdrojů</w:t>
      </w:r>
      <w:bookmarkEnd w:id="35"/>
    </w:p>
    <w:p w:rsidR="008B27B9" w:rsidRPr="008B27B9" w:rsidRDefault="008B27B9" w:rsidP="008B27B9"/>
    <w:p w:rsidR="007F698C" w:rsidRDefault="007F698C" w:rsidP="008B27B9">
      <w:pPr>
        <w:pStyle w:val="Nadpis2"/>
        <w:spacing w:before="0" w:line="360" w:lineRule="auto"/>
      </w:pPr>
      <w:bookmarkStart w:id="36" w:name="_Toc478235182"/>
      <w:r>
        <w:t>Primární zdroje</w:t>
      </w:r>
      <w:bookmarkEnd w:id="36"/>
    </w:p>
    <w:p w:rsidR="00416557" w:rsidRDefault="00416557" w:rsidP="0040090F">
      <w:pPr>
        <w:spacing w:line="360" w:lineRule="auto"/>
        <w:jc w:val="both"/>
        <w:rPr>
          <w:rFonts w:ascii="Times New Roman" w:hAnsi="Times New Roman" w:cs="Times New Roman"/>
          <w:sz w:val="24"/>
          <w:szCs w:val="24"/>
        </w:rPr>
      </w:pPr>
      <w:proofErr w:type="spellStart"/>
      <w:r w:rsidRPr="002B3AA2">
        <w:rPr>
          <w:rFonts w:ascii="Times New Roman" w:hAnsi="Times New Roman" w:cs="Times New Roman"/>
          <w:sz w:val="24"/>
          <w:szCs w:val="24"/>
        </w:rPr>
        <w:t>Be</w:t>
      </w:r>
      <w:r w:rsidR="00A6195A">
        <w:rPr>
          <w:rFonts w:ascii="Times New Roman" w:hAnsi="Times New Roman" w:cs="Times New Roman"/>
          <w:sz w:val="24"/>
          <w:szCs w:val="24"/>
        </w:rPr>
        <w:t>tter</w:t>
      </w:r>
      <w:proofErr w:type="spellEnd"/>
      <w:r w:rsidR="00A6195A">
        <w:rPr>
          <w:rFonts w:ascii="Times New Roman" w:hAnsi="Times New Roman" w:cs="Times New Roman"/>
          <w:sz w:val="24"/>
          <w:szCs w:val="24"/>
        </w:rPr>
        <w:t xml:space="preserve"> </w:t>
      </w:r>
      <w:proofErr w:type="spellStart"/>
      <w:r w:rsidR="00A6195A">
        <w:rPr>
          <w:rFonts w:ascii="Times New Roman" w:hAnsi="Times New Roman" w:cs="Times New Roman"/>
          <w:sz w:val="24"/>
          <w:szCs w:val="24"/>
        </w:rPr>
        <w:t>Regulation</w:t>
      </w:r>
      <w:proofErr w:type="spellEnd"/>
      <w:r w:rsidR="00A6195A">
        <w:rPr>
          <w:rFonts w:ascii="Times New Roman" w:hAnsi="Times New Roman" w:cs="Times New Roman"/>
          <w:sz w:val="24"/>
          <w:szCs w:val="24"/>
        </w:rPr>
        <w:t xml:space="preserve"> </w:t>
      </w:r>
      <w:proofErr w:type="spellStart"/>
      <w:r w:rsidR="00A6195A">
        <w:rPr>
          <w:rFonts w:ascii="Times New Roman" w:hAnsi="Times New Roman" w:cs="Times New Roman"/>
          <w:sz w:val="24"/>
          <w:szCs w:val="24"/>
        </w:rPr>
        <w:t>Guidelines</w:t>
      </w:r>
      <w:proofErr w:type="spellEnd"/>
      <w:r w:rsidR="00A6195A">
        <w:rPr>
          <w:rFonts w:ascii="Times New Roman" w:hAnsi="Times New Roman" w:cs="Times New Roman"/>
          <w:sz w:val="24"/>
          <w:szCs w:val="24"/>
        </w:rPr>
        <w:t xml:space="preserve">. </w:t>
      </w:r>
      <w:proofErr w:type="gramStart"/>
      <w:r w:rsidR="00A6195A">
        <w:rPr>
          <w:rFonts w:ascii="Times New Roman" w:hAnsi="Times New Roman" w:cs="Times New Roman"/>
          <w:sz w:val="24"/>
          <w:szCs w:val="24"/>
        </w:rPr>
        <w:t>SWD</w:t>
      </w:r>
      <w:r w:rsidRPr="002B3AA2">
        <w:rPr>
          <w:rFonts w:ascii="Times New Roman" w:hAnsi="Times New Roman" w:cs="Times New Roman"/>
          <w:sz w:val="24"/>
          <w:szCs w:val="24"/>
        </w:rPr>
        <w:t>(</w:t>
      </w:r>
      <w:proofErr w:type="gramEnd"/>
      <w:r w:rsidRPr="002B3AA2">
        <w:rPr>
          <w:rFonts w:ascii="Times New Roman" w:hAnsi="Times New Roman" w:cs="Times New Roman"/>
          <w:sz w:val="24"/>
          <w:szCs w:val="24"/>
        </w:rPr>
        <w:t xml:space="preserve">2015) 111 </w:t>
      </w:r>
      <w:proofErr w:type="spellStart"/>
      <w:r w:rsidRPr="002B3AA2">
        <w:rPr>
          <w:rFonts w:ascii="Times New Roman" w:hAnsi="Times New Roman" w:cs="Times New Roman"/>
          <w:sz w:val="24"/>
          <w:szCs w:val="24"/>
        </w:rPr>
        <w:t>final</w:t>
      </w:r>
      <w:proofErr w:type="spellEnd"/>
      <w:r w:rsidRPr="002B3AA2">
        <w:rPr>
          <w:rFonts w:ascii="Times New Roman" w:hAnsi="Times New Roman" w:cs="Times New Roman"/>
          <w:sz w:val="24"/>
          <w:szCs w:val="24"/>
        </w:rPr>
        <w:t>, 19. května 2015.</w:t>
      </w:r>
    </w:p>
    <w:p w:rsidR="005A01E7" w:rsidRPr="005A01E7" w:rsidRDefault="005A01E7" w:rsidP="0040090F">
      <w:pPr>
        <w:spacing w:line="360" w:lineRule="auto"/>
        <w:jc w:val="both"/>
        <w:rPr>
          <w:rFonts w:ascii="Times New Roman" w:hAnsi="Times New Roman" w:cs="Times New Roman"/>
          <w:sz w:val="28"/>
          <w:szCs w:val="24"/>
        </w:rPr>
      </w:pPr>
      <w:r w:rsidRPr="005A01E7">
        <w:rPr>
          <w:rFonts w:ascii="Times New Roman" w:hAnsi="Times New Roman" w:cs="Times New Roman"/>
          <w:sz w:val="24"/>
        </w:rPr>
        <w:t xml:space="preserve">Bílá kniha o budoucnosti Evropy. </w:t>
      </w:r>
      <w:proofErr w:type="gramStart"/>
      <w:r w:rsidRPr="005A01E7">
        <w:rPr>
          <w:rFonts w:ascii="Times New Roman" w:hAnsi="Times New Roman" w:cs="Times New Roman"/>
          <w:sz w:val="24"/>
        </w:rPr>
        <w:t>COM(</w:t>
      </w:r>
      <w:proofErr w:type="gramEnd"/>
      <w:r w:rsidRPr="005A01E7">
        <w:rPr>
          <w:rFonts w:ascii="Times New Roman" w:hAnsi="Times New Roman" w:cs="Times New Roman"/>
          <w:sz w:val="24"/>
        </w:rPr>
        <w:t>2017)2025, 1. března 2017.</w:t>
      </w:r>
    </w:p>
    <w:p w:rsidR="00416557" w:rsidRDefault="00416557" w:rsidP="0040090F">
      <w:pPr>
        <w:spacing w:line="360" w:lineRule="auto"/>
        <w:jc w:val="both"/>
        <w:rPr>
          <w:rFonts w:ascii="Times New Roman" w:hAnsi="Times New Roman" w:cs="Times New Roman"/>
          <w:sz w:val="24"/>
        </w:rPr>
      </w:pPr>
      <w:r w:rsidRPr="0007629F">
        <w:rPr>
          <w:rFonts w:ascii="Times New Roman" w:hAnsi="Times New Roman" w:cs="Times New Roman"/>
          <w:sz w:val="24"/>
        </w:rPr>
        <w:t xml:space="preserve">COSAC. </w:t>
      </w:r>
      <w:proofErr w:type="spellStart"/>
      <w:r w:rsidRPr="0007629F">
        <w:rPr>
          <w:rFonts w:ascii="Times New Roman" w:hAnsi="Times New Roman" w:cs="Times New Roman"/>
          <w:i/>
          <w:sz w:val="24"/>
        </w:rPr>
        <w:t>Twenty</w:t>
      </w:r>
      <w:proofErr w:type="spellEnd"/>
      <w:r w:rsidRPr="0007629F">
        <w:rPr>
          <w:rFonts w:ascii="Times New Roman" w:hAnsi="Times New Roman" w:cs="Times New Roman"/>
          <w:i/>
          <w:sz w:val="24"/>
        </w:rPr>
        <w:t xml:space="preserve">-second </w:t>
      </w:r>
      <w:proofErr w:type="spellStart"/>
      <w:r w:rsidRPr="0007629F">
        <w:rPr>
          <w:rFonts w:ascii="Times New Roman" w:hAnsi="Times New Roman" w:cs="Times New Roman"/>
          <w:i/>
          <w:sz w:val="24"/>
        </w:rPr>
        <w:t>Bi-annual</w:t>
      </w:r>
      <w:proofErr w:type="spellEnd"/>
      <w:r w:rsidRPr="0007629F">
        <w:rPr>
          <w:rFonts w:ascii="Times New Roman" w:hAnsi="Times New Roman" w:cs="Times New Roman"/>
          <w:i/>
          <w:sz w:val="24"/>
        </w:rPr>
        <w:t xml:space="preserve"> Report: </w:t>
      </w:r>
      <w:proofErr w:type="spellStart"/>
      <w:r w:rsidRPr="0007629F">
        <w:rPr>
          <w:rFonts w:ascii="Times New Roman" w:hAnsi="Times New Roman" w:cs="Times New Roman"/>
          <w:i/>
          <w:sz w:val="24"/>
        </w:rPr>
        <w:t>Developments</w:t>
      </w:r>
      <w:proofErr w:type="spellEnd"/>
      <w:r w:rsidRPr="0007629F">
        <w:rPr>
          <w:rFonts w:ascii="Times New Roman" w:hAnsi="Times New Roman" w:cs="Times New Roman"/>
          <w:i/>
          <w:sz w:val="24"/>
        </w:rPr>
        <w:t xml:space="preserve"> in </w:t>
      </w:r>
      <w:proofErr w:type="spellStart"/>
      <w:r w:rsidRPr="0007629F">
        <w:rPr>
          <w:rFonts w:ascii="Times New Roman" w:hAnsi="Times New Roman" w:cs="Times New Roman"/>
          <w:i/>
          <w:sz w:val="24"/>
        </w:rPr>
        <w:t>European</w:t>
      </w:r>
      <w:proofErr w:type="spellEnd"/>
      <w:r w:rsidRPr="0007629F">
        <w:rPr>
          <w:rFonts w:ascii="Times New Roman" w:hAnsi="Times New Roman" w:cs="Times New Roman"/>
          <w:i/>
          <w:sz w:val="24"/>
        </w:rPr>
        <w:t xml:space="preserve"> Union </w:t>
      </w:r>
      <w:proofErr w:type="spellStart"/>
      <w:r w:rsidRPr="0007629F">
        <w:rPr>
          <w:rFonts w:ascii="Times New Roman" w:hAnsi="Times New Roman" w:cs="Times New Roman"/>
          <w:i/>
          <w:sz w:val="24"/>
        </w:rPr>
        <w:t>Procedures</w:t>
      </w:r>
      <w:proofErr w:type="spellEnd"/>
      <w:r w:rsidRPr="0007629F">
        <w:rPr>
          <w:rFonts w:ascii="Times New Roman" w:hAnsi="Times New Roman" w:cs="Times New Roman"/>
          <w:i/>
          <w:sz w:val="24"/>
        </w:rPr>
        <w:t xml:space="preserve"> and </w:t>
      </w:r>
      <w:proofErr w:type="spellStart"/>
      <w:r w:rsidRPr="0007629F">
        <w:rPr>
          <w:rFonts w:ascii="Times New Roman" w:hAnsi="Times New Roman" w:cs="Times New Roman"/>
          <w:i/>
          <w:sz w:val="24"/>
        </w:rPr>
        <w:t>Practices</w:t>
      </w:r>
      <w:proofErr w:type="spellEnd"/>
      <w:r w:rsidRPr="0007629F">
        <w:rPr>
          <w:rFonts w:ascii="Times New Roman" w:hAnsi="Times New Roman" w:cs="Times New Roman"/>
          <w:i/>
          <w:sz w:val="24"/>
        </w:rPr>
        <w:t xml:space="preserve"> </w:t>
      </w:r>
      <w:proofErr w:type="spellStart"/>
      <w:r w:rsidRPr="0007629F">
        <w:rPr>
          <w:rFonts w:ascii="Times New Roman" w:hAnsi="Times New Roman" w:cs="Times New Roman"/>
          <w:i/>
          <w:sz w:val="24"/>
        </w:rPr>
        <w:t>Relevant</w:t>
      </w:r>
      <w:proofErr w:type="spellEnd"/>
      <w:r w:rsidRPr="0007629F">
        <w:rPr>
          <w:rFonts w:ascii="Times New Roman" w:hAnsi="Times New Roman" w:cs="Times New Roman"/>
          <w:i/>
          <w:sz w:val="24"/>
        </w:rPr>
        <w:t xml:space="preserve"> to </w:t>
      </w:r>
      <w:proofErr w:type="spellStart"/>
      <w:r w:rsidRPr="0007629F">
        <w:rPr>
          <w:rFonts w:ascii="Times New Roman" w:hAnsi="Times New Roman" w:cs="Times New Roman"/>
          <w:i/>
          <w:sz w:val="24"/>
        </w:rPr>
        <w:t>Parliamentary</w:t>
      </w:r>
      <w:proofErr w:type="spellEnd"/>
      <w:r w:rsidRPr="0007629F">
        <w:rPr>
          <w:rFonts w:ascii="Times New Roman" w:hAnsi="Times New Roman" w:cs="Times New Roman"/>
          <w:i/>
          <w:sz w:val="24"/>
        </w:rPr>
        <w:t xml:space="preserve"> </w:t>
      </w:r>
      <w:proofErr w:type="spellStart"/>
      <w:r w:rsidRPr="0007629F">
        <w:rPr>
          <w:rFonts w:ascii="Times New Roman" w:hAnsi="Times New Roman" w:cs="Times New Roman"/>
          <w:i/>
          <w:sz w:val="24"/>
        </w:rPr>
        <w:t>Scrutiny</w:t>
      </w:r>
      <w:proofErr w:type="spellEnd"/>
      <w:r w:rsidRPr="0007629F">
        <w:rPr>
          <w:rFonts w:ascii="Times New Roman" w:hAnsi="Times New Roman" w:cs="Times New Roman"/>
          <w:sz w:val="24"/>
        </w:rPr>
        <w:t xml:space="preserve"> [online]. COSAC, 4. listopadu 2014 [cit. 18. listopadu 2016]. Dostupné na &lt;http://www.cosac.eu/</w:t>
      </w:r>
      <w:proofErr w:type="spellStart"/>
      <w:r w:rsidRPr="0007629F">
        <w:rPr>
          <w:rFonts w:ascii="Times New Roman" w:hAnsi="Times New Roman" w:cs="Times New Roman"/>
          <w:sz w:val="24"/>
        </w:rPr>
        <w:t>documents</w:t>
      </w:r>
      <w:proofErr w:type="spellEnd"/>
      <w:r w:rsidRPr="0007629F">
        <w:rPr>
          <w:rFonts w:ascii="Times New Roman" w:hAnsi="Times New Roman" w:cs="Times New Roman"/>
          <w:sz w:val="24"/>
        </w:rPr>
        <w:t>/</w:t>
      </w:r>
      <w:proofErr w:type="spellStart"/>
      <w:r w:rsidRPr="0007629F">
        <w:rPr>
          <w:rFonts w:ascii="Times New Roman" w:hAnsi="Times New Roman" w:cs="Times New Roman"/>
          <w:sz w:val="24"/>
        </w:rPr>
        <w:t>bi-annual-reports-of-cosac</w:t>
      </w:r>
      <w:proofErr w:type="spellEnd"/>
      <w:r w:rsidRPr="0007629F">
        <w:rPr>
          <w:rFonts w:ascii="Times New Roman" w:hAnsi="Times New Roman" w:cs="Times New Roman"/>
          <w:sz w:val="24"/>
        </w:rPr>
        <w:t>/&gt;.</w:t>
      </w:r>
    </w:p>
    <w:p w:rsidR="00416557" w:rsidRDefault="00416557" w:rsidP="0040090F">
      <w:pPr>
        <w:spacing w:line="360" w:lineRule="auto"/>
        <w:jc w:val="both"/>
        <w:rPr>
          <w:rFonts w:ascii="Times New Roman" w:hAnsi="Times New Roman" w:cs="Times New Roman"/>
          <w:sz w:val="24"/>
          <w:szCs w:val="20"/>
        </w:rPr>
      </w:pPr>
      <w:r w:rsidRPr="00527C05">
        <w:rPr>
          <w:rFonts w:ascii="Times New Roman" w:hAnsi="Times New Roman" w:cs="Times New Roman"/>
          <w:sz w:val="24"/>
          <w:szCs w:val="20"/>
        </w:rPr>
        <w:t xml:space="preserve">COSAC. </w:t>
      </w:r>
      <w:proofErr w:type="spellStart"/>
      <w:r w:rsidRPr="00527C05">
        <w:rPr>
          <w:rFonts w:ascii="Times New Roman" w:hAnsi="Times New Roman" w:cs="Times New Roman"/>
          <w:i/>
          <w:sz w:val="24"/>
          <w:szCs w:val="20"/>
        </w:rPr>
        <w:t>Twenty-fourth</w:t>
      </w:r>
      <w:proofErr w:type="spellEnd"/>
      <w:r w:rsidRPr="00527C05">
        <w:rPr>
          <w:rFonts w:ascii="Times New Roman" w:hAnsi="Times New Roman" w:cs="Times New Roman"/>
          <w:i/>
          <w:sz w:val="24"/>
          <w:szCs w:val="20"/>
        </w:rPr>
        <w:t xml:space="preserve"> </w:t>
      </w:r>
      <w:proofErr w:type="spellStart"/>
      <w:r w:rsidRPr="00527C05">
        <w:rPr>
          <w:rFonts w:ascii="Times New Roman" w:hAnsi="Times New Roman" w:cs="Times New Roman"/>
          <w:i/>
          <w:sz w:val="24"/>
          <w:szCs w:val="20"/>
        </w:rPr>
        <w:t>Bi-annual</w:t>
      </w:r>
      <w:proofErr w:type="spellEnd"/>
      <w:r w:rsidRPr="00527C05">
        <w:rPr>
          <w:rFonts w:ascii="Times New Roman" w:hAnsi="Times New Roman" w:cs="Times New Roman"/>
          <w:i/>
          <w:sz w:val="24"/>
          <w:szCs w:val="20"/>
        </w:rPr>
        <w:t xml:space="preserve"> Report: </w:t>
      </w:r>
      <w:proofErr w:type="spellStart"/>
      <w:r w:rsidRPr="00527C05">
        <w:rPr>
          <w:rFonts w:ascii="Times New Roman" w:hAnsi="Times New Roman" w:cs="Times New Roman"/>
          <w:i/>
          <w:sz w:val="24"/>
          <w:szCs w:val="20"/>
        </w:rPr>
        <w:t>Developments</w:t>
      </w:r>
      <w:proofErr w:type="spellEnd"/>
      <w:r w:rsidRPr="00527C05">
        <w:rPr>
          <w:rFonts w:ascii="Times New Roman" w:hAnsi="Times New Roman" w:cs="Times New Roman"/>
          <w:i/>
          <w:sz w:val="24"/>
          <w:szCs w:val="20"/>
        </w:rPr>
        <w:t xml:space="preserve"> in </w:t>
      </w:r>
      <w:proofErr w:type="spellStart"/>
      <w:r w:rsidRPr="00527C05">
        <w:rPr>
          <w:rFonts w:ascii="Times New Roman" w:hAnsi="Times New Roman" w:cs="Times New Roman"/>
          <w:i/>
          <w:sz w:val="24"/>
          <w:szCs w:val="20"/>
        </w:rPr>
        <w:t>European</w:t>
      </w:r>
      <w:proofErr w:type="spellEnd"/>
      <w:r w:rsidRPr="00527C05">
        <w:rPr>
          <w:rFonts w:ascii="Times New Roman" w:hAnsi="Times New Roman" w:cs="Times New Roman"/>
          <w:i/>
          <w:sz w:val="24"/>
          <w:szCs w:val="20"/>
        </w:rPr>
        <w:t xml:space="preserve"> Union </w:t>
      </w:r>
      <w:proofErr w:type="spellStart"/>
      <w:r w:rsidRPr="00527C05">
        <w:rPr>
          <w:rFonts w:ascii="Times New Roman" w:hAnsi="Times New Roman" w:cs="Times New Roman"/>
          <w:i/>
          <w:sz w:val="24"/>
          <w:szCs w:val="20"/>
        </w:rPr>
        <w:t>Procedures</w:t>
      </w:r>
      <w:proofErr w:type="spellEnd"/>
      <w:r w:rsidRPr="00527C05">
        <w:rPr>
          <w:rFonts w:ascii="Times New Roman" w:hAnsi="Times New Roman" w:cs="Times New Roman"/>
          <w:i/>
          <w:sz w:val="24"/>
          <w:szCs w:val="20"/>
        </w:rPr>
        <w:t xml:space="preserve"> and </w:t>
      </w:r>
      <w:proofErr w:type="spellStart"/>
      <w:r w:rsidRPr="00527C05">
        <w:rPr>
          <w:rFonts w:ascii="Times New Roman" w:hAnsi="Times New Roman" w:cs="Times New Roman"/>
          <w:i/>
          <w:sz w:val="24"/>
          <w:szCs w:val="20"/>
        </w:rPr>
        <w:t>Practices</w:t>
      </w:r>
      <w:proofErr w:type="spellEnd"/>
      <w:r w:rsidRPr="00527C05">
        <w:rPr>
          <w:rFonts w:ascii="Times New Roman" w:hAnsi="Times New Roman" w:cs="Times New Roman"/>
          <w:i/>
          <w:sz w:val="24"/>
          <w:szCs w:val="20"/>
        </w:rPr>
        <w:t xml:space="preserve"> </w:t>
      </w:r>
      <w:proofErr w:type="spellStart"/>
      <w:r w:rsidRPr="00527C05">
        <w:rPr>
          <w:rFonts w:ascii="Times New Roman" w:hAnsi="Times New Roman" w:cs="Times New Roman"/>
          <w:i/>
          <w:sz w:val="24"/>
          <w:szCs w:val="20"/>
        </w:rPr>
        <w:t>Relevant</w:t>
      </w:r>
      <w:proofErr w:type="spellEnd"/>
      <w:r w:rsidRPr="00527C05">
        <w:rPr>
          <w:rFonts w:ascii="Times New Roman" w:hAnsi="Times New Roman" w:cs="Times New Roman"/>
          <w:i/>
          <w:sz w:val="24"/>
          <w:szCs w:val="20"/>
        </w:rPr>
        <w:t xml:space="preserve"> to </w:t>
      </w:r>
      <w:proofErr w:type="spellStart"/>
      <w:r w:rsidRPr="00527C05">
        <w:rPr>
          <w:rFonts w:ascii="Times New Roman" w:hAnsi="Times New Roman" w:cs="Times New Roman"/>
          <w:i/>
          <w:sz w:val="24"/>
          <w:szCs w:val="20"/>
        </w:rPr>
        <w:t>Parliamentary</w:t>
      </w:r>
      <w:proofErr w:type="spellEnd"/>
      <w:r w:rsidRPr="00527C05">
        <w:rPr>
          <w:rFonts w:ascii="Times New Roman" w:hAnsi="Times New Roman" w:cs="Times New Roman"/>
          <w:i/>
          <w:sz w:val="24"/>
          <w:szCs w:val="20"/>
        </w:rPr>
        <w:t xml:space="preserve"> </w:t>
      </w:r>
      <w:proofErr w:type="spellStart"/>
      <w:r w:rsidRPr="00527C05">
        <w:rPr>
          <w:rFonts w:ascii="Times New Roman" w:hAnsi="Times New Roman" w:cs="Times New Roman"/>
          <w:i/>
          <w:sz w:val="24"/>
          <w:szCs w:val="20"/>
        </w:rPr>
        <w:t>Scrutiny</w:t>
      </w:r>
      <w:proofErr w:type="spellEnd"/>
      <w:r w:rsidR="00860CB8">
        <w:rPr>
          <w:rFonts w:ascii="Times New Roman" w:hAnsi="Times New Roman" w:cs="Times New Roman"/>
          <w:sz w:val="24"/>
          <w:szCs w:val="20"/>
        </w:rPr>
        <w:t xml:space="preserve"> [online]. COSAC, 4. listo</w:t>
      </w:r>
      <w:r w:rsidRPr="00527C05">
        <w:rPr>
          <w:rFonts w:ascii="Times New Roman" w:hAnsi="Times New Roman" w:cs="Times New Roman"/>
          <w:sz w:val="24"/>
          <w:szCs w:val="20"/>
        </w:rPr>
        <w:t>padu 2015 [cit. 19. listopadu 2016]. Dostupné na &lt;http://www.cosac.eu/</w:t>
      </w:r>
      <w:proofErr w:type="spellStart"/>
      <w:r w:rsidRPr="00527C05">
        <w:rPr>
          <w:rFonts w:ascii="Times New Roman" w:hAnsi="Times New Roman" w:cs="Times New Roman"/>
          <w:sz w:val="24"/>
          <w:szCs w:val="20"/>
        </w:rPr>
        <w:t>documents</w:t>
      </w:r>
      <w:proofErr w:type="spellEnd"/>
      <w:r w:rsidRPr="00527C05">
        <w:rPr>
          <w:rFonts w:ascii="Times New Roman" w:hAnsi="Times New Roman" w:cs="Times New Roman"/>
          <w:sz w:val="24"/>
          <w:szCs w:val="20"/>
        </w:rPr>
        <w:t>/</w:t>
      </w:r>
      <w:proofErr w:type="spellStart"/>
      <w:r w:rsidRPr="00527C05">
        <w:rPr>
          <w:rFonts w:ascii="Times New Roman" w:hAnsi="Times New Roman" w:cs="Times New Roman"/>
          <w:sz w:val="24"/>
          <w:szCs w:val="20"/>
        </w:rPr>
        <w:t>bi-annual-reports-of-cosac</w:t>
      </w:r>
      <w:proofErr w:type="spellEnd"/>
      <w:r w:rsidRPr="00527C05">
        <w:rPr>
          <w:rFonts w:ascii="Times New Roman" w:hAnsi="Times New Roman" w:cs="Times New Roman"/>
          <w:sz w:val="24"/>
          <w:szCs w:val="20"/>
        </w:rPr>
        <w:t>/&gt;.</w:t>
      </w:r>
    </w:p>
    <w:p w:rsidR="00416557" w:rsidRPr="00E123F9" w:rsidRDefault="00416557" w:rsidP="0040090F">
      <w:pPr>
        <w:spacing w:line="360" w:lineRule="auto"/>
        <w:jc w:val="both"/>
        <w:rPr>
          <w:rFonts w:ascii="Times New Roman" w:hAnsi="Times New Roman" w:cs="Times New Roman"/>
          <w:sz w:val="24"/>
        </w:rPr>
      </w:pPr>
      <w:r w:rsidRPr="00E123F9">
        <w:rPr>
          <w:rFonts w:ascii="Times New Roman" w:hAnsi="Times New Roman" w:cs="Times New Roman"/>
          <w:sz w:val="24"/>
        </w:rPr>
        <w:t xml:space="preserve">EVROPSKÁ KOMISE. </w:t>
      </w:r>
      <w:r w:rsidRPr="00E123F9">
        <w:rPr>
          <w:rFonts w:ascii="Times New Roman" w:hAnsi="Times New Roman" w:cs="Times New Roman"/>
          <w:i/>
          <w:sz w:val="24"/>
        </w:rPr>
        <w:t>Tisková zpráva: Vysílání pracovníků: Komise diskutuje o připomínkách předložených národními parlamenty</w:t>
      </w:r>
      <w:r w:rsidRPr="00E123F9">
        <w:rPr>
          <w:rFonts w:ascii="Times New Roman" w:hAnsi="Times New Roman" w:cs="Times New Roman"/>
          <w:sz w:val="24"/>
        </w:rPr>
        <w:t xml:space="preserve"> [online]. Evropská unie, 20. července 2016 [cit. 25. února 2017]. Dostupné na &lt;http://europa.eu/rapid/press-release_IP-16-2546_cs.htm&gt;.</w:t>
      </w:r>
    </w:p>
    <w:p w:rsidR="00416557" w:rsidRDefault="00416557" w:rsidP="0040090F">
      <w:pPr>
        <w:spacing w:line="360" w:lineRule="auto"/>
        <w:jc w:val="both"/>
        <w:rPr>
          <w:rFonts w:ascii="Times New Roman" w:hAnsi="Times New Roman" w:cs="Times New Roman"/>
          <w:sz w:val="24"/>
          <w:szCs w:val="24"/>
        </w:rPr>
      </w:pPr>
      <w:r>
        <w:rPr>
          <w:rFonts w:ascii="Times New Roman" w:hAnsi="Times New Roman" w:cs="Times New Roman"/>
          <w:sz w:val="24"/>
          <w:szCs w:val="24"/>
        </w:rPr>
        <w:t>EVROPSKÝ PARLAMENT</w:t>
      </w:r>
      <w:r w:rsidRPr="00117DBD">
        <w:rPr>
          <w:rFonts w:ascii="Times New Roman" w:hAnsi="Times New Roman" w:cs="Times New Roman"/>
          <w:sz w:val="24"/>
          <w:szCs w:val="24"/>
        </w:rPr>
        <w:t xml:space="preserve">. </w:t>
      </w:r>
      <w:r w:rsidRPr="00DB3922">
        <w:rPr>
          <w:rFonts w:ascii="Times New Roman" w:hAnsi="Times New Roman" w:cs="Times New Roman"/>
          <w:i/>
          <w:sz w:val="24"/>
          <w:szCs w:val="24"/>
        </w:rPr>
        <w:t>Vnitrostátní parlamenty v EU</w:t>
      </w:r>
      <w:r>
        <w:rPr>
          <w:rFonts w:ascii="Times New Roman" w:hAnsi="Times New Roman" w:cs="Times New Roman"/>
          <w:sz w:val="24"/>
          <w:szCs w:val="24"/>
        </w:rPr>
        <w:t xml:space="preserve"> [online]. Evropská unie</w:t>
      </w:r>
      <w:r w:rsidRPr="00117DBD">
        <w:rPr>
          <w:rFonts w:ascii="Times New Roman" w:hAnsi="Times New Roman" w:cs="Times New Roman"/>
          <w:sz w:val="24"/>
          <w:szCs w:val="24"/>
        </w:rPr>
        <w:t>, 9. září 2016 [cit. 9. září 2016]. Dostupné na &lt;http://www.europarl.europa.eu/</w:t>
      </w:r>
      <w:r>
        <w:rPr>
          <w:rFonts w:ascii="Times New Roman" w:hAnsi="Times New Roman" w:cs="Times New Roman"/>
          <w:sz w:val="24"/>
          <w:szCs w:val="24"/>
        </w:rPr>
        <w:t xml:space="preserve"> </w:t>
      </w:r>
      <w:r w:rsidRPr="00117DBD">
        <w:rPr>
          <w:rFonts w:ascii="Times New Roman" w:hAnsi="Times New Roman" w:cs="Times New Roman"/>
          <w:sz w:val="24"/>
          <w:szCs w:val="24"/>
        </w:rPr>
        <w:t>aboutparliamen</w:t>
      </w:r>
      <w:r>
        <w:rPr>
          <w:rFonts w:ascii="Times New Roman" w:hAnsi="Times New Roman" w:cs="Times New Roman"/>
          <w:sz w:val="24"/>
          <w:szCs w:val="24"/>
        </w:rPr>
        <w:t>t/cs/20150201PVL00007/N%C3%A1ro</w:t>
      </w:r>
      <w:r w:rsidRPr="00117DBD">
        <w:rPr>
          <w:rFonts w:ascii="Times New Roman" w:hAnsi="Times New Roman" w:cs="Times New Roman"/>
          <w:sz w:val="24"/>
          <w:szCs w:val="24"/>
        </w:rPr>
        <w:t>dn%C3%AD-parlamenty&gt;.</w:t>
      </w:r>
    </w:p>
    <w:p w:rsidR="00416557" w:rsidRPr="00DC7897" w:rsidRDefault="00416557" w:rsidP="0040090F">
      <w:pPr>
        <w:spacing w:line="360" w:lineRule="auto"/>
        <w:jc w:val="both"/>
        <w:rPr>
          <w:rFonts w:ascii="Times New Roman" w:hAnsi="Times New Roman" w:cs="Times New Roman"/>
          <w:sz w:val="28"/>
          <w:szCs w:val="24"/>
        </w:rPr>
      </w:pPr>
      <w:proofErr w:type="spellStart"/>
      <w:r w:rsidRPr="00DC7897">
        <w:rPr>
          <w:rFonts w:ascii="Times New Roman" w:hAnsi="Times New Roman" w:cs="Times New Roman"/>
          <w:sz w:val="24"/>
        </w:rPr>
        <w:t>Impact</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Assessment</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Accompanying</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document</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Proposal</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for</w:t>
      </w:r>
      <w:proofErr w:type="spellEnd"/>
      <w:r w:rsidRPr="00DC7897">
        <w:rPr>
          <w:rFonts w:ascii="Times New Roman" w:hAnsi="Times New Roman" w:cs="Times New Roman"/>
          <w:sz w:val="24"/>
        </w:rPr>
        <w:t xml:space="preserve"> a </w:t>
      </w:r>
      <w:proofErr w:type="spellStart"/>
      <w:r w:rsidRPr="00DC7897">
        <w:rPr>
          <w:rFonts w:ascii="Times New Roman" w:hAnsi="Times New Roman" w:cs="Times New Roman"/>
          <w:sz w:val="24"/>
        </w:rPr>
        <w:t>Directive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of</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European</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Parliament</w:t>
      </w:r>
      <w:proofErr w:type="spellEnd"/>
      <w:r w:rsidRPr="00DC7897">
        <w:rPr>
          <w:rFonts w:ascii="Times New Roman" w:hAnsi="Times New Roman" w:cs="Times New Roman"/>
          <w:sz w:val="24"/>
        </w:rPr>
        <w:t xml:space="preserve"> and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Council</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amending</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Directive</w:t>
      </w:r>
      <w:proofErr w:type="spellEnd"/>
      <w:r w:rsidRPr="00DC7897">
        <w:rPr>
          <w:rFonts w:ascii="Times New Roman" w:hAnsi="Times New Roman" w:cs="Times New Roman"/>
          <w:sz w:val="24"/>
        </w:rPr>
        <w:t xml:space="preserve"> 96/71/EC </w:t>
      </w:r>
      <w:proofErr w:type="spellStart"/>
      <w:r w:rsidRPr="00DC7897">
        <w:rPr>
          <w:rFonts w:ascii="Times New Roman" w:hAnsi="Times New Roman" w:cs="Times New Roman"/>
          <w:sz w:val="24"/>
        </w:rPr>
        <w:t>concerning</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posting</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of</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workers</w:t>
      </w:r>
      <w:proofErr w:type="spellEnd"/>
      <w:r w:rsidRPr="00DC7897">
        <w:rPr>
          <w:rFonts w:ascii="Times New Roman" w:hAnsi="Times New Roman" w:cs="Times New Roman"/>
          <w:sz w:val="24"/>
        </w:rPr>
        <w:t xml:space="preserve"> in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framework </w:t>
      </w:r>
      <w:proofErr w:type="spellStart"/>
      <w:r w:rsidRPr="00DC7897">
        <w:rPr>
          <w:rFonts w:ascii="Times New Roman" w:hAnsi="Times New Roman" w:cs="Times New Roman"/>
          <w:sz w:val="24"/>
        </w:rPr>
        <w:t>of</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the</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provision</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of</w:t>
      </w:r>
      <w:proofErr w:type="spellEnd"/>
      <w:r w:rsidRPr="00DC7897">
        <w:rPr>
          <w:rFonts w:ascii="Times New Roman" w:hAnsi="Times New Roman" w:cs="Times New Roman"/>
          <w:sz w:val="24"/>
        </w:rPr>
        <w:t xml:space="preserve"> </w:t>
      </w:r>
      <w:proofErr w:type="spellStart"/>
      <w:r w:rsidRPr="00DC7897">
        <w:rPr>
          <w:rFonts w:ascii="Times New Roman" w:hAnsi="Times New Roman" w:cs="Times New Roman"/>
          <w:sz w:val="24"/>
        </w:rPr>
        <w:t>services</w:t>
      </w:r>
      <w:proofErr w:type="spellEnd"/>
      <w:r w:rsidRPr="00DC7897">
        <w:rPr>
          <w:rFonts w:ascii="Times New Roman" w:hAnsi="Times New Roman" w:cs="Times New Roman"/>
          <w:sz w:val="24"/>
        </w:rPr>
        <w:t xml:space="preserve">. </w:t>
      </w:r>
      <w:proofErr w:type="gramStart"/>
      <w:r w:rsidRPr="00DC7897">
        <w:rPr>
          <w:rFonts w:ascii="Times New Roman" w:hAnsi="Times New Roman" w:cs="Times New Roman"/>
          <w:sz w:val="24"/>
        </w:rPr>
        <w:t>SWD(</w:t>
      </w:r>
      <w:proofErr w:type="gramEnd"/>
      <w:r w:rsidRPr="00DC7897">
        <w:rPr>
          <w:rFonts w:ascii="Times New Roman" w:hAnsi="Times New Roman" w:cs="Times New Roman"/>
          <w:sz w:val="24"/>
        </w:rPr>
        <w:t xml:space="preserve">2016) 52 </w:t>
      </w:r>
      <w:proofErr w:type="spellStart"/>
      <w:r w:rsidRPr="00DC7897">
        <w:rPr>
          <w:rFonts w:ascii="Times New Roman" w:hAnsi="Times New Roman" w:cs="Times New Roman"/>
          <w:sz w:val="24"/>
        </w:rPr>
        <w:t>final</w:t>
      </w:r>
      <w:proofErr w:type="spellEnd"/>
      <w:r w:rsidRPr="00DC7897">
        <w:rPr>
          <w:rFonts w:ascii="Times New Roman" w:hAnsi="Times New Roman" w:cs="Times New Roman"/>
          <w:sz w:val="24"/>
        </w:rPr>
        <w:t>, 8. března 2016.</w:t>
      </w:r>
    </w:p>
    <w:p w:rsidR="00416557" w:rsidRDefault="00416557" w:rsidP="0040090F">
      <w:pPr>
        <w:spacing w:line="360" w:lineRule="auto"/>
        <w:jc w:val="both"/>
        <w:rPr>
          <w:rFonts w:ascii="Times New Roman" w:hAnsi="Times New Roman" w:cs="Times New Roman"/>
          <w:sz w:val="24"/>
          <w:szCs w:val="24"/>
        </w:rPr>
      </w:pPr>
      <w:r w:rsidRPr="00E34C75">
        <w:rPr>
          <w:rFonts w:ascii="Times New Roman" w:hAnsi="Times New Roman" w:cs="Times New Roman"/>
          <w:sz w:val="24"/>
          <w:szCs w:val="24"/>
        </w:rPr>
        <w:t xml:space="preserve">IMPACT ASSESSMENT BOARD. </w:t>
      </w:r>
      <w:proofErr w:type="spellStart"/>
      <w:r w:rsidRPr="00E34C75">
        <w:rPr>
          <w:rFonts w:ascii="Times New Roman" w:hAnsi="Times New Roman" w:cs="Times New Roman"/>
          <w:i/>
          <w:sz w:val="24"/>
          <w:szCs w:val="24"/>
        </w:rPr>
        <w:t>Regulatory</w:t>
      </w:r>
      <w:proofErr w:type="spellEnd"/>
      <w:r w:rsidRPr="00E34C75">
        <w:rPr>
          <w:rFonts w:ascii="Times New Roman" w:hAnsi="Times New Roman" w:cs="Times New Roman"/>
          <w:i/>
          <w:sz w:val="24"/>
          <w:szCs w:val="24"/>
        </w:rPr>
        <w:t xml:space="preserve"> </w:t>
      </w:r>
      <w:proofErr w:type="spellStart"/>
      <w:r w:rsidRPr="00E34C75">
        <w:rPr>
          <w:rFonts w:ascii="Times New Roman" w:hAnsi="Times New Roman" w:cs="Times New Roman"/>
          <w:i/>
          <w:sz w:val="24"/>
          <w:szCs w:val="24"/>
        </w:rPr>
        <w:t>Scrutiny</w:t>
      </w:r>
      <w:proofErr w:type="spellEnd"/>
      <w:r w:rsidRPr="00E34C75">
        <w:rPr>
          <w:rFonts w:ascii="Times New Roman" w:hAnsi="Times New Roman" w:cs="Times New Roman"/>
          <w:i/>
          <w:sz w:val="24"/>
          <w:szCs w:val="24"/>
        </w:rPr>
        <w:t xml:space="preserve"> </w:t>
      </w:r>
      <w:proofErr w:type="spellStart"/>
      <w:r w:rsidRPr="00E34C75">
        <w:rPr>
          <w:rFonts w:ascii="Times New Roman" w:hAnsi="Times New Roman" w:cs="Times New Roman"/>
          <w:i/>
          <w:sz w:val="24"/>
          <w:szCs w:val="24"/>
        </w:rPr>
        <w:t>Board</w:t>
      </w:r>
      <w:proofErr w:type="spellEnd"/>
      <w:r w:rsidRPr="00E34C75">
        <w:rPr>
          <w:rFonts w:ascii="Times New Roman" w:hAnsi="Times New Roman" w:cs="Times New Roman"/>
          <w:i/>
          <w:sz w:val="24"/>
          <w:szCs w:val="24"/>
        </w:rPr>
        <w:t xml:space="preserve"> 2015 </w:t>
      </w:r>
      <w:proofErr w:type="spellStart"/>
      <w:r w:rsidRPr="00E34C75">
        <w:rPr>
          <w:rFonts w:ascii="Times New Roman" w:hAnsi="Times New Roman" w:cs="Times New Roman"/>
          <w:i/>
          <w:sz w:val="24"/>
          <w:szCs w:val="24"/>
        </w:rPr>
        <w:t>activity</w:t>
      </w:r>
      <w:proofErr w:type="spellEnd"/>
      <w:r w:rsidRPr="00E34C75">
        <w:rPr>
          <w:rFonts w:ascii="Times New Roman" w:hAnsi="Times New Roman" w:cs="Times New Roman"/>
          <w:i/>
          <w:sz w:val="24"/>
          <w:szCs w:val="24"/>
        </w:rPr>
        <w:t xml:space="preserve"> </w:t>
      </w:r>
      <w:proofErr w:type="spellStart"/>
      <w:r w:rsidRPr="00E34C75">
        <w:rPr>
          <w:rFonts w:ascii="Times New Roman" w:hAnsi="Times New Roman" w:cs="Times New Roman"/>
          <w:i/>
          <w:sz w:val="24"/>
          <w:szCs w:val="24"/>
        </w:rPr>
        <w:t>statistics</w:t>
      </w:r>
      <w:proofErr w:type="spellEnd"/>
      <w:r w:rsidRPr="00E34C75">
        <w:rPr>
          <w:rFonts w:ascii="Times New Roman" w:hAnsi="Times New Roman" w:cs="Times New Roman"/>
          <w:sz w:val="24"/>
          <w:szCs w:val="24"/>
        </w:rPr>
        <w:t xml:space="preserve"> [online]. Evropská unie, 2. března 2016 [cit. 26. prosince 2016]. Dostupné na &lt;http://ec.europa.eu/smart-regulation/impact/key_docs/ </w:t>
      </w:r>
      <w:proofErr w:type="spellStart"/>
      <w:r w:rsidRPr="00E34C75">
        <w:rPr>
          <w:rFonts w:ascii="Times New Roman" w:hAnsi="Times New Roman" w:cs="Times New Roman"/>
          <w:sz w:val="24"/>
          <w:szCs w:val="24"/>
        </w:rPr>
        <w:t>docs</w:t>
      </w:r>
      <w:proofErr w:type="spellEnd"/>
      <w:r w:rsidRPr="00E34C75">
        <w:rPr>
          <w:rFonts w:ascii="Times New Roman" w:hAnsi="Times New Roman" w:cs="Times New Roman"/>
          <w:sz w:val="24"/>
          <w:szCs w:val="24"/>
        </w:rPr>
        <w:t>/iab_rsb_stats_2015.pdf&gt;.</w:t>
      </w:r>
    </w:p>
    <w:p w:rsidR="00A37C14" w:rsidRDefault="00416557" w:rsidP="0040090F">
      <w:pPr>
        <w:pStyle w:val="Textpoznpodarou"/>
        <w:spacing w:line="360" w:lineRule="auto"/>
        <w:jc w:val="both"/>
        <w:rPr>
          <w:rFonts w:ascii="Times New Roman" w:hAnsi="Times New Roman" w:cs="Times New Roman"/>
          <w:sz w:val="24"/>
        </w:rPr>
      </w:pPr>
      <w:r w:rsidRPr="00980A30">
        <w:rPr>
          <w:rFonts w:ascii="Times New Roman" w:hAnsi="Times New Roman" w:cs="Times New Roman"/>
          <w:sz w:val="24"/>
        </w:rPr>
        <w:t xml:space="preserve">Interinstitucionální dohoda mezi Evropským parlamentem, Radou Evropské unie a Evropskou komisí o zdokonalení tvorby právních předpisů ze dne 13 dubna 2016. </w:t>
      </w:r>
      <w:proofErr w:type="spellStart"/>
      <w:r w:rsidRPr="00980A30">
        <w:rPr>
          <w:rFonts w:ascii="Times New Roman" w:hAnsi="Times New Roman" w:cs="Times New Roman"/>
          <w:sz w:val="24"/>
        </w:rPr>
        <w:t>Úř</w:t>
      </w:r>
      <w:proofErr w:type="spellEnd"/>
      <w:r w:rsidRPr="00980A30">
        <w:rPr>
          <w:rFonts w:ascii="Times New Roman" w:hAnsi="Times New Roman" w:cs="Times New Roman"/>
          <w:sz w:val="24"/>
        </w:rPr>
        <w:t xml:space="preserve">. </w:t>
      </w:r>
      <w:proofErr w:type="spellStart"/>
      <w:r w:rsidRPr="00980A30">
        <w:rPr>
          <w:rFonts w:ascii="Times New Roman" w:hAnsi="Times New Roman" w:cs="Times New Roman"/>
          <w:sz w:val="24"/>
        </w:rPr>
        <w:t>věst</w:t>
      </w:r>
      <w:proofErr w:type="spellEnd"/>
      <w:r w:rsidRPr="00980A30">
        <w:rPr>
          <w:rFonts w:ascii="Times New Roman" w:hAnsi="Times New Roman" w:cs="Times New Roman"/>
          <w:sz w:val="24"/>
        </w:rPr>
        <w:t>. L 123, 12. května 2016, s. 1-9.</w:t>
      </w:r>
    </w:p>
    <w:p w:rsidR="00A37C14" w:rsidRDefault="00A37C14" w:rsidP="0040090F">
      <w:pPr>
        <w:pStyle w:val="Textpoznpodarou"/>
        <w:spacing w:line="360" w:lineRule="auto"/>
        <w:jc w:val="both"/>
        <w:rPr>
          <w:rFonts w:ascii="Times New Roman" w:hAnsi="Times New Roman" w:cs="Times New Roman"/>
          <w:sz w:val="24"/>
        </w:rPr>
      </w:pPr>
    </w:p>
    <w:p w:rsidR="005047BA" w:rsidRDefault="005047BA" w:rsidP="0040090F">
      <w:pPr>
        <w:pStyle w:val="Textpoznpodarou"/>
        <w:spacing w:line="360" w:lineRule="auto"/>
        <w:jc w:val="both"/>
        <w:rPr>
          <w:rFonts w:ascii="Times New Roman" w:hAnsi="Times New Roman" w:cs="Times New Roman"/>
          <w:sz w:val="24"/>
        </w:rPr>
      </w:pPr>
    </w:p>
    <w:p w:rsidR="005047BA" w:rsidRDefault="005047BA" w:rsidP="0040090F">
      <w:pPr>
        <w:pStyle w:val="Textpoznpodarou"/>
        <w:spacing w:line="360" w:lineRule="auto"/>
        <w:jc w:val="both"/>
        <w:rPr>
          <w:rFonts w:ascii="Times New Roman" w:hAnsi="Times New Roman" w:cs="Times New Roman"/>
          <w:sz w:val="24"/>
        </w:rPr>
      </w:pPr>
    </w:p>
    <w:p w:rsidR="00416557" w:rsidRPr="00906D7A" w:rsidRDefault="00416557" w:rsidP="0040090F">
      <w:pPr>
        <w:pStyle w:val="Textpoznpodarou"/>
        <w:spacing w:line="360" w:lineRule="auto"/>
        <w:jc w:val="both"/>
        <w:rPr>
          <w:rFonts w:ascii="Times New Roman" w:hAnsi="Times New Roman" w:cs="Times New Roman"/>
          <w:sz w:val="32"/>
        </w:rPr>
      </w:pPr>
      <w:r w:rsidRPr="00906D7A">
        <w:rPr>
          <w:rFonts w:ascii="Times New Roman" w:hAnsi="Times New Roman" w:cs="Times New Roman"/>
          <w:sz w:val="24"/>
        </w:rPr>
        <w:lastRenderedPageBreak/>
        <w:t xml:space="preserve">IPEX. </w:t>
      </w:r>
      <w:r w:rsidRPr="00906D7A">
        <w:rPr>
          <w:rFonts w:ascii="Times New Roman" w:hAnsi="Times New Roman" w:cs="Times New Roman"/>
          <w:i/>
          <w:sz w:val="24"/>
        </w:rPr>
        <w:t>Dokument COM/2012/0130: Návrh nařízení Rady o výkonu práva na kolektivní akci v rámci svobody usazování a volného pohybu služeb</w:t>
      </w:r>
      <w:r w:rsidRPr="00906D7A">
        <w:rPr>
          <w:rFonts w:ascii="Times New Roman" w:hAnsi="Times New Roman" w:cs="Times New Roman"/>
          <w:sz w:val="24"/>
        </w:rPr>
        <w:t xml:space="preserve"> [online]. IPEX, 28. ledna 2017 [cit. 28. ledna 2017]. Dostupné na &lt;http://www.ipex.eu/IPEXL-WEB/dossier/document/COM20120130.do?</w:t>
      </w:r>
      <w:r>
        <w:rPr>
          <w:rFonts w:ascii="Times New Roman" w:hAnsi="Times New Roman" w:cs="Times New Roman"/>
          <w:sz w:val="24"/>
        </w:rPr>
        <w:t xml:space="preserve"> </w:t>
      </w:r>
      <w:proofErr w:type="spellStart"/>
      <w:r w:rsidRPr="00906D7A">
        <w:rPr>
          <w:rFonts w:ascii="Times New Roman" w:hAnsi="Times New Roman" w:cs="Times New Roman"/>
          <w:sz w:val="24"/>
        </w:rPr>
        <w:t>appLng</w:t>
      </w:r>
      <w:proofErr w:type="spellEnd"/>
      <w:r w:rsidRPr="00906D7A">
        <w:rPr>
          <w:rFonts w:ascii="Times New Roman" w:hAnsi="Times New Roman" w:cs="Times New Roman"/>
          <w:sz w:val="24"/>
        </w:rPr>
        <w:t>=CS&gt;.</w:t>
      </w:r>
      <w:r>
        <w:rPr>
          <w:rFonts w:ascii="Times New Roman" w:hAnsi="Times New Roman" w:cs="Times New Roman"/>
          <w:sz w:val="24"/>
        </w:rPr>
        <w:t xml:space="preserve"> Rozcestník odůvodněných stanovisek.</w:t>
      </w:r>
    </w:p>
    <w:p w:rsidR="00416557" w:rsidRDefault="00416557" w:rsidP="0040090F">
      <w:pPr>
        <w:pStyle w:val="Textpoznpodarou"/>
        <w:spacing w:line="360" w:lineRule="auto"/>
        <w:jc w:val="both"/>
        <w:rPr>
          <w:rFonts w:ascii="Times New Roman" w:hAnsi="Times New Roman" w:cs="Times New Roman"/>
          <w:sz w:val="24"/>
        </w:rPr>
      </w:pPr>
    </w:p>
    <w:p w:rsidR="00416557" w:rsidRDefault="00416557" w:rsidP="0040090F">
      <w:pPr>
        <w:pStyle w:val="Textpoznpodarou"/>
        <w:spacing w:line="360" w:lineRule="auto"/>
        <w:jc w:val="both"/>
        <w:rPr>
          <w:rFonts w:ascii="Times New Roman" w:hAnsi="Times New Roman" w:cs="Times New Roman"/>
          <w:sz w:val="24"/>
        </w:rPr>
      </w:pPr>
      <w:r w:rsidRPr="004A35AE">
        <w:rPr>
          <w:rFonts w:ascii="Times New Roman" w:hAnsi="Times New Roman" w:cs="Times New Roman"/>
          <w:sz w:val="24"/>
        </w:rPr>
        <w:t xml:space="preserve">Návrh nařízení Rady o výkonu práva na kolektivní akci v rámci svobody usazování a volného pohybu služeb. </w:t>
      </w:r>
      <w:proofErr w:type="gramStart"/>
      <w:r w:rsidRPr="004A35AE">
        <w:rPr>
          <w:rFonts w:ascii="Times New Roman" w:hAnsi="Times New Roman" w:cs="Times New Roman"/>
          <w:sz w:val="24"/>
        </w:rPr>
        <w:t>COM(</w:t>
      </w:r>
      <w:proofErr w:type="gramEnd"/>
      <w:r w:rsidRPr="004A35AE">
        <w:rPr>
          <w:rFonts w:ascii="Times New Roman" w:hAnsi="Times New Roman" w:cs="Times New Roman"/>
          <w:sz w:val="24"/>
        </w:rPr>
        <w:t xml:space="preserve">2012) 130 </w:t>
      </w:r>
      <w:proofErr w:type="spellStart"/>
      <w:r w:rsidRPr="004A35AE">
        <w:rPr>
          <w:rFonts w:ascii="Times New Roman" w:hAnsi="Times New Roman" w:cs="Times New Roman"/>
          <w:sz w:val="24"/>
        </w:rPr>
        <w:t>final</w:t>
      </w:r>
      <w:proofErr w:type="spellEnd"/>
      <w:r w:rsidRPr="004A35AE">
        <w:rPr>
          <w:rFonts w:ascii="Times New Roman" w:hAnsi="Times New Roman" w:cs="Times New Roman"/>
          <w:sz w:val="24"/>
        </w:rPr>
        <w:t>, 21. března 2012.</w:t>
      </w:r>
    </w:p>
    <w:p w:rsidR="00416557" w:rsidRDefault="00416557" w:rsidP="0040090F">
      <w:pPr>
        <w:pStyle w:val="Textpoznpodarou"/>
        <w:spacing w:line="360" w:lineRule="auto"/>
        <w:jc w:val="both"/>
        <w:rPr>
          <w:rFonts w:ascii="Times New Roman" w:hAnsi="Times New Roman" w:cs="Times New Roman"/>
          <w:sz w:val="24"/>
        </w:rPr>
      </w:pPr>
    </w:p>
    <w:p w:rsidR="00416557" w:rsidRPr="005047BA" w:rsidRDefault="00416557" w:rsidP="0040090F">
      <w:pPr>
        <w:pStyle w:val="Textpoznpodarou"/>
        <w:spacing w:line="360" w:lineRule="auto"/>
        <w:jc w:val="both"/>
        <w:rPr>
          <w:rFonts w:ascii="Times New Roman" w:hAnsi="Times New Roman" w:cs="Times New Roman"/>
          <w:sz w:val="24"/>
          <w:szCs w:val="24"/>
        </w:rPr>
      </w:pPr>
      <w:r w:rsidRPr="000E1DFC">
        <w:rPr>
          <w:rFonts w:ascii="Times New Roman" w:hAnsi="Times New Roman" w:cs="Times New Roman"/>
          <w:sz w:val="24"/>
        </w:rPr>
        <w:t xml:space="preserve">Návrh nařízení Rady o zřízení Úřadu evropského veřejného žalobce. </w:t>
      </w:r>
      <w:proofErr w:type="gramStart"/>
      <w:r w:rsidRPr="000E1DFC">
        <w:rPr>
          <w:rFonts w:ascii="Times New Roman" w:hAnsi="Times New Roman" w:cs="Times New Roman"/>
          <w:sz w:val="24"/>
        </w:rPr>
        <w:t>COM(</w:t>
      </w:r>
      <w:proofErr w:type="gramEnd"/>
      <w:r w:rsidRPr="000E1DFC">
        <w:rPr>
          <w:rFonts w:ascii="Times New Roman" w:hAnsi="Times New Roman" w:cs="Times New Roman"/>
          <w:sz w:val="24"/>
        </w:rPr>
        <w:t xml:space="preserve">2013) 534 </w:t>
      </w:r>
      <w:proofErr w:type="spellStart"/>
      <w:r w:rsidRPr="000E1DFC">
        <w:rPr>
          <w:rFonts w:ascii="Times New Roman" w:hAnsi="Times New Roman" w:cs="Times New Roman"/>
          <w:sz w:val="24"/>
        </w:rPr>
        <w:t>final</w:t>
      </w:r>
      <w:proofErr w:type="spellEnd"/>
      <w:r w:rsidRPr="000E1DFC">
        <w:rPr>
          <w:rFonts w:ascii="Times New Roman" w:hAnsi="Times New Roman" w:cs="Times New Roman"/>
          <w:sz w:val="24"/>
        </w:rPr>
        <w:t xml:space="preserve">, 17. </w:t>
      </w:r>
      <w:r w:rsidRPr="005047BA">
        <w:rPr>
          <w:rFonts w:ascii="Times New Roman" w:hAnsi="Times New Roman" w:cs="Times New Roman"/>
          <w:sz w:val="24"/>
          <w:szCs w:val="24"/>
        </w:rPr>
        <w:t>července 2013.</w:t>
      </w:r>
    </w:p>
    <w:p w:rsidR="005047BA" w:rsidRPr="005047BA" w:rsidRDefault="005047BA" w:rsidP="0040090F">
      <w:pPr>
        <w:pStyle w:val="Textpoznpodarou"/>
        <w:spacing w:line="360" w:lineRule="auto"/>
        <w:jc w:val="both"/>
        <w:rPr>
          <w:rFonts w:ascii="Times New Roman" w:hAnsi="Times New Roman" w:cs="Times New Roman"/>
          <w:sz w:val="24"/>
          <w:szCs w:val="24"/>
        </w:rPr>
      </w:pPr>
    </w:p>
    <w:p w:rsidR="00416557" w:rsidRPr="008949CD" w:rsidRDefault="00416557" w:rsidP="0040090F">
      <w:pPr>
        <w:pStyle w:val="Textpoznpodarou"/>
        <w:spacing w:line="360" w:lineRule="auto"/>
        <w:jc w:val="both"/>
        <w:rPr>
          <w:rFonts w:ascii="Times New Roman" w:hAnsi="Times New Roman" w:cs="Times New Roman"/>
          <w:sz w:val="24"/>
          <w:szCs w:val="24"/>
        </w:rPr>
      </w:pPr>
      <w:r w:rsidRPr="005047BA">
        <w:rPr>
          <w:rFonts w:ascii="Times New Roman" w:hAnsi="Times New Roman" w:cs="Times New Roman"/>
          <w:sz w:val="24"/>
          <w:szCs w:val="24"/>
        </w:rPr>
        <w:t>Návrh směrnice</w:t>
      </w:r>
      <w:r w:rsidRPr="00170D70">
        <w:rPr>
          <w:rFonts w:ascii="Times New Roman" w:hAnsi="Times New Roman" w:cs="Times New Roman"/>
          <w:sz w:val="24"/>
        </w:rPr>
        <w:t xml:space="preserve"> Evropského parlamentu a Rady, kterou se mění směrnice Evropského parlamentu a Rady 96/71/ES ze dne 16. prosince 1996 o vysílání pracovníků v rámci </w:t>
      </w:r>
      <w:r w:rsidRPr="008949CD">
        <w:rPr>
          <w:rFonts w:ascii="Times New Roman" w:hAnsi="Times New Roman" w:cs="Times New Roman"/>
          <w:sz w:val="24"/>
          <w:szCs w:val="24"/>
        </w:rPr>
        <w:t xml:space="preserve">poskytování služeb. </w:t>
      </w:r>
      <w:proofErr w:type="gramStart"/>
      <w:r w:rsidRPr="008949CD">
        <w:rPr>
          <w:rFonts w:ascii="Times New Roman" w:hAnsi="Times New Roman" w:cs="Times New Roman"/>
          <w:sz w:val="24"/>
          <w:szCs w:val="24"/>
        </w:rPr>
        <w:t>COM(</w:t>
      </w:r>
      <w:proofErr w:type="gramEnd"/>
      <w:r w:rsidRPr="008949CD">
        <w:rPr>
          <w:rFonts w:ascii="Times New Roman" w:hAnsi="Times New Roman" w:cs="Times New Roman"/>
          <w:sz w:val="24"/>
          <w:szCs w:val="24"/>
        </w:rPr>
        <w:t xml:space="preserve">2016) 128 </w:t>
      </w:r>
      <w:proofErr w:type="spellStart"/>
      <w:r w:rsidRPr="008949CD">
        <w:rPr>
          <w:rFonts w:ascii="Times New Roman" w:hAnsi="Times New Roman" w:cs="Times New Roman"/>
          <w:sz w:val="24"/>
          <w:szCs w:val="24"/>
        </w:rPr>
        <w:t>final</w:t>
      </w:r>
      <w:proofErr w:type="spellEnd"/>
      <w:r w:rsidRPr="008949CD">
        <w:rPr>
          <w:rFonts w:ascii="Times New Roman" w:hAnsi="Times New Roman" w:cs="Times New Roman"/>
          <w:sz w:val="24"/>
          <w:szCs w:val="24"/>
        </w:rPr>
        <w:t>, 8. března 2016.</w:t>
      </w:r>
    </w:p>
    <w:p w:rsidR="00416557" w:rsidRPr="008949CD" w:rsidRDefault="00416557" w:rsidP="0040090F">
      <w:pPr>
        <w:pStyle w:val="Textpoznpodarou"/>
        <w:spacing w:line="360" w:lineRule="auto"/>
        <w:jc w:val="both"/>
        <w:rPr>
          <w:rFonts w:ascii="Times New Roman" w:hAnsi="Times New Roman" w:cs="Times New Roman"/>
          <w:sz w:val="24"/>
          <w:szCs w:val="24"/>
        </w:rPr>
      </w:pPr>
    </w:p>
    <w:p w:rsidR="00416557" w:rsidRDefault="00416557" w:rsidP="0040090F">
      <w:pPr>
        <w:spacing w:line="360" w:lineRule="auto"/>
        <w:jc w:val="both"/>
        <w:rPr>
          <w:rFonts w:ascii="Times New Roman" w:hAnsi="Times New Roman" w:cs="Times New Roman"/>
          <w:sz w:val="24"/>
          <w:szCs w:val="24"/>
        </w:rPr>
      </w:pPr>
      <w:r w:rsidRPr="008949CD">
        <w:rPr>
          <w:rFonts w:ascii="Times New Roman" w:hAnsi="Times New Roman" w:cs="Times New Roman"/>
          <w:sz w:val="24"/>
          <w:szCs w:val="24"/>
        </w:rPr>
        <w:t>Protokol o používání</w:t>
      </w:r>
      <w:r w:rsidRPr="00B95C4A">
        <w:rPr>
          <w:rFonts w:ascii="Times New Roman" w:hAnsi="Times New Roman" w:cs="Times New Roman"/>
          <w:sz w:val="24"/>
          <w:szCs w:val="24"/>
        </w:rPr>
        <w:t xml:space="preserve"> zásad subsidiarity a pro</w:t>
      </w:r>
      <w:r>
        <w:rPr>
          <w:rFonts w:ascii="Times New Roman" w:hAnsi="Times New Roman" w:cs="Times New Roman"/>
          <w:sz w:val="24"/>
          <w:szCs w:val="24"/>
        </w:rPr>
        <w:t xml:space="preserve">porcionality. </w:t>
      </w:r>
      <w:proofErr w:type="spellStart"/>
      <w:r>
        <w:rPr>
          <w:rFonts w:ascii="Times New Roman" w:hAnsi="Times New Roman" w:cs="Times New Roman"/>
          <w:sz w:val="24"/>
          <w:szCs w:val="24"/>
        </w:rPr>
        <w:t>Úř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věst</w:t>
      </w:r>
      <w:proofErr w:type="spellEnd"/>
      <w:r>
        <w:rPr>
          <w:rFonts w:ascii="Times New Roman" w:hAnsi="Times New Roman" w:cs="Times New Roman"/>
          <w:sz w:val="24"/>
          <w:szCs w:val="24"/>
        </w:rPr>
        <w:t xml:space="preserve">. C 340, </w:t>
      </w:r>
      <w:r w:rsidRPr="00B95C4A">
        <w:rPr>
          <w:rFonts w:ascii="Times New Roman" w:hAnsi="Times New Roman" w:cs="Times New Roman"/>
          <w:sz w:val="24"/>
          <w:szCs w:val="24"/>
        </w:rPr>
        <w:t>10. listopadu 1997, s. 105-107.</w:t>
      </w:r>
    </w:p>
    <w:p w:rsidR="00416557" w:rsidRDefault="00416557" w:rsidP="0040090F">
      <w:pPr>
        <w:spacing w:line="360" w:lineRule="auto"/>
        <w:jc w:val="both"/>
        <w:rPr>
          <w:rFonts w:ascii="Times New Roman" w:hAnsi="Times New Roman" w:cs="Times New Roman"/>
          <w:sz w:val="24"/>
          <w:szCs w:val="24"/>
        </w:rPr>
      </w:pPr>
      <w:r w:rsidRPr="005C2860">
        <w:rPr>
          <w:rFonts w:ascii="Times New Roman" w:hAnsi="Times New Roman" w:cs="Times New Roman"/>
          <w:sz w:val="24"/>
          <w:szCs w:val="24"/>
        </w:rPr>
        <w:t>Protokol o používání zásad subsidiarity a pro</w:t>
      </w:r>
      <w:r>
        <w:rPr>
          <w:rFonts w:ascii="Times New Roman" w:hAnsi="Times New Roman" w:cs="Times New Roman"/>
          <w:sz w:val="24"/>
          <w:szCs w:val="24"/>
        </w:rPr>
        <w:t xml:space="preserve">porcionality. </w:t>
      </w:r>
      <w:proofErr w:type="spellStart"/>
      <w:r>
        <w:rPr>
          <w:rFonts w:ascii="Times New Roman" w:hAnsi="Times New Roman" w:cs="Times New Roman"/>
          <w:sz w:val="24"/>
          <w:szCs w:val="24"/>
        </w:rPr>
        <w:t>Úř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věst</w:t>
      </w:r>
      <w:proofErr w:type="spellEnd"/>
      <w:r>
        <w:rPr>
          <w:rFonts w:ascii="Times New Roman" w:hAnsi="Times New Roman" w:cs="Times New Roman"/>
          <w:sz w:val="24"/>
          <w:szCs w:val="24"/>
        </w:rPr>
        <w:t xml:space="preserve">. C 306, </w:t>
      </w:r>
      <w:r w:rsidRPr="005C2860">
        <w:rPr>
          <w:rFonts w:ascii="Times New Roman" w:hAnsi="Times New Roman" w:cs="Times New Roman"/>
          <w:sz w:val="24"/>
          <w:szCs w:val="24"/>
        </w:rPr>
        <w:t>17. prosince 2007, s. 150-152.</w:t>
      </w:r>
    </w:p>
    <w:p w:rsidR="00416557" w:rsidRDefault="00416557" w:rsidP="0040090F">
      <w:pPr>
        <w:spacing w:line="360" w:lineRule="auto"/>
        <w:jc w:val="both"/>
        <w:rPr>
          <w:rFonts w:ascii="Times New Roman" w:hAnsi="Times New Roman" w:cs="Times New Roman"/>
          <w:sz w:val="24"/>
          <w:szCs w:val="24"/>
        </w:rPr>
      </w:pPr>
      <w:r w:rsidRPr="00B57157">
        <w:rPr>
          <w:rFonts w:ascii="Times New Roman" w:hAnsi="Times New Roman" w:cs="Times New Roman"/>
          <w:sz w:val="24"/>
          <w:szCs w:val="24"/>
        </w:rPr>
        <w:t xml:space="preserve">Protokol o úloze vnitrostátních parlamentů v Evropské unii. </w:t>
      </w:r>
      <w:proofErr w:type="spellStart"/>
      <w:r w:rsidRPr="00B57157">
        <w:rPr>
          <w:rFonts w:ascii="Times New Roman" w:hAnsi="Times New Roman" w:cs="Times New Roman"/>
          <w:sz w:val="24"/>
          <w:szCs w:val="24"/>
        </w:rPr>
        <w:t>Úř</w:t>
      </w:r>
      <w:proofErr w:type="spellEnd"/>
      <w:r w:rsidRPr="00B57157">
        <w:rPr>
          <w:rFonts w:ascii="Times New Roman" w:hAnsi="Times New Roman" w:cs="Times New Roman"/>
          <w:sz w:val="24"/>
          <w:szCs w:val="24"/>
        </w:rPr>
        <w:t xml:space="preserve">. </w:t>
      </w:r>
      <w:proofErr w:type="spellStart"/>
      <w:r w:rsidRPr="00B57157">
        <w:rPr>
          <w:rFonts w:ascii="Times New Roman" w:hAnsi="Times New Roman" w:cs="Times New Roman"/>
          <w:sz w:val="24"/>
          <w:szCs w:val="24"/>
        </w:rPr>
        <w:t>vě</w:t>
      </w:r>
      <w:r>
        <w:rPr>
          <w:rFonts w:ascii="Times New Roman" w:hAnsi="Times New Roman" w:cs="Times New Roman"/>
          <w:sz w:val="24"/>
          <w:szCs w:val="24"/>
        </w:rPr>
        <w:t>st</w:t>
      </w:r>
      <w:proofErr w:type="spellEnd"/>
      <w:r>
        <w:rPr>
          <w:rFonts w:ascii="Times New Roman" w:hAnsi="Times New Roman" w:cs="Times New Roman"/>
          <w:sz w:val="24"/>
          <w:szCs w:val="24"/>
        </w:rPr>
        <w:t xml:space="preserve">. C 340, </w:t>
      </w:r>
      <w:r w:rsidRPr="00B57157">
        <w:rPr>
          <w:rFonts w:ascii="Times New Roman" w:hAnsi="Times New Roman" w:cs="Times New Roman"/>
          <w:sz w:val="24"/>
          <w:szCs w:val="24"/>
        </w:rPr>
        <w:t>10. listopadu 1997, s. 113-114.</w:t>
      </w:r>
    </w:p>
    <w:p w:rsidR="00416557" w:rsidRDefault="00416557" w:rsidP="0040090F">
      <w:pPr>
        <w:spacing w:line="360" w:lineRule="auto"/>
        <w:jc w:val="both"/>
        <w:rPr>
          <w:rFonts w:ascii="Times New Roman" w:hAnsi="Times New Roman" w:cs="Times New Roman"/>
          <w:sz w:val="24"/>
          <w:szCs w:val="24"/>
        </w:rPr>
      </w:pPr>
      <w:r w:rsidRPr="00FC5A25">
        <w:rPr>
          <w:rFonts w:ascii="Times New Roman" w:hAnsi="Times New Roman" w:cs="Times New Roman"/>
          <w:sz w:val="24"/>
          <w:szCs w:val="24"/>
        </w:rPr>
        <w:t xml:space="preserve">Protokol o úloze vnitrostátních parlamentů v Evropské unii. </w:t>
      </w:r>
      <w:proofErr w:type="spellStart"/>
      <w:r w:rsidRPr="00FC5A25">
        <w:rPr>
          <w:rFonts w:ascii="Times New Roman" w:hAnsi="Times New Roman" w:cs="Times New Roman"/>
          <w:sz w:val="24"/>
          <w:szCs w:val="24"/>
        </w:rPr>
        <w:t>Úř</w:t>
      </w:r>
      <w:proofErr w:type="spellEnd"/>
      <w:r w:rsidRPr="00FC5A25">
        <w:rPr>
          <w:rFonts w:ascii="Times New Roman" w:hAnsi="Times New Roman" w:cs="Times New Roman"/>
          <w:sz w:val="24"/>
          <w:szCs w:val="24"/>
        </w:rPr>
        <w:t xml:space="preserve">. </w:t>
      </w:r>
      <w:proofErr w:type="spellStart"/>
      <w:r w:rsidRPr="00FC5A25">
        <w:rPr>
          <w:rFonts w:ascii="Times New Roman" w:hAnsi="Times New Roman" w:cs="Times New Roman"/>
          <w:sz w:val="24"/>
          <w:szCs w:val="24"/>
        </w:rPr>
        <w:t>v</w:t>
      </w:r>
      <w:r>
        <w:rPr>
          <w:rFonts w:ascii="Times New Roman" w:hAnsi="Times New Roman" w:cs="Times New Roman"/>
          <w:sz w:val="24"/>
          <w:szCs w:val="24"/>
        </w:rPr>
        <w:t>ěst</w:t>
      </w:r>
      <w:proofErr w:type="spellEnd"/>
      <w:r>
        <w:rPr>
          <w:rFonts w:ascii="Times New Roman" w:hAnsi="Times New Roman" w:cs="Times New Roman"/>
          <w:sz w:val="24"/>
          <w:szCs w:val="24"/>
        </w:rPr>
        <w:t xml:space="preserve">. C 306, </w:t>
      </w:r>
      <w:r w:rsidRPr="00FC5A25">
        <w:rPr>
          <w:rFonts w:ascii="Times New Roman" w:hAnsi="Times New Roman" w:cs="Times New Roman"/>
          <w:sz w:val="24"/>
          <w:szCs w:val="24"/>
        </w:rPr>
        <w:t>17. prosince 2007, s. 148-150.</w:t>
      </w:r>
    </w:p>
    <w:p w:rsidR="00416557" w:rsidRPr="0076791A" w:rsidRDefault="00416557" w:rsidP="0040090F">
      <w:pPr>
        <w:spacing w:line="360" w:lineRule="auto"/>
        <w:jc w:val="both"/>
        <w:rPr>
          <w:rFonts w:ascii="Times New Roman" w:hAnsi="Times New Roman" w:cs="Times New Roman"/>
          <w:sz w:val="28"/>
          <w:szCs w:val="24"/>
        </w:rPr>
      </w:pPr>
      <w:r w:rsidRPr="0076791A">
        <w:rPr>
          <w:rFonts w:ascii="Times New Roman" w:hAnsi="Times New Roman" w:cs="Times New Roman"/>
          <w:sz w:val="24"/>
        </w:rPr>
        <w:t>Reakce Ko</w:t>
      </w:r>
      <w:r>
        <w:rPr>
          <w:rFonts w:ascii="Times New Roman" w:hAnsi="Times New Roman" w:cs="Times New Roman"/>
          <w:sz w:val="24"/>
        </w:rPr>
        <w:t xml:space="preserve">mise. </w:t>
      </w:r>
      <w:proofErr w:type="gramStart"/>
      <w:r>
        <w:rPr>
          <w:rFonts w:ascii="Times New Roman" w:hAnsi="Times New Roman" w:cs="Times New Roman"/>
          <w:sz w:val="24"/>
        </w:rPr>
        <w:t>C</w:t>
      </w:r>
      <w:r w:rsidRPr="0076791A">
        <w:rPr>
          <w:rFonts w:ascii="Times New Roman" w:hAnsi="Times New Roman" w:cs="Times New Roman"/>
          <w:sz w:val="24"/>
        </w:rPr>
        <w:t>(</w:t>
      </w:r>
      <w:proofErr w:type="gramEnd"/>
      <w:r w:rsidRPr="0076791A">
        <w:rPr>
          <w:rFonts w:ascii="Times New Roman" w:hAnsi="Times New Roman" w:cs="Times New Roman"/>
          <w:sz w:val="24"/>
        </w:rPr>
        <w:t xml:space="preserve">2016) 4828 </w:t>
      </w:r>
      <w:proofErr w:type="spellStart"/>
      <w:r w:rsidRPr="0076791A">
        <w:rPr>
          <w:rFonts w:ascii="Times New Roman" w:hAnsi="Times New Roman" w:cs="Times New Roman"/>
          <w:sz w:val="24"/>
        </w:rPr>
        <w:t>final</w:t>
      </w:r>
      <w:proofErr w:type="spellEnd"/>
      <w:r w:rsidRPr="0076791A">
        <w:rPr>
          <w:rFonts w:ascii="Times New Roman" w:hAnsi="Times New Roman" w:cs="Times New Roman"/>
          <w:sz w:val="24"/>
        </w:rPr>
        <w:t>, 20. července 2016.</w:t>
      </w:r>
    </w:p>
    <w:p w:rsidR="00416557" w:rsidRDefault="00416557" w:rsidP="0040090F">
      <w:pPr>
        <w:spacing w:line="360" w:lineRule="auto"/>
        <w:jc w:val="both"/>
        <w:rPr>
          <w:rFonts w:ascii="Times New Roman" w:hAnsi="Times New Roman" w:cs="Times New Roman"/>
          <w:sz w:val="24"/>
        </w:rPr>
      </w:pPr>
      <w:r w:rsidRPr="004A28F1">
        <w:rPr>
          <w:rFonts w:ascii="Times New Roman" w:hAnsi="Times New Roman" w:cs="Times New Roman"/>
          <w:sz w:val="24"/>
        </w:rPr>
        <w:t xml:space="preserve">Sdělení Komise Evropskému parlamentu, Radě a vnitrostátním parlamentům o přezkumu návrhu nařízení Rady o zřízení Úřadu evropského veřejného žalobce s ohledem na zásadu subsidiarity v souladu s Protokolem č. 2. </w:t>
      </w:r>
      <w:proofErr w:type="gramStart"/>
      <w:r w:rsidRPr="004A28F1">
        <w:rPr>
          <w:rFonts w:ascii="Times New Roman" w:hAnsi="Times New Roman" w:cs="Times New Roman"/>
          <w:sz w:val="24"/>
        </w:rPr>
        <w:t>COM(</w:t>
      </w:r>
      <w:proofErr w:type="gramEnd"/>
      <w:r w:rsidRPr="004A28F1">
        <w:rPr>
          <w:rFonts w:ascii="Times New Roman" w:hAnsi="Times New Roman" w:cs="Times New Roman"/>
          <w:sz w:val="24"/>
        </w:rPr>
        <w:t xml:space="preserve">2013) 851 </w:t>
      </w:r>
      <w:proofErr w:type="spellStart"/>
      <w:r w:rsidRPr="004A28F1">
        <w:rPr>
          <w:rFonts w:ascii="Times New Roman" w:hAnsi="Times New Roman" w:cs="Times New Roman"/>
          <w:sz w:val="24"/>
        </w:rPr>
        <w:t>final</w:t>
      </w:r>
      <w:proofErr w:type="spellEnd"/>
      <w:r w:rsidRPr="004A28F1">
        <w:rPr>
          <w:rFonts w:ascii="Times New Roman" w:hAnsi="Times New Roman" w:cs="Times New Roman"/>
          <w:sz w:val="24"/>
        </w:rPr>
        <w:t>, 27. listopadu 2013.</w:t>
      </w:r>
    </w:p>
    <w:p w:rsidR="00416557" w:rsidRPr="00D766C0" w:rsidRDefault="00416557" w:rsidP="0040090F">
      <w:pPr>
        <w:spacing w:line="360" w:lineRule="auto"/>
        <w:jc w:val="both"/>
        <w:rPr>
          <w:rFonts w:ascii="Times New Roman" w:hAnsi="Times New Roman" w:cs="Times New Roman"/>
          <w:sz w:val="32"/>
          <w:szCs w:val="24"/>
        </w:rPr>
      </w:pPr>
      <w:r w:rsidRPr="00D766C0">
        <w:rPr>
          <w:rFonts w:ascii="Times New Roman" w:hAnsi="Times New Roman" w:cs="Times New Roman"/>
          <w:sz w:val="24"/>
        </w:rPr>
        <w:t xml:space="preserve">Sdělení Komise Evropskému parlamentu, Radě, a vnitrostátním parlamentům o návrhu směrnice, kterou se mění směrnice o vysílání pracovníků, s ohledem na zásadu subsidiarity, v souladu s protokolem č. 2. </w:t>
      </w:r>
      <w:proofErr w:type="gramStart"/>
      <w:r w:rsidRPr="00D766C0">
        <w:rPr>
          <w:rFonts w:ascii="Times New Roman" w:hAnsi="Times New Roman" w:cs="Times New Roman"/>
          <w:sz w:val="24"/>
        </w:rPr>
        <w:t>COM(</w:t>
      </w:r>
      <w:proofErr w:type="gramEnd"/>
      <w:r w:rsidRPr="00D766C0">
        <w:rPr>
          <w:rFonts w:ascii="Times New Roman" w:hAnsi="Times New Roman" w:cs="Times New Roman"/>
          <w:sz w:val="24"/>
        </w:rPr>
        <w:t xml:space="preserve">2016) 505 </w:t>
      </w:r>
      <w:proofErr w:type="spellStart"/>
      <w:r w:rsidRPr="00D766C0">
        <w:rPr>
          <w:rFonts w:ascii="Times New Roman" w:hAnsi="Times New Roman" w:cs="Times New Roman"/>
          <w:sz w:val="24"/>
        </w:rPr>
        <w:t>final</w:t>
      </w:r>
      <w:proofErr w:type="spellEnd"/>
      <w:r w:rsidRPr="00D766C0">
        <w:rPr>
          <w:rFonts w:ascii="Times New Roman" w:hAnsi="Times New Roman" w:cs="Times New Roman"/>
          <w:sz w:val="24"/>
        </w:rPr>
        <w:t>, 20. července 2016.</w:t>
      </w:r>
    </w:p>
    <w:p w:rsidR="00416557" w:rsidRDefault="00416557" w:rsidP="0040090F">
      <w:pPr>
        <w:spacing w:line="360" w:lineRule="auto"/>
        <w:jc w:val="both"/>
        <w:rPr>
          <w:rFonts w:ascii="Times New Roman" w:hAnsi="Times New Roman" w:cs="Times New Roman"/>
          <w:sz w:val="24"/>
          <w:szCs w:val="24"/>
        </w:rPr>
      </w:pPr>
      <w:r w:rsidRPr="003401EE">
        <w:rPr>
          <w:rFonts w:ascii="Times New Roman" w:hAnsi="Times New Roman" w:cs="Times New Roman"/>
          <w:sz w:val="24"/>
          <w:szCs w:val="24"/>
        </w:rPr>
        <w:t xml:space="preserve">Smlouva o Evropské unii (konsolidované znění). </w:t>
      </w:r>
      <w:proofErr w:type="spellStart"/>
      <w:r w:rsidRPr="003401EE">
        <w:rPr>
          <w:rFonts w:ascii="Times New Roman" w:hAnsi="Times New Roman" w:cs="Times New Roman"/>
          <w:sz w:val="24"/>
          <w:szCs w:val="24"/>
        </w:rPr>
        <w:t>Úř</w:t>
      </w:r>
      <w:proofErr w:type="spellEnd"/>
      <w:r w:rsidRPr="003401EE">
        <w:rPr>
          <w:rFonts w:ascii="Times New Roman" w:hAnsi="Times New Roman" w:cs="Times New Roman"/>
          <w:sz w:val="24"/>
          <w:szCs w:val="24"/>
        </w:rPr>
        <w:t xml:space="preserve">. </w:t>
      </w:r>
      <w:proofErr w:type="spellStart"/>
      <w:r w:rsidRPr="003401EE">
        <w:rPr>
          <w:rFonts w:ascii="Times New Roman" w:hAnsi="Times New Roman" w:cs="Times New Roman"/>
          <w:sz w:val="24"/>
          <w:szCs w:val="24"/>
        </w:rPr>
        <w:t>věs</w:t>
      </w:r>
      <w:r>
        <w:rPr>
          <w:rFonts w:ascii="Times New Roman" w:hAnsi="Times New Roman" w:cs="Times New Roman"/>
          <w:sz w:val="24"/>
          <w:szCs w:val="24"/>
        </w:rPr>
        <w:t>t</w:t>
      </w:r>
      <w:proofErr w:type="spellEnd"/>
      <w:r>
        <w:rPr>
          <w:rFonts w:ascii="Times New Roman" w:hAnsi="Times New Roman" w:cs="Times New Roman"/>
          <w:sz w:val="24"/>
          <w:szCs w:val="24"/>
        </w:rPr>
        <w:t>. C 326, 26. října 2012, s. 13-</w:t>
      </w:r>
      <w:r w:rsidRPr="003401EE">
        <w:rPr>
          <w:rFonts w:ascii="Times New Roman" w:hAnsi="Times New Roman" w:cs="Times New Roman"/>
          <w:sz w:val="24"/>
          <w:szCs w:val="24"/>
        </w:rPr>
        <w:t>390.</w:t>
      </w:r>
    </w:p>
    <w:p w:rsidR="00416557" w:rsidRDefault="00416557" w:rsidP="0040090F">
      <w:pPr>
        <w:spacing w:line="360" w:lineRule="auto"/>
        <w:jc w:val="both"/>
        <w:rPr>
          <w:rFonts w:ascii="Times New Roman" w:hAnsi="Times New Roman" w:cs="Times New Roman"/>
          <w:sz w:val="24"/>
          <w:szCs w:val="24"/>
        </w:rPr>
      </w:pPr>
      <w:r w:rsidRPr="00280828">
        <w:rPr>
          <w:rFonts w:ascii="Times New Roman" w:hAnsi="Times New Roman" w:cs="Times New Roman"/>
          <w:sz w:val="24"/>
          <w:szCs w:val="24"/>
        </w:rPr>
        <w:lastRenderedPageBreak/>
        <w:t xml:space="preserve">Smlouva o fungování Evropské unie, Konsolidované znění Smlouvy o fungování Evropské unie. </w:t>
      </w:r>
      <w:proofErr w:type="spellStart"/>
      <w:r w:rsidRPr="00280828">
        <w:rPr>
          <w:rFonts w:ascii="Times New Roman" w:hAnsi="Times New Roman" w:cs="Times New Roman"/>
          <w:sz w:val="24"/>
          <w:szCs w:val="24"/>
        </w:rPr>
        <w:t>Úř</w:t>
      </w:r>
      <w:proofErr w:type="spellEnd"/>
      <w:r w:rsidRPr="00280828">
        <w:rPr>
          <w:rFonts w:ascii="Times New Roman" w:hAnsi="Times New Roman" w:cs="Times New Roman"/>
          <w:sz w:val="24"/>
          <w:szCs w:val="24"/>
        </w:rPr>
        <w:t xml:space="preserve">. </w:t>
      </w:r>
      <w:proofErr w:type="spellStart"/>
      <w:r w:rsidRPr="00280828">
        <w:rPr>
          <w:rFonts w:ascii="Times New Roman" w:hAnsi="Times New Roman" w:cs="Times New Roman"/>
          <w:sz w:val="24"/>
          <w:szCs w:val="24"/>
        </w:rPr>
        <w:t>věst</w:t>
      </w:r>
      <w:proofErr w:type="spellEnd"/>
      <w:r w:rsidRPr="00280828">
        <w:rPr>
          <w:rFonts w:ascii="Times New Roman" w:hAnsi="Times New Roman" w:cs="Times New Roman"/>
          <w:sz w:val="24"/>
          <w:szCs w:val="24"/>
        </w:rPr>
        <w:t>. C 326, 26. října 2012, s. 47—390.</w:t>
      </w:r>
    </w:p>
    <w:p w:rsidR="00416557" w:rsidRDefault="00416557" w:rsidP="0040090F">
      <w:pPr>
        <w:spacing w:line="360" w:lineRule="auto"/>
        <w:jc w:val="both"/>
        <w:rPr>
          <w:rFonts w:ascii="Times New Roman" w:hAnsi="Times New Roman" w:cs="Times New Roman"/>
          <w:sz w:val="24"/>
          <w:szCs w:val="24"/>
        </w:rPr>
      </w:pPr>
      <w:r>
        <w:rPr>
          <w:rFonts w:ascii="Times New Roman" w:hAnsi="Times New Roman" w:cs="Times New Roman"/>
          <w:sz w:val="24"/>
          <w:szCs w:val="24"/>
        </w:rPr>
        <w:t>Smlouva</w:t>
      </w:r>
      <w:r w:rsidRPr="0046378B">
        <w:rPr>
          <w:rFonts w:ascii="Times New Roman" w:hAnsi="Times New Roman" w:cs="Times New Roman"/>
          <w:sz w:val="24"/>
          <w:szCs w:val="24"/>
        </w:rPr>
        <w:t xml:space="preserve"> o založení Evropského Společenství (konsolidované znění). </w:t>
      </w:r>
      <w:proofErr w:type="spellStart"/>
      <w:r w:rsidRPr="0046378B">
        <w:rPr>
          <w:rFonts w:ascii="Times New Roman" w:hAnsi="Times New Roman" w:cs="Times New Roman"/>
          <w:sz w:val="24"/>
          <w:szCs w:val="24"/>
        </w:rPr>
        <w:t>Úř</w:t>
      </w:r>
      <w:proofErr w:type="spellEnd"/>
      <w:r w:rsidRPr="0046378B">
        <w:rPr>
          <w:rFonts w:ascii="Times New Roman" w:hAnsi="Times New Roman" w:cs="Times New Roman"/>
          <w:sz w:val="24"/>
          <w:szCs w:val="24"/>
        </w:rPr>
        <w:t xml:space="preserve">. </w:t>
      </w:r>
      <w:proofErr w:type="spellStart"/>
      <w:r w:rsidRPr="0046378B">
        <w:rPr>
          <w:rFonts w:ascii="Times New Roman" w:hAnsi="Times New Roman" w:cs="Times New Roman"/>
          <w:sz w:val="24"/>
          <w:szCs w:val="24"/>
        </w:rPr>
        <w:t>věst</w:t>
      </w:r>
      <w:proofErr w:type="spellEnd"/>
      <w:r w:rsidRPr="0046378B">
        <w:rPr>
          <w:rFonts w:ascii="Times New Roman" w:hAnsi="Times New Roman" w:cs="Times New Roman"/>
          <w:sz w:val="24"/>
          <w:szCs w:val="24"/>
        </w:rPr>
        <w:t xml:space="preserve">. </w:t>
      </w:r>
      <w:r>
        <w:rPr>
          <w:rFonts w:ascii="Times New Roman" w:hAnsi="Times New Roman" w:cs="Times New Roman"/>
          <w:sz w:val="24"/>
          <w:szCs w:val="24"/>
        </w:rPr>
        <w:t>C 321E, 29. prosince 2006, s. 37-186</w:t>
      </w:r>
      <w:r w:rsidRPr="0046378B">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szCs w:val="24"/>
        </w:rPr>
      </w:pPr>
      <w:r w:rsidRPr="00286BDA">
        <w:rPr>
          <w:rFonts w:ascii="Times New Roman" w:hAnsi="Times New Roman" w:cs="Times New Roman"/>
          <w:sz w:val="24"/>
          <w:szCs w:val="24"/>
        </w:rPr>
        <w:t xml:space="preserve">Soudní dvůr: Rozsudek ze dne 12. listopadu 1996, </w:t>
      </w:r>
      <w:r w:rsidRPr="00286BDA">
        <w:rPr>
          <w:rFonts w:ascii="Times New Roman" w:hAnsi="Times New Roman" w:cs="Times New Roman"/>
          <w:i/>
          <w:sz w:val="24"/>
          <w:szCs w:val="24"/>
        </w:rPr>
        <w:t>Spojené království Velké Británie a Severního Irska v Rada Evropské unie</w:t>
      </w:r>
      <w:r w:rsidRPr="00286BDA">
        <w:rPr>
          <w:rFonts w:ascii="Times New Roman" w:hAnsi="Times New Roman" w:cs="Times New Roman"/>
          <w:sz w:val="24"/>
          <w:szCs w:val="24"/>
        </w:rPr>
        <w:t xml:space="preserve">, C-84/94, Sb. </w:t>
      </w:r>
      <w:proofErr w:type="spellStart"/>
      <w:r w:rsidRPr="00286BDA">
        <w:rPr>
          <w:rFonts w:ascii="Times New Roman" w:hAnsi="Times New Roman" w:cs="Times New Roman"/>
          <w:sz w:val="24"/>
          <w:szCs w:val="24"/>
        </w:rPr>
        <w:t>rozh</w:t>
      </w:r>
      <w:proofErr w:type="spellEnd"/>
      <w:r w:rsidRPr="00286BDA">
        <w:rPr>
          <w:rFonts w:ascii="Times New Roman" w:hAnsi="Times New Roman" w:cs="Times New Roman"/>
          <w:sz w:val="24"/>
          <w:szCs w:val="24"/>
        </w:rPr>
        <w:t>. s. I-05755</w:t>
      </w:r>
      <w:r>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szCs w:val="24"/>
        </w:rPr>
      </w:pPr>
      <w:r w:rsidRPr="00287E34">
        <w:rPr>
          <w:rFonts w:ascii="Times New Roman" w:hAnsi="Times New Roman" w:cs="Times New Roman"/>
          <w:sz w:val="24"/>
          <w:szCs w:val="24"/>
        </w:rPr>
        <w:t xml:space="preserve">Soudní dvůr: Rozsudek ze dne 13. května 1997, </w:t>
      </w:r>
      <w:r w:rsidRPr="00287E34">
        <w:rPr>
          <w:rFonts w:ascii="Times New Roman" w:hAnsi="Times New Roman" w:cs="Times New Roman"/>
          <w:i/>
          <w:sz w:val="24"/>
          <w:szCs w:val="24"/>
        </w:rPr>
        <w:t>Spolková republika Německo v Evropský parlament a Rada Evropské unie</w:t>
      </w:r>
      <w:r w:rsidRPr="00287E34">
        <w:rPr>
          <w:rFonts w:ascii="Times New Roman" w:hAnsi="Times New Roman" w:cs="Times New Roman"/>
          <w:sz w:val="24"/>
          <w:szCs w:val="24"/>
        </w:rPr>
        <w:t xml:space="preserve">, C-233/94, Sb. </w:t>
      </w:r>
      <w:proofErr w:type="spellStart"/>
      <w:r w:rsidRPr="00287E34">
        <w:rPr>
          <w:rFonts w:ascii="Times New Roman" w:hAnsi="Times New Roman" w:cs="Times New Roman"/>
          <w:sz w:val="24"/>
          <w:szCs w:val="24"/>
        </w:rPr>
        <w:t>rozh</w:t>
      </w:r>
      <w:proofErr w:type="spellEnd"/>
      <w:r w:rsidRPr="00287E34">
        <w:rPr>
          <w:rFonts w:ascii="Times New Roman" w:hAnsi="Times New Roman" w:cs="Times New Roman"/>
          <w:sz w:val="24"/>
          <w:szCs w:val="24"/>
        </w:rPr>
        <w:t>. s. I-02405</w:t>
      </w:r>
      <w:r>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szCs w:val="24"/>
        </w:rPr>
      </w:pPr>
      <w:r w:rsidRPr="00A20512">
        <w:rPr>
          <w:rFonts w:ascii="Times New Roman" w:hAnsi="Times New Roman" w:cs="Times New Roman"/>
          <w:sz w:val="24"/>
          <w:szCs w:val="24"/>
        </w:rPr>
        <w:t xml:space="preserve">Soudní dvůr: Rozsudek ze dne 10. prosince 2002, </w:t>
      </w:r>
      <w:proofErr w:type="spellStart"/>
      <w:r w:rsidRPr="00A20512">
        <w:rPr>
          <w:rFonts w:ascii="Times New Roman" w:hAnsi="Times New Roman" w:cs="Times New Roman"/>
          <w:i/>
          <w:sz w:val="24"/>
          <w:szCs w:val="24"/>
        </w:rPr>
        <w:t>The</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Queen</w:t>
      </w:r>
      <w:proofErr w:type="spellEnd"/>
      <w:r w:rsidRPr="00A20512">
        <w:rPr>
          <w:rFonts w:ascii="Times New Roman" w:hAnsi="Times New Roman" w:cs="Times New Roman"/>
          <w:i/>
          <w:sz w:val="24"/>
          <w:szCs w:val="24"/>
        </w:rPr>
        <w:t xml:space="preserve"> v </w:t>
      </w:r>
      <w:proofErr w:type="spellStart"/>
      <w:r w:rsidRPr="00A20512">
        <w:rPr>
          <w:rFonts w:ascii="Times New Roman" w:hAnsi="Times New Roman" w:cs="Times New Roman"/>
          <w:i/>
          <w:sz w:val="24"/>
          <w:szCs w:val="24"/>
        </w:rPr>
        <w:t>Secretary</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of</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State</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for</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Health</w:t>
      </w:r>
      <w:proofErr w:type="spellEnd"/>
      <w:r w:rsidRPr="00A20512">
        <w:rPr>
          <w:rFonts w:ascii="Times New Roman" w:hAnsi="Times New Roman" w:cs="Times New Roman"/>
          <w:i/>
          <w:sz w:val="24"/>
          <w:szCs w:val="24"/>
        </w:rPr>
        <w:t xml:space="preserve">, ex parte </w:t>
      </w:r>
      <w:proofErr w:type="spellStart"/>
      <w:r w:rsidRPr="00A20512">
        <w:rPr>
          <w:rFonts w:ascii="Times New Roman" w:hAnsi="Times New Roman" w:cs="Times New Roman"/>
          <w:i/>
          <w:sz w:val="24"/>
          <w:szCs w:val="24"/>
        </w:rPr>
        <w:t>British</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American</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Tobacco</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Investments</w:t>
      </w:r>
      <w:proofErr w:type="spellEnd"/>
      <w:r w:rsidRPr="00A20512">
        <w:rPr>
          <w:rFonts w:ascii="Times New Roman" w:hAnsi="Times New Roman" w:cs="Times New Roman"/>
          <w:i/>
          <w:sz w:val="24"/>
          <w:szCs w:val="24"/>
        </w:rPr>
        <w:t xml:space="preserve">) Ltd a </w:t>
      </w:r>
      <w:proofErr w:type="spellStart"/>
      <w:r w:rsidRPr="00A20512">
        <w:rPr>
          <w:rFonts w:ascii="Times New Roman" w:hAnsi="Times New Roman" w:cs="Times New Roman"/>
          <w:i/>
          <w:sz w:val="24"/>
          <w:szCs w:val="24"/>
        </w:rPr>
        <w:t>Imperial</w:t>
      </w:r>
      <w:proofErr w:type="spellEnd"/>
      <w:r w:rsidRPr="00A20512">
        <w:rPr>
          <w:rFonts w:ascii="Times New Roman" w:hAnsi="Times New Roman" w:cs="Times New Roman"/>
          <w:i/>
          <w:sz w:val="24"/>
          <w:szCs w:val="24"/>
        </w:rPr>
        <w:t xml:space="preserve"> </w:t>
      </w:r>
      <w:proofErr w:type="spellStart"/>
      <w:r w:rsidRPr="00A20512">
        <w:rPr>
          <w:rFonts w:ascii="Times New Roman" w:hAnsi="Times New Roman" w:cs="Times New Roman"/>
          <w:i/>
          <w:sz w:val="24"/>
          <w:szCs w:val="24"/>
        </w:rPr>
        <w:t>Tobacco</w:t>
      </w:r>
      <w:proofErr w:type="spellEnd"/>
      <w:r w:rsidRPr="00A20512">
        <w:rPr>
          <w:rFonts w:ascii="Times New Roman" w:hAnsi="Times New Roman" w:cs="Times New Roman"/>
          <w:i/>
          <w:sz w:val="24"/>
          <w:szCs w:val="24"/>
        </w:rPr>
        <w:t xml:space="preserve"> Ltd</w:t>
      </w:r>
      <w:r w:rsidRPr="00A20512">
        <w:rPr>
          <w:rFonts w:ascii="Times New Roman" w:hAnsi="Times New Roman" w:cs="Times New Roman"/>
          <w:sz w:val="24"/>
          <w:szCs w:val="24"/>
        </w:rPr>
        <w:t>, C-491/0</w:t>
      </w:r>
      <w:r>
        <w:rPr>
          <w:rFonts w:ascii="Times New Roman" w:hAnsi="Times New Roman" w:cs="Times New Roman"/>
          <w:sz w:val="24"/>
          <w:szCs w:val="24"/>
        </w:rPr>
        <w:t xml:space="preserve">1, Sb. </w:t>
      </w:r>
      <w:proofErr w:type="spellStart"/>
      <w:r>
        <w:rPr>
          <w:rFonts w:ascii="Times New Roman" w:hAnsi="Times New Roman" w:cs="Times New Roman"/>
          <w:sz w:val="24"/>
          <w:szCs w:val="24"/>
        </w:rPr>
        <w:t>rozh</w:t>
      </w:r>
      <w:proofErr w:type="spellEnd"/>
      <w:r>
        <w:rPr>
          <w:rFonts w:ascii="Times New Roman" w:hAnsi="Times New Roman" w:cs="Times New Roman"/>
          <w:sz w:val="24"/>
          <w:szCs w:val="24"/>
        </w:rPr>
        <w:t>. s. I-11453.</w:t>
      </w:r>
    </w:p>
    <w:p w:rsidR="00416557" w:rsidRDefault="00416557" w:rsidP="0040090F">
      <w:pPr>
        <w:spacing w:line="360" w:lineRule="auto"/>
        <w:jc w:val="both"/>
        <w:rPr>
          <w:rFonts w:ascii="Times New Roman" w:hAnsi="Times New Roman" w:cs="Times New Roman"/>
          <w:sz w:val="24"/>
          <w:szCs w:val="24"/>
        </w:rPr>
      </w:pPr>
      <w:r w:rsidRPr="00C908AD">
        <w:rPr>
          <w:rFonts w:ascii="Times New Roman" w:hAnsi="Times New Roman" w:cs="Times New Roman"/>
          <w:sz w:val="24"/>
          <w:szCs w:val="24"/>
        </w:rPr>
        <w:t xml:space="preserve">Soudní dvůr: Rozsudek ze dne 11. prosince 2007, </w:t>
      </w:r>
      <w:r w:rsidRPr="00BA0227">
        <w:rPr>
          <w:rFonts w:ascii="Times New Roman" w:hAnsi="Times New Roman" w:cs="Times New Roman"/>
          <w:i/>
          <w:sz w:val="24"/>
          <w:szCs w:val="24"/>
        </w:rPr>
        <w:t xml:space="preserve">International Transport </w:t>
      </w:r>
      <w:proofErr w:type="spellStart"/>
      <w:r w:rsidRPr="00BA0227">
        <w:rPr>
          <w:rFonts w:ascii="Times New Roman" w:hAnsi="Times New Roman" w:cs="Times New Roman"/>
          <w:i/>
          <w:sz w:val="24"/>
          <w:szCs w:val="24"/>
        </w:rPr>
        <w:t>Workers</w:t>
      </w:r>
      <w:proofErr w:type="spellEnd"/>
      <w:r w:rsidRPr="00BA0227">
        <w:rPr>
          <w:rFonts w:ascii="Times New Roman" w:hAnsi="Times New Roman" w:cs="Times New Roman"/>
          <w:i/>
          <w:sz w:val="24"/>
          <w:szCs w:val="24"/>
        </w:rPr>
        <w:t xml:space="preserve">’ </w:t>
      </w:r>
      <w:proofErr w:type="spellStart"/>
      <w:r w:rsidRPr="00BA0227">
        <w:rPr>
          <w:rFonts w:ascii="Times New Roman" w:hAnsi="Times New Roman" w:cs="Times New Roman"/>
          <w:i/>
          <w:sz w:val="24"/>
          <w:szCs w:val="24"/>
        </w:rPr>
        <w:t>Federation</w:t>
      </w:r>
      <w:proofErr w:type="spellEnd"/>
      <w:r w:rsidRPr="00BA0227">
        <w:rPr>
          <w:rFonts w:ascii="Times New Roman" w:hAnsi="Times New Roman" w:cs="Times New Roman"/>
          <w:i/>
          <w:sz w:val="24"/>
          <w:szCs w:val="24"/>
        </w:rPr>
        <w:t xml:space="preserve"> a </w:t>
      </w:r>
      <w:proofErr w:type="spellStart"/>
      <w:r w:rsidRPr="00BA0227">
        <w:rPr>
          <w:rFonts w:ascii="Times New Roman" w:hAnsi="Times New Roman" w:cs="Times New Roman"/>
          <w:i/>
          <w:sz w:val="24"/>
          <w:szCs w:val="24"/>
        </w:rPr>
        <w:t>Finnish</w:t>
      </w:r>
      <w:proofErr w:type="spellEnd"/>
      <w:r w:rsidRPr="00BA0227">
        <w:rPr>
          <w:rFonts w:ascii="Times New Roman" w:hAnsi="Times New Roman" w:cs="Times New Roman"/>
          <w:i/>
          <w:sz w:val="24"/>
          <w:szCs w:val="24"/>
        </w:rPr>
        <w:t xml:space="preserve"> </w:t>
      </w:r>
      <w:proofErr w:type="spellStart"/>
      <w:r w:rsidRPr="00BA0227">
        <w:rPr>
          <w:rFonts w:ascii="Times New Roman" w:hAnsi="Times New Roman" w:cs="Times New Roman"/>
          <w:i/>
          <w:sz w:val="24"/>
          <w:szCs w:val="24"/>
        </w:rPr>
        <w:t>Seamen’s</w:t>
      </w:r>
      <w:proofErr w:type="spellEnd"/>
      <w:r w:rsidRPr="00BA0227">
        <w:rPr>
          <w:rFonts w:ascii="Times New Roman" w:hAnsi="Times New Roman" w:cs="Times New Roman"/>
          <w:i/>
          <w:sz w:val="24"/>
          <w:szCs w:val="24"/>
        </w:rPr>
        <w:t xml:space="preserve"> Union </w:t>
      </w:r>
      <w:proofErr w:type="gramStart"/>
      <w:r w:rsidRPr="00BA0227">
        <w:rPr>
          <w:rFonts w:ascii="Times New Roman" w:hAnsi="Times New Roman" w:cs="Times New Roman"/>
          <w:i/>
          <w:sz w:val="24"/>
          <w:szCs w:val="24"/>
        </w:rPr>
        <w:t>v</w:t>
      </w:r>
      <w:proofErr w:type="gramEnd"/>
      <w:r w:rsidRPr="00BA0227">
        <w:rPr>
          <w:rFonts w:ascii="Times New Roman" w:hAnsi="Times New Roman" w:cs="Times New Roman"/>
          <w:i/>
          <w:sz w:val="24"/>
          <w:szCs w:val="24"/>
        </w:rPr>
        <w:t xml:space="preserve"> Viking Line ABP a OÜ Viking Line </w:t>
      </w:r>
      <w:proofErr w:type="spellStart"/>
      <w:r w:rsidRPr="00BA0227">
        <w:rPr>
          <w:rFonts w:ascii="Times New Roman" w:hAnsi="Times New Roman" w:cs="Times New Roman"/>
          <w:i/>
          <w:sz w:val="24"/>
          <w:szCs w:val="24"/>
        </w:rPr>
        <w:t>Eesti</w:t>
      </w:r>
      <w:proofErr w:type="spellEnd"/>
      <w:r w:rsidRPr="00C908AD">
        <w:rPr>
          <w:rFonts w:ascii="Times New Roman" w:hAnsi="Times New Roman" w:cs="Times New Roman"/>
          <w:sz w:val="24"/>
          <w:szCs w:val="24"/>
        </w:rPr>
        <w:t xml:space="preserve">, C-438/05, Sb. </w:t>
      </w:r>
      <w:proofErr w:type="spellStart"/>
      <w:r w:rsidRPr="00C908AD">
        <w:rPr>
          <w:rFonts w:ascii="Times New Roman" w:hAnsi="Times New Roman" w:cs="Times New Roman"/>
          <w:sz w:val="24"/>
          <w:szCs w:val="24"/>
        </w:rPr>
        <w:t>rozh</w:t>
      </w:r>
      <w:proofErr w:type="spellEnd"/>
      <w:r w:rsidRPr="00C908AD">
        <w:rPr>
          <w:rFonts w:ascii="Times New Roman" w:hAnsi="Times New Roman" w:cs="Times New Roman"/>
          <w:sz w:val="24"/>
          <w:szCs w:val="24"/>
        </w:rPr>
        <w:t>. s. I-10779</w:t>
      </w:r>
      <w:r>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szCs w:val="24"/>
        </w:rPr>
      </w:pPr>
      <w:r w:rsidRPr="000108B6">
        <w:rPr>
          <w:rFonts w:ascii="Times New Roman" w:hAnsi="Times New Roman" w:cs="Times New Roman"/>
          <w:sz w:val="24"/>
          <w:szCs w:val="24"/>
        </w:rPr>
        <w:t xml:space="preserve">Soudní dvůr: Rozsudek ze dne 27. listopadu 2012, </w:t>
      </w:r>
      <w:proofErr w:type="spellStart"/>
      <w:r w:rsidRPr="000108B6">
        <w:rPr>
          <w:rFonts w:ascii="Times New Roman" w:hAnsi="Times New Roman" w:cs="Times New Roman"/>
          <w:i/>
          <w:sz w:val="24"/>
          <w:szCs w:val="24"/>
        </w:rPr>
        <w:t>Pringle</w:t>
      </w:r>
      <w:proofErr w:type="spellEnd"/>
      <w:r w:rsidRPr="000108B6">
        <w:rPr>
          <w:rFonts w:ascii="Times New Roman" w:hAnsi="Times New Roman" w:cs="Times New Roman"/>
          <w:i/>
          <w:sz w:val="24"/>
          <w:szCs w:val="24"/>
        </w:rPr>
        <w:t xml:space="preserve"> v </w:t>
      </w:r>
      <w:proofErr w:type="spellStart"/>
      <w:r w:rsidRPr="000108B6">
        <w:rPr>
          <w:rFonts w:ascii="Times New Roman" w:hAnsi="Times New Roman" w:cs="Times New Roman"/>
          <w:i/>
          <w:sz w:val="24"/>
          <w:szCs w:val="24"/>
        </w:rPr>
        <w:t>Governement</w:t>
      </w:r>
      <w:proofErr w:type="spellEnd"/>
      <w:r w:rsidRPr="000108B6">
        <w:rPr>
          <w:rFonts w:ascii="Times New Roman" w:hAnsi="Times New Roman" w:cs="Times New Roman"/>
          <w:i/>
          <w:sz w:val="24"/>
          <w:szCs w:val="24"/>
        </w:rPr>
        <w:t xml:space="preserve"> </w:t>
      </w:r>
      <w:proofErr w:type="spellStart"/>
      <w:r w:rsidRPr="000108B6">
        <w:rPr>
          <w:rFonts w:ascii="Times New Roman" w:hAnsi="Times New Roman" w:cs="Times New Roman"/>
          <w:i/>
          <w:sz w:val="24"/>
          <w:szCs w:val="24"/>
        </w:rPr>
        <w:t>of</w:t>
      </w:r>
      <w:proofErr w:type="spellEnd"/>
      <w:r w:rsidRPr="000108B6">
        <w:rPr>
          <w:rFonts w:ascii="Times New Roman" w:hAnsi="Times New Roman" w:cs="Times New Roman"/>
          <w:i/>
          <w:sz w:val="24"/>
          <w:szCs w:val="24"/>
        </w:rPr>
        <w:t xml:space="preserve"> </w:t>
      </w:r>
      <w:proofErr w:type="spellStart"/>
      <w:r w:rsidRPr="000108B6">
        <w:rPr>
          <w:rFonts w:ascii="Times New Roman" w:hAnsi="Times New Roman" w:cs="Times New Roman"/>
          <w:i/>
          <w:sz w:val="24"/>
          <w:szCs w:val="24"/>
        </w:rPr>
        <w:t>Ireland</w:t>
      </w:r>
      <w:proofErr w:type="spellEnd"/>
      <w:r>
        <w:rPr>
          <w:rFonts w:ascii="Times New Roman" w:hAnsi="Times New Roman" w:cs="Times New Roman"/>
          <w:sz w:val="24"/>
          <w:szCs w:val="24"/>
        </w:rPr>
        <w:t>, C-370/12.</w:t>
      </w:r>
    </w:p>
    <w:p w:rsidR="00416557" w:rsidRDefault="00416557" w:rsidP="0040090F">
      <w:pPr>
        <w:spacing w:line="360" w:lineRule="auto"/>
        <w:jc w:val="both"/>
        <w:rPr>
          <w:rFonts w:ascii="Times New Roman" w:hAnsi="Times New Roman" w:cs="Times New Roman"/>
          <w:sz w:val="24"/>
          <w:szCs w:val="24"/>
        </w:rPr>
      </w:pPr>
      <w:r w:rsidRPr="0034786D">
        <w:rPr>
          <w:rFonts w:ascii="Times New Roman" w:hAnsi="Times New Roman" w:cs="Times New Roman"/>
          <w:sz w:val="24"/>
          <w:szCs w:val="24"/>
        </w:rPr>
        <w:t xml:space="preserve">Soudní dvůr: Rozsudek ze dne 19. prosince 2012, </w:t>
      </w:r>
      <w:proofErr w:type="spellStart"/>
      <w:r w:rsidRPr="003B2273">
        <w:rPr>
          <w:rFonts w:ascii="Times New Roman" w:hAnsi="Times New Roman" w:cs="Times New Roman"/>
          <w:i/>
          <w:sz w:val="24"/>
          <w:szCs w:val="24"/>
        </w:rPr>
        <w:t>Mitteldeutsche</w:t>
      </w:r>
      <w:proofErr w:type="spellEnd"/>
      <w:r w:rsidRPr="003B2273">
        <w:rPr>
          <w:rFonts w:ascii="Times New Roman" w:hAnsi="Times New Roman" w:cs="Times New Roman"/>
          <w:i/>
          <w:sz w:val="24"/>
          <w:szCs w:val="24"/>
        </w:rPr>
        <w:t xml:space="preserve"> </w:t>
      </w:r>
      <w:proofErr w:type="spellStart"/>
      <w:r w:rsidRPr="003B2273">
        <w:rPr>
          <w:rFonts w:ascii="Times New Roman" w:hAnsi="Times New Roman" w:cs="Times New Roman"/>
          <w:i/>
          <w:sz w:val="24"/>
          <w:szCs w:val="24"/>
        </w:rPr>
        <w:t>Flughafen</w:t>
      </w:r>
      <w:proofErr w:type="spellEnd"/>
      <w:r w:rsidRPr="003B2273">
        <w:rPr>
          <w:rFonts w:ascii="Times New Roman" w:hAnsi="Times New Roman" w:cs="Times New Roman"/>
          <w:i/>
          <w:sz w:val="24"/>
          <w:szCs w:val="24"/>
        </w:rPr>
        <w:t xml:space="preserve"> AG 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Flughafen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Leipzig</w:t>
      </w:r>
      <w:proofErr w:type="spellEnd"/>
      <w:r>
        <w:rPr>
          <w:rFonts w:ascii="Times New Roman" w:hAnsi="Times New Roman" w:cs="Times New Roman"/>
          <w:i/>
          <w:sz w:val="24"/>
          <w:szCs w:val="24"/>
        </w:rPr>
        <w:t xml:space="preserve">-Halle </w:t>
      </w:r>
      <w:proofErr w:type="spellStart"/>
      <w:r>
        <w:rPr>
          <w:rFonts w:ascii="Times New Roman" w:hAnsi="Times New Roman" w:cs="Times New Roman"/>
          <w:i/>
          <w:sz w:val="24"/>
          <w:szCs w:val="24"/>
        </w:rPr>
        <w:t>GmbH</w:t>
      </w:r>
      <w:proofErr w:type="spellEnd"/>
      <w:r>
        <w:rPr>
          <w:rFonts w:ascii="Times New Roman" w:hAnsi="Times New Roman" w:cs="Times New Roman"/>
          <w:i/>
          <w:sz w:val="24"/>
          <w:szCs w:val="24"/>
        </w:rPr>
        <w:t xml:space="preserve"> v</w:t>
      </w:r>
      <w:r w:rsidRPr="003B2273">
        <w:rPr>
          <w:rFonts w:ascii="Times New Roman" w:hAnsi="Times New Roman" w:cs="Times New Roman"/>
          <w:i/>
          <w:sz w:val="24"/>
          <w:szCs w:val="24"/>
        </w:rPr>
        <w:t xml:space="preserve"> Komise</w:t>
      </w:r>
      <w:r>
        <w:rPr>
          <w:rFonts w:ascii="Times New Roman" w:hAnsi="Times New Roman" w:cs="Times New Roman"/>
          <w:sz w:val="24"/>
          <w:szCs w:val="24"/>
        </w:rPr>
        <w:t>, C-288/11 P.</w:t>
      </w:r>
    </w:p>
    <w:p w:rsidR="00416557" w:rsidRDefault="00416557" w:rsidP="0040090F">
      <w:pPr>
        <w:spacing w:line="360" w:lineRule="auto"/>
        <w:jc w:val="both"/>
        <w:rPr>
          <w:rFonts w:ascii="Times New Roman" w:hAnsi="Times New Roman" w:cs="Times New Roman"/>
          <w:sz w:val="24"/>
          <w:szCs w:val="24"/>
        </w:rPr>
      </w:pPr>
      <w:r w:rsidRPr="00F20A93">
        <w:rPr>
          <w:rFonts w:ascii="Times New Roman" w:hAnsi="Times New Roman" w:cs="Times New Roman"/>
          <w:sz w:val="24"/>
          <w:szCs w:val="24"/>
        </w:rPr>
        <w:t xml:space="preserve">Soudní dvůr: Rozsudek ze dne 18. června 2015, </w:t>
      </w:r>
      <w:r w:rsidRPr="00F20A93">
        <w:rPr>
          <w:rFonts w:ascii="Times New Roman" w:hAnsi="Times New Roman" w:cs="Times New Roman"/>
          <w:i/>
          <w:sz w:val="24"/>
          <w:szCs w:val="24"/>
        </w:rPr>
        <w:t>Estonská republika v. Evropský parlament a Rada Evropské unie</w:t>
      </w:r>
      <w:r w:rsidRPr="00F20A93">
        <w:rPr>
          <w:rFonts w:ascii="Times New Roman" w:hAnsi="Times New Roman" w:cs="Times New Roman"/>
          <w:sz w:val="24"/>
          <w:szCs w:val="24"/>
        </w:rPr>
        <w:t>, C-508/13</w:t>
      </w:r>
      <w:r>
        <w:rPr>
          <w:rFonts w:ascii="Times New Roman" w:hAnsi="Times New Roman" w:cs="Times New Roman"/>
          <w:sz w:val="24"/>
          <w:szCs w:val="24"/>
        </w:rPr>
        <w:t>.</w:t>
      </w:r>
    </w:p>
    <w:p w:rsidR="00416557" w:rsidRPr="00A14166" w:rsidRDefault="00416557" w:rsidP="0040090F">
      <w:pPr>
        <w:spacing w:line="360" w:lineRule="auto"/>
        <w:jc w:val="both"/>
        <w:rPr>
          <w:rFonts w:ascii="Times New Roman" w:hAnsi="Times New Roman" w:cs="Times New Roman"/>
          <w:sz w:val="28"/>
          <w:szCs w:val="24"/>
        </w:rPr>
      </w:pPr>
      <w:r w:rsidRPr="00A14166">
        <w:rPr>
          <w:rFonts w:ascii="Times New Roman" w:hAnsi="Times New Roman" w:cs="Times New Roman"/>
          <w:sz w:val="24"/>
        </w:rPr>
        <w:t xml:space="preserve">Soudní dvůr: Rozsudek ze dne 4. května 2016, </w:t>
      </w:r>
      <w:r w:rsidRPr="00A14166">
        <w:rPr>
          <w:rFonts w:ascii="Times New Roman" w:hAnsi="Times New Roman" w:cs="Times New Roman"/>
          <w:i/>
          <w:sz w:val="24"/>
        </w:rPr>
        <w:t xml:space="preserve">Philip Morris </w:t>
      </w:r>
      <w:proofErr w:type="spellStart"/>
      <w:r w:rsidRPr="00A14166">
        <w:rPr>
          <w:rFonts w:ascii="Times New Roman" w:hAnsi="Times New Roman" w:cs="Times New Roman"/>
          <w:i/>
          <w:sz w:val="24"/>
        </w:rPr>
        <w:t>Brands</w:t>
      </w:r>
      <w:proofErr w:type="spellEnd"/>
      <w:r w:rsidRPr="00A14166">
        <w:rPr>
          <w:rFonts w:ascii="Times New Roman" w:hAnsi="Times New Roman" w:cs="Times New Roman"/>
          <w:i/>
          <w:sz w:val="24"/>
        </w:rPr>
        <w:t xml:space="preserve"> SARL a další v. </w:t>
      </w:r>
      <w:proofErr w:type="spellStart"/>
      <w:r w:rsidRPr="00A14166">
        <w:rPr>
          <w:rFonts w:ascii="Times New Roman" w:hAnsi="Times New Roman" w:cs="Times New Roman"/>
          <w:i/>
          <w:sz w:val="24"/>
        </w:rPr>
        <w:t>Secretary</w:t>
      </w:r>
      <w:proofErr w:type="spellEnd"/>
      <w:r w:rsidRPr="00A14166">
        <w:rPr>
          <w:rFonts w:ascii="Times New Roman" w:hAnsi="Times New Roman" w:cs="Times New Roman"/>
          <w:i/>
          <w:sz w:val="24"/>
        </w:rPr>
        <w:t xml:space="preserve"> </w:t>
      </w:r>
      <w:proofErr w:type="spellStart"/>
      <w:r w:rsidRPr="00A14166">
        <w:rPr>
          <w:rFonts w:ascii="Times New Roman" w:hAnsi="Times New Roman" w:cs="Times New Roman"/>
          <w:i/>
          <w:sz w:val="24"/>
        </w:rPr>
        <w:t>of</w:t>
      </w:r>
      <w:proofErr w:type="spellEnd"/>
      <w:r w:rsidRPr="00A14166">
        <w:rPr>
          <w:rFonts w:ascii="Times New Roman" w:hAnsi="Times New Roman" w:cs="Times New Roman"/>
          <w:i/>
          <w:sz w:val="24"/>
        </w:rPr>
        <w:t xml:space="preserve"> </w:t>
      </w:r>
      <w:proofErr w:type="spellStart"/>
      <w:r w:rsidRPr="00A14166">
        <w:rPr>
          <w:rFonts w:ascii="Times New Roman" w:hAnsi="Times New Roman" w:cs="Times New Roman"/>
          <w:i/>
          <w:sz w:val="24"/>
        </w:rPr>
        <w:t>State</w:t>
      </w:r>
      <w:proofErr w:type="spellEnd"/>
      <w:r w:rsidRPr="00A14166">
        <w:rPr>
          <w:rFonts w:ascii="Times New Roman" w:hAnsi="Times New Roman" w:cs="Times New Roman"/>
          <w:i/>
          <w:sz w:val="24"/>
        </w:rPr>
        <w:t xml:space="preserve"> </w:t>
      </w:r>
      <w:proofErr w:type="spellStart"/>
      <w:r w:rsidRPr="00A14166">
        <w:rPr>
          <w:rFonts w:ascii="Times New Roman" w:hAnsi="Times New Roman" w:cs="Times New Roman"/>
          <w:i/>
          <w:sz w:val="24"/>
        </w:rPr>
        <w:t>for</w:t>
      </w:r>
      <w:proofErr w:type="spellEnd"/>
      <w:r w:rsidRPr="00A14166">
        <w:rPr>
          <w:rFonts w:ascii="Times New Roman" w:hAnsi="Times New Roman" w:cs="Times New Roman"/>
          <w:i/>
          <w:sz w:val="24"/>
        </w:rPr>
        <w:t xml:space="preserve"> </w:t>
      </w:r>
      <w:proofErr w:type="spellStart"/>
      <w:r w:rsidRPr="00A14166">
        <w:rPr>
          <w:rFonts w:ascii="Times New Roman" w:hAnsi="Times New Roman" w:cs="Times New Roman"/>
          <w:i/>
          <w:sz w:val="24"/>
        </w:rPr>
        <w:t>Health</w:t>
      </w:r>
      <w:proofErr w:type="spellEnd"/>
      <w:r>
        <w:rPr>
          <w:rFonts w:ascii="Times New Roman" w:hAnsi="Times New Roman" w:cs="Times New Roman"/>
          <w:sz w:val="24"/>
        </w:rPr>
        <w:t>, C-547/14.</w:t>
      </w:r>
    </w:p>
    <w:p w:rsidR="00416557" w:rsidRDefault="00416557" w:rsidP="0040090F">
      <w:pPr>
        <w:spacing w:line="360" w:lineRule="auto"/>
        <w:jc w:val="both"/>
        <w:rPr>
          <w:rFonts w:ascii="Times New Roman" w:hAnsi="Times New Roman" w:cs="Times New Roman"/>
          <w:sz w:val="24"/>
          <w:szCs w:val="24"/>
        </w:rPr>
      </w:pPr>
      <w:r w:rsidRPr="0057291A">
        <w:rPr>
          <w:rFonts w:ascii="Times New Roman" w:hAnsi="Times New Roman" w:cs="Times New Roman"/>
          <w:sz w:val="24"/>
          <w:szCs w:val="24"/>
        </w:rPr>
        <w:t xml:space="preserve">Stanovisko generálního advokáta ze dne 1. října 2009, </w:t>
      </w:r>
      <w:r w:rsidRPr="0057291A">
        <w:rPr>
          <w:rFonts w:ascii="Times New Roman" w:hAnsi="Times New Roman" w:cs="Times New Roman"/>
          <w:i/>
          <w:sz w:val="24"/>
          <w:szCs w:val="24"/>
        </w:rPr>
        <w:t xml:space="preserve">Vodafone Ltd, Telefónica O2 </w:t>
      </w:r>
      <w:proofErr w:type="spellStart"/>
      <w:r w:rsidRPr="0057291A">
        <w:rPr>
          <w:rFonts w:ascii="Times New Roman" w:hAnsi="Times New Roman" w:cs="Times New Roman"/>
          <w:i/>
          <w:sz w:val="24"/>
          <w:szCs w:val="24"/>
        </w:rPr>
        <w:t>Europe</w:t>
      </w:r>
      <w:proofErr w:type="spellEnd"/>
      <w:r w:rsidRPr="0057291A">
        <w:rPr>
          <w:rFonts w:ascii="Times New Roman" w:hAnsi="Times New Roman" w:cs="Times New Roman"/>
          <w:i/>
          <w:sz w:val="24"/>
          <w:szCs w:val="24"/>
        </w:rPr>
        <w:t xml:space="preserve"> </w:t>
      </w:r>
      <w:proofErr w:type="spellStart"/>
      <w:r w:rsidRPr="0057291A">
        <w:rPr>
          <w:rFonts w:ascii="Times New Roman" w:hAnsi="Times New Roman" w:cs="Times New Roman"/>
          <w:i/>
          <w:sz w:val="24"/>
          <w:szCs w:val="24"/>
        </w:rPr>
        <w:t>plc</w:t>
      </w:r>
      <w:proofErr w:type="spellEnd"/>
      <w:r w:rsidRPr="0057291A">
        <w:rPr>
          <w:rFonts w:ascii="Times New Roman" w:hAnsi="Times New Roman" w:cs="Times New Roman"/>
          <w:i/>
          <w:sz w:val="24"/>
          <w:szCs w:val="24"/>
        </w:rPr>
        <w:t xml:space="preserve">, T‑Mobile International AG, Orange </w:t>
      </w:r>
      <w:proofErr w:type="spellStart"/>
      <w:r w:rsidRPr="0057291A">
        <w:rPr>
          <w:rFonts w:ascii="Times New Roman" w:hAnsi="Times New Roman" w:cs="Times New Roman"/>
          <w:i/>
          <w:sz w:val="24"/>
          <w:szCs w:val="24"/>
        </w:rPr>
        <w:t>Personal</w:t>
      </w:r>
      <w:proofErr w:type="spellEnd"/>
      <w:r w:rsidRPr="0057291A">
        <w:rPr>
          <w:rFonts w:ascii="Times New Roman" w:hAnsi="Times New Roman" w:cs="Times New Roman"/>
          <w:i/>
          <w:sz w:val="24"/>
          <w:szCs w:val="24"/>
        </w:rPr>
        <w:t xml:space="preserve"> Communications </w:t>
      </w:r>
      <w:proofErr w:type="spellStart"/>
      <w:r w:rsidRPr="0057291A">
        <w:rPr>
          <w:rFonts w:ascii="Times New Roman" w:hAnsi="Times New Roman" w:cs="Times New Roman"/>
          <w:i/>
          <w:sz w:val="24"/>
          <w:szCs w:val="24"/>
        </w:rPr>
        <w:t>Services</w:t>
      </w:r>
      <w:proofErr w:type="spellEnd"/>
      <w:r w:rsidRPr="0057291A">
        <w:rPr>
          <w:rFonts w:ascii="Times New Roman" w:hAnsi="Times New Roman" w:cs="Times New Roman"/>
          <w:i/>
          <w:sz w:val="24"/>
          <w:szCs w:val="24"/>
        </w:rPr>
        <w:t xml:space="preserve"> Ltd v </w:t>
      </w:r>
      <w:proofErr w:type="spellStart"/>
      <w:r w:rsidRPr="0057291A">
        <w:rPr>
          <w:rFonts w:ascii="Times New Roman" w:hAnsi="Times New Roman" w:cs="Times New Roman"/>
          <w:i/>
          <w:sz w:val="24"/>
          <w:szCs w:val="24"/>
        </w:rPr>
        <w:t>Secretary</w:t>
      </w:r>
      <w:proofErr w:type="spellEnd"/>
      <w:r w:rsidRPr="0057291A">
        <w:rPr>
          <w:rFonts w:ascii="Times New Roman" w:hAnsi="Times New Roman" w:cs="Times New Roman"/>
          <w:i/>
          <w:sz w:val="24"/>
          <w:szCs w:val="24"/>
        </w:rPr>
        <w:t xml:space="preserve"> </w:t>
      </w:r>
      <w:proofErr w:type="spellStart"/>
      <w:r w:rsidRPr="0057291A">
        <w:rPr>
          <w:rFonts w:ascii="Times New Roman" w:hAnsi="Times New Roman" w:cs="Times New Roman"/>
          <w:i/>
          <w:sz w:val="24"/>
          <w:szCs w:val="24"/>
        </w:rPr>
        <w:t>of</w:t>
      </w:r>
      <w:proofErr w:type="spellEnd"/>
      <w:r w:rsidRPr="0057291A">
        <w:rPr>
          <w:rFonts w:ascii="Times New Roman" w:hAnsi="Times New Roman" w:cs="Times New Roman"/>
          <w:i/>
          <w:sz w:val="24"/>
          <w:szCs w:val="24"/>
        </w:rPr>
        <w:t xml:space="preserve"> </w:t>
      </w:r>
      <w:proofErr w:type="spellStart"/>
      <w:r w:rsidRPr="0057291A">
        <w:rPr>
          <w:rFonts w:ascii="Times New Roman" w:hAnsi="Times New Roman" w:cs="Times New Roman"/>
          <w:i/>
          <w:sz w:val="24"/>
          <w:szCs w:val="24"/>
        </w:rPr>
        <w:t>State</w:t>
      </w:r>
      <w:proofErr w:type="spellEnd"/>
      <w:r w:rsidRPr="0057291A">
        <w:rPr>
          <w:rFonts w:ascii="Times New Roman" w:hAnsi="Times New Roman" w:cs="Times New Roman"/>
          <w:i/>
          <w:sz w:val="24"/>
          <w:szCs w:val="24"/>
        </w:rPr>
        <w:t xml:space="preserve"> </w:t>
      </w:r>
      <w:proofErr w:type="spellStart"/>
      <w:r w:rsidRPr="0057291A">
        <w:rPr>
          <w:rFonts w:ascii="Times New Roman" w:hAnsi="Times New Roman" w:cs="Times New Roman"/>
          <w:i/>
          <w:sz w:val="24"/>
          <w:szCs w:val="24"/>
        </w:rPr>
        <w:t>for</w:t>
      </w:r>
      <w:proofErr w:type="spellEnd"/>
      <w:r w:rsidRPr="0057291A">
        <w:rPr>
          <w:rFonts w:ascii="Times New Roman" w:hAnsi="Times New Roman" w:cs="Times New Roman"/>
          <w:i/>
          <w:sz w:val="24"/>
          <w:szCs w:val="24"/>
        </w:rPr>
        <w:t xml:space="preserve"> Business, </w:t>
      </w:r>
      <w:proofErr w:type="spellStart"/>
      <w:r w:rsidRPr="0057291A">
        <w:rPr>
          <w:rFonts w:ascii="Times New Roman" w:hAnsi="Times New Roman" w:cs="Times New Roman"/>
          <w:i/>
          <w:sz w:val="24"/>
          <w:szCs w:val="24"/>
        </w:rPr>
        <w:t>Enterprise</w:t>
      </w:r>
      <w:proofErr w:type="spellEnd"/>
      <w:r w:rsidRPr="0057291A">
        <w:rPr>
          <w:rFonts w:ascii="Times New Roman" w:hAnsi="Times New Roman" w:cs="Times New Roman"/>
          <w:i/>
          <w:sz w:val="24"/>
          <w:szCs w:val="24"/>
        </w:rPr>
        <w:t xml:space="preserve"> and </w:t>
      </w:r>
      <w:proofErr w:type="spellStart"/>
      <w:r w:rsidRPr="0057291A">
        <w:rPr>
          <w:rFonts w:ascii="Times New Roman" w:hAnsi="Times New Roman" w:cs="Times New Roman"/>
          <w:i/>
          <w:sz w:val="24"/>
          <w:szCs w:val="24"/>
        </w:rPr>
        <w:t>Regulatory</w:t>
      </w:r>
      <w:proofErr w:type="spellEnd"/>
      <w:r w:rsidRPr="0057291A">
        <w:rPr>
          <w:rFonts w:ascii="Times New Roman" w:hAnsi="Times New Roman" w:cs="Times New Roman"/>
          <w:i/>
          <w:sz w:val="24"/>
          <w:szCs w:val="24"/>
        </w:rPr>
        <w:t xml:space="preserve"> </w:t>
      </w:r>
      <w:proofErr w:type="spellStart"/>
      <w:r w:rsidRPr="0057291A">
        <w:rPr>
          <w:rFonts w:ascii="Times New Roman" w:hAnsi="Times New Roman" w:cs="Times New Roman"/>
          <w:i/>
          <w:sz w:val="24"/>
          <w:szCs w:val="24"/>
        </w:rPr>
        <w:t>Reform</w:t>
      </w:r>
      <w:proofErr w:type="spellEnd"/>
      <w:r w:rsidRPr="0057291A">
        <w:rPr>
          <w:rFonts w:ascii="Times New Roman" w:hAnsi="Times New Roman" w:cs="Times New Roman"/>
          <w:sz w:val="24"/>
          <w:szCs w:val="24"/>
        </w:rPr>
        <w:t>, C-58/08, S</w:t>
      </w:r>
      <w:r>
        <w:rPr>
          <w:rFonts w:ascii="Times New Roman" w:hAnsi="Times New Roman" w:cs="Times New Roman"/>
          <w:sz w:val="24"/>
          <w:szCs w:val="24"/>
        </w:rPr>
        <w:t xml:space="preserve">b. </w:t>
      </w:r>
      <w:proofErr w:type="spellStart"/>
      <w:r>
        <w:rPr>
          <w:rFonts w:ascii="Times New Roman" w:hAnsi="Times New Roman" w:cs="Times New Roman"/>
          <w:sz w:val="24"/>
          <w:szCs w:val="24"/>
        </w:rPr>
        <w:t>rozh</w:t>
      </w:r>
      <w:proofErr w:type="spellEnd"/>
      <w:r>
        <w:rPr>
          <w:rFonts w:ascii="Times New Roman" w:hAnsi="Times New Roman" w:cs="Times New Roman"/>
          <w:sz w:val="24"/>
          <w:szCs w:val="24"/>
        </w:rPr>
        <w:t>. s. I-04999.</w:t>
      </w:r>
    </w:p>
    <w:p w:rsidR="00416557" w:rsidRDefault="00416557" w:rsidP="004009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ÚŘAD VLÁDY </w:t>
      </w:r>
      <w:r w:rsidRPr="00B25C14">
        <w:rPr>
          <w:rFonts w:ascii="Times New Roman" w:hAnsi="Times New Roman" w:cs="Times New Roman"/>
          <w:sz w:val="24"/>
          <w:szCs w:val="24"/>
        </w:rPr>
        <w:t xml:space="preserve">ČR. </w:t>
      </w:r>
      <w:r w:rsidRPr="00B25C14">
        <w:rPr>
          <w:rFonts w:ascii="Times New Roman" w:hAnsi="Times New Roman" w:cs="Times New Roman"/>
          <w:i/>
          <w:sz w:val="24"/>
          <w:szCs w:val="24"/>
        </w:rPr>
        <w:t>Analýza dopadů Lisabonské smlouvy</w:t>
      </w:r>
      <w:r>
        <w:rPr>
          <w:rFonts w:ascii="Times New Roman" w:hAnsi="Times New Roman" w:cs="Times New Roman"/>
          <w:sz w:val="24"/>
          <w:szCs w:val="24"/>
        </w:rPr>
        <w:t xml:space="preserve"> [online]. Vláda ČR</w:t>
      </w:r>
      <w:r w:rsidRPr="00B25C14">
        <w:rPr>
          <w:rFonts w:ascii="Times New Roman" w:hAnsi="Times New Roman" w:cs="Times New Roman"/>
          <w:sz w:val="24"/>
          <w:szCs w:val="24"/>
        </w:rPr>
        <w:t>, 18. ledna 2010 [cit. 28. února 2016]. Dostupné na &lt;http://www.vlada.cz/assets/evropske-zalezitosti/dokumenty/</w:t>
      </w:r>
      <w:r>
        <w:rPr>
          <w:rFonts w:ascii="Times New Roman" w:hAnsi="Times New Roman" w:cs="Times New Roman"/>
          <w:sz w:val="24"/>
          <w:szCs w:val="24"/>
        </w:rPr>
        <w:t xml:space="preserve"> </w:t>
      </w:r>
      <w:r w:rsidRPr="00B25C14">
        <w:rPr>
          <w:rFonts w:ascii="Times New Roman" w:hAnsi="Times New Roman" w:cs="Times New Roman"/>
          <w:sz w:val="24"/>
          <w:szCs w:val="24"/>
        </w:rPr>
        <w:t>Analyza-dopadu-Lisabonske-smlouvy.pdf&gt;.</w:t>
      </w:r>
    </w:p>
    <w:p w:rsidR="00416557" w:rsidRPr="00BB1DB2" w:rsidRDefault="00416557" w:rsidP="0040090F">
      <w:pPr>
        <w:spacing w:line="360" w:lineRule="auto"/>
        <w:jc w:val="both"/>
        <w:rPr>
          <w:rFonts w:ascii="Times New Roman" w:hAnsi="Times New Roman" w:cs="Times New Roman"/>
          <w:sz w:val="28"/>
          <w:szCs w:val="24"/>
        </w:rPr>
      </w:pPr>
      <w:r w:rsidRPr="00BB1DB2">
        <w:rPr>
          <w:rFonts w:ascii="Times New Roman" w:hAnsi="Times New Roman" w:cs="Times New Roman"/>
          <w:sz w:val="24"/>
        </w:rPr>
        <w:t xml:space="preserve">Výroční zpráva za rok 2012 o subsidiaritě a proporcionalitě. </w:t>
      </w:r>
      <w:proofErr w:type="gramStart"/>
      <w:r w:rsidRPr="00BB1DB2">
        <w:rPr>
          <w:rFonts w:ascii="Times New Roman" w:hAnsi="Times New Roman" w:cs="Times New Roman"/>
          <w:sz w:val="24"/>
        </w:rPr>
        <w:t>COM(</w:t>
      </w:r>
      <w:proofErr w:type="gramEnd"/>
      <w:r w:rsidRPr="00BB1DB2">
        <w:rPr>
          <w:rFonts w:ascii="Times New Roman" w:hAnsi="Times New Roman" w:cs="Times New Roman"/>
          <w:sz w:val="24"/>
        </w:rPr>
        <w:t xml:space="preserve">2013) 566 </w:t>
      </w:r>
      <w:proofErr w:type="spellStart"/>
      <w:r w:rsidRPr="00BB1DB2">
        <w:rPr>
          <w:rFonts w:ascii="Times New Roman" w:hAnsi="Times New Roman" w:cs="Times New Roman"/>
          <w:sz w:val="24"/>
        </w:rPr>
        <w:t>final</w:t>
      </w:r>
      <w:proofErr w:type="spellEnd"/>
      <w:r w:rsidRPr="00BB1DB2">
        <w:rPr>
          <w:rFonts w:ascii="Times New Roman" w:hAnsi="Times New Roman" w:cs="Times New Roman"/>
          <w:sz w:val="24"/>
        </w:rPr>
        <w:t>, 30. července 2013.</w:t>
      </w:r>
    </w:p>
    <w:p w:rsidR="00416557" w:rsidRDefault="00416557" w:rsidP="0040090F">
      <w:pPr>
        <w:spacing w:line="360" w:lineRule="auto"/>
        <w:jc w:val="both"/>
        <w:rPr>
          <w:rFonts w:ascii="Times New Roman" w:hAnsi="Times New Roman" w:cs="Times New Roman"/>
          <w:sz w:val="24"/>
        </w:rPr>
      </w:pPr>
      <w:r w:rsidRPr="00412275">
        <w:rPr>
          <w:rFonts w:ascii="Times New Roman" w:hAnsi="Times New Roman" w:cs="Times New Roman"/>
          <w:sz w:val="24"/>
        </w:rPr>
        <w:lastRenderedPageBreak/>
        <w:t>Výroční zpráva za rok 2013 o subs</w:t>
      </w:r>
      <w:r>
        <w:rPr>
          <w:rFonts w:ascii="Times New Roman" w:hAnsi="Times New Roman" w:cs="Times New Roman"/>
          <w:sz w:val="24"/>
        </w:rPr>
        <w:t xml:space="preserve">idiaritě a proporcionalitě. </w:t>
      </w:r>
      <w:proofErr w:type="gramStart"/>
      <w:r>
        <w:rPr>
          <w:rFonts w:ascii="Times New Roman" w:hAnsi="Times New Roman" w:cs="Times New Roman"/>
          <w:sz w:val="24"/>
        </w:rPr>
        <w:t>COM</w:t>
      </w:r>
      <w:r w:rsidRPr="00412275">
        <w:rPr>
          <w:rFonts w:ascii="Times New Roman" w:hAnsi="Times New Roman" w:cs="Times New Roman"/>
          <w:sz w:val="24"/>
        </w:rPr>
        <w:t>(</w:t>
      </w:r>
      <w:proofErr w:type="gramEnd"/>
      <w:r w:rsidRPr="00412275">
        <w:rPr>
          <w:rFonts w:ascii="Times New Roman" w:hAnsi="Times New Roman" w:cs="Times New Roman"/>
          <w:sz w:val="24"/>
        </w:rPr>
        <w:t xml:space="preserve">2014) 506 </w:t>
      </w:r>
      <w:proofErr w:type="spellStart"/>
      <w:r w:rsidRPr="00412275">
        <w:rPr>
          <w:rFonts w:ascii="Times New Roman" w:hAnsi="Times New Roman" w:cs="Times New Roman"/>
          <w:sz w:val="24"/>
        </w:rPr>
        <w:t>final</w:t>
      </w:r>
      <w:proofErr w:type="spellEnd"/>
      <w:r w:rsidRPr="00412275">
        <w:rPr>
          <w:rFonts w:ascii="Times New Roman" w:hAnsi="Times New Roman" w:cs="Times New Roman"/>
          <w:sz w:val="24"/>
        </w:rPr>
        <w:t>, 5. srpna 2014</w:t>
      </w:r>
      <w:r>
        <w:rPr>
          <w:rFonts w:ascii="Times New Roman" w:hAnsi="Times New Roman" w:cs="Times New Roman"/>
          <w:sz w:val="24"/>
        </w:rPr>
        <w:t>.</w:t>
      </w:r>
    </w:p>
    <w:p w:rsidR="00416557" w:rsidRPr="00FC5D1F" w:rsidRDefault="00416557" w:rsidP="0040090F">
      <w:pPr>
        <w:spacing w:line="360" w:lineRule="auto"/>
        <w:jc w:val="both"/>
        <w:rPr>
          <w:rFonts w:ascii="Times New Roman" w:hAnsi="Times New Roman" w:cs="Times New Roman"/>
          <w:sz w:val="24"/>
          <w:szCs w:val="24"/>
        </w:rPr>
      </w:pPr>
      <w:r w:rsidRPr="00FC5D1F">
        <w:rPr>
          <w:rFonts w:ascii="Times New Roman" w:hAnsi="Times New Roman" w:cs="Times New Roman"/>
          <w:sz w:val="24"/>
          <w:szCs w:val="24"/>
        </w:rPr>
        <w:t xml:space="preserve">Výroční zpráva za rok 2014 o subsidiaritě a proporcionalitě. </w:t>
      </w:r>
      <w:proofErr w:type="gramStart"/>
      <w:r w:rsidRPr="00FC5D1F">
        <w:rPr>
          <w:rFonts w:ascii="Times New Roman" w:hAnsi="Times New Roman" w:cs="Times New Roman"/>
          <w:sz w:val="24"/>
          <w:szCs w:val="24"/>
        </w:rPr>
        <w:t>COM(</w:t>
      </w:r>
      <w:proofErr w:type="gramEnd"/>
      <w:r w:rsidRPr="00FC5D1F">
        <w:rPr>
          <w:rFonts w:ascii="Times New Roman" w:hAnsi="Times New Roman" w:cs="Times New Roman"/>
          <w:sz w:val="24"/>
          <w:szCs w:val="24"/>
        </w:rPr>
        <w:t xml:space="preserve">2015) 315 </w:t>
      </w:r>
      <w:proofErr w:type="spellStart"/>
      <w:r w:rsidRPr="00FC5D1F">
        <w:rPr>
          <w:rFonts w:ascii="Times New Roman" w:hAnsi="Times New Roman" w:cs="Times New Roman"/>
          <w:sz w:val="24"/>
          <w:szCs w:val="24"/>
        </w:rPr>
        <w:t>final</w:t>
      </w:r>
      <w:proofErr w:type="spellEnd"/>
      <w:r w:rsidRPr="00FC5D1F">
        <w:rPr>
          <w:rFonts w:ascii="Times New Roman" w:hAnsi="Times New Roman" w:cs="Times New Roman"/>
          <w:sz w:val="24"/>
          <w:szCs w:val="24"/>
        </w:rPr>
        <w:t>, 2. července 2015.</w:t>
      </w:r>
    </w:p>
    <w:p w:rsidR="00416557" w:rsidRPr="00BE0111" w:rsidRDefault="00416557" w:rsidP="0040090F">
      <w:pPr>
        <w:spacing w:line="360" w:lineRule="auto"/>
        <w:jc w:val="both"/>
        <w:rPr>
          <w:rFonts w:ascii="Times New Roman" w:hAnsi="Times New Roman" w:cs="Times New Roman"/>
          <w:sz w:val="28"/>
          <w:szCs w:val="24"/>
        </w:rPr>
      </w:pPr>
      <w:r w:rsidRPr="00BE0111">
        <w:rPr>
          <w:rFonts w:ascii="Times New Roman" w:hAnsi="Times New Roman" w:cs="Times New Roman"/>
          <w:sz w:val="24"/>
        </w:rPr>
        <w:t xml:space="preserve">Výroční zpráva za rok 2015 o subsidiaritě a proporcionalitě. </w:t>
      </w:r>
      <w:proofErr w:type="gramStart"/>
      <w:r w:rsidRPr="00BE0111">
        <w:rPr>
          <w:rFonts w:ascii="Times New Roman" w:hAnsi="Times New Roman" w:cs="Times New Roman"/>
          <w:sz w:val="24"/>
        </w:rPr>
        <w:t>COM(</w:t>
      </w:r>
      <w:proofErr w:type="gramEnd"/>
      <w:r w:rsidRPr="00BE0111">
        <w:rPr>
          <w:rFonts w:ascii="Times New Roman" w:hAnsi="Times New Roman" w:cs="Times New Roman"/>
          <w:sz w:val="24"/>
        </w:rPr>
        <w:t xml:space="preserve">2016) 469 </w:t>
      </w:r>
      <w:proofErr w:type="spellStart"/>
      <w:r w:rsidRPr="00BE0111">
        <w:rPr>
          <w:rFonts w:ascii="Times New Roman" w:hAnsi="Times New Roman" w:cs="Times New Roman"/>
          <w:sz w:val="24"/>
        </w:rPr>
        <w:t>final</w:t>
      </w:r>
      <w:proofErr w:type="spellEnd"/>
      <w:r w:rsidRPr="00BE0111">
        <w:rPr>
          <w:rFonts w:ascii="Times New Roman" w:hAnsi="Times New Roman" w:cs="Times New Roman"/>
          <w:sz w:val="24"/>
        </w:rPr>
        <w:t>, 15. července 2016</w:t>
      </w:r>
      <w:r>
        <w:rPr>
          <w:rFonts w:ascii="Times New Roman" w:hAnsi="Times New Roman" w:cs="Times New Roman"/>
          <w:sz w:val="24"/>
        </w:rPr>
        <w:t>.</w:t>
      </w:r>
    </w:p>
    <w:p w:rsidR="00416557" w:rsidRDefault="00416557" w:rsidP="0040090F">
      <w:pPr>
        <w:spacing w:line="360" w:lineRule="auto"/>
        <w:jc w:val="both"/>
        <w:rPr>
          <w:rFonts w:ascii="Times New Roman" w:hAnsi="Times New Roman" w:cs="Times New Roman"/>
          <w:sz w:val="24"/>
          <w:szCs w:val="24"/>
        </w:rPr>
      </w:pPr>
      <w:r>
        <w:rPr>
          <w:rFonts w:ascii="Times New Roman" w:hAnsi="Times New Roman" w:cs="Times New Roman"/>
          <w:sz w:val="24"/>
          <w:szCs w:val="24"/>
        </w:rPr>
        <w:t>Zákon</w:t>
      </w:r>
      <w:r w:rsidRPr="000C3C6F">
        <w:rPr>
          <w:rFonts w:ascii="Times New Roman" w:hAnsi="Times New Roman" w:cs="Times New Roman"/>
          <w:sz w:val="24"/>
          <w:szCs w:val="24"/>
        </w:rPr>
        <w:t xml:space="preserve"> č. 90/1995 Sb., o jednacím řádu Poslanecké sněmovny, ve znění pozdějších předpisů</w:t>
      </w:r>
      <w:r>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szCs w:val="24"/>
        </w:rPr>
      </w:pPr>
      <w:r>
        <w:rPr>
          <w:rFonts w:ascii="Times New Roman" w:hAnsi="Times New Roman" w:cs="Times New Roman"/>
          <w:sz w:val="24"/>
          <w:szCs w:val="24"/>
        </w:rPr>
        <w:t>Zákon</w:t>
      </w:r>
      <w:r w:rsidRPr="002462B9">
        <w:rPr>
          <w:rFonts w:ascii="Times New Roman" w:hAnsi="Times New Roman" w:cs="Times New Roman"/>
          <w:sz w:val="24"/>
          <w:szCs w:val="24"/>
        </w:rPr>
        <w:t xml:space="preserve"> č. 107/1999 Sb., o jednacím řádu Senátu, ve znění pozdějších předpisů</w:t>
      </w:r>
      <w:r>
        <w:rPr>
          <w:rFonts w:ascii="Times New Roman" w:hAnsi="Times New Roman" w:cs="Times New Roman"/>
          <w:sz w:val="24"/>
          <w:szCs w:val="24"/>
        </w:rPr>
        <w:t>.</w:t>
      </w:r>
    </w:p>
    <w:p w:rsidR="00416557" w:rsidRDefault="00416557" w:rsidP="0040090F">
      <w:pPr>
        <w:spacing w:line="360" w:lineRule="auto"/>
        <w:jc w:val="both"/>
        <w:rPr>
          <w:rFonts w:ascii="Times New Roman" w:hAnsi="Times New Roman" w:cs="Times New Roman"/>
          <w:sz w:val="24"/>
        </w:rPr>
      </w:pPr>
      <w:r w:rsidRPr="00EF6618">
        <w:rPr>
          <w:rFonts w:ascii="Times New Roman" w:hAnsi="Times New Roman" w:cs="Times New Roman"/>
          <w:sz w:val="24"/>
        </w:rPr>
        <w:t>234. usnesení výboru pro evropské záležitosti z 32. schůze konané dne 11. července 2012</w:t>
      </w:r>
    </w:p>
    <w:p w:rsidR="00416557" w:rsidRPr="00807BC6" w:rsidRDefault="00416557" w:rsidP="0040090F">
      <w:pPr>
        <w:spacing w:line="360" w:lineRule="auto"/>
        <w:jc w:val="both"/>
        <w:rPr>
          <w:rFonts w:ascii="Times New Roman" w:hAnsi="Times New Roman" w:cs="Times New Roman"/>
          <w:sz w:val="28"/>
        </w:rPr>
      </w:pPr>
      <w:r w:rsidRPr="00807BC6">
        <w:rPr>
          <w:rFonts w:ascii="Times New Roman" w:hAnsi="Times New Roman" w:cs="Times New Roman"/>
          <w:sz w:val="24"/>
        </w:rPr>
        <w:t>263. usnesení výboru pro evropské záležitosti ze 49. schůze konané dne 31. března 2016</w:t>
      </w:r>
    </w:p>
    <w:p w:rsidR="00416557" w:rsidRDefault="00416557" w:rsidP="0040090F">
      <w:pPr>
        <w:spacing w:line="360" w:lineRule="auto"/>
        <w:jc w:val="both"/>
        <w:rPr>
          <w:rFonts w:ascii="Times New Roman" w:hAnsi="Times New Roman" w:cs="Times New Roman"/>
          <w:sz w:val="24"/>
        </w:rPr>
      </w:pPr>
      <w:r w:rsidRPr="00C0077F">
        <w:rPr>
          <w:rFonts w:ascii="Times New Roman" w:hAnsi="Times New Roman" w:cs="Times New Roman"/>
          <w:sz w:val="24"/>
        </w:rPr>
        <w:t>345. usnesení Senátu ze 14. schůze, konané dne 9. října 2013</w:t>
      </w:r>
    </w:p>
    <w:p w:rsidR="00416557" w:rsidRPr="00845702" w:rsidRDefault="00416557" w:rsidP="0040090F">
      <w:pPr>
        <w:spacing w:line="360" w:lineRule="auto"/>
        <w:jc w:val="both"/>
        <w:rPr>
          <w:rFonts w:ascii="Times New Roman" w:hAnsi="Times New Roman" w:cs="Times New Roman"/>
          <w:sz w:val="32"/>
        </w:rPr>
      </w:pPr>
      <w:r w:rsidRPr="00845702">
        <w:rPr>
          <w:rFonts w:ascii="Times New Roman" w:hAnsi="Times New Roman" w:cs="Times New Roman"/>
          <w:sz w:val="24"/>
        </w:rPr>
        <w:t>416. usnesení Senátu z 23. schůze, konané dne 27. dubna 2016</w:t>
      </w:r>
    </w:p>
    <w:p w:rsidR="00416557" w:rsidRDefault="00416557" w:rsidP="0040090F">
      <w:pPr>
        <w:spacing w:line="360" w:lineRule="auto"/>
        <w:jc w:val="both"/>
        <w:rPr>
          <w:rFonts w:ascii="Times New Roman" w:hAnsi="Times New Roman" w:cs="Times New Roman"/>
          <w:sz w:val="32"/>
          <w:szCs w:val="24"/>
        </w:rPr>
      </w:pPr>
      <w:r w:rsidRPr="006F76EE">
        <w:rPr>
          <w:rFonts w:ascii="Times New Roman" w:hAnsi="Times New Roman" w:cs="Times New Roman"/>
          <w:sz w:val="24"/>
        </w:rPr>
        <w:t>669. usnesení Senátu ze 23. schůze, konané dne 14. června 2012</w:t>
      </w:r>
    </w:p>
    <w:p w:rsidR="00416557" w:rsidRPr="007F698C" w:rsidRDefault="00416557" w:rsidP="007F698C"/>
    <w:p w:rsidR="002D4154" w:rsidRDefault="002D415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2D4154">
      <w:pPr>
        <w:spacing w:line="360" w:lineRule="auto"/>
        <w:jc w:val="both"/>
        <w:rPr>
          <w:rFonts w:ascii="Times New Roman" w:hAnsi="Times New Roman" w:cs="Times New Roman"/>
          <w:sz w:val="24"/>
        </w:rPr>
      </w:pPr>
    </w:p>
    <w:p w:rsidR="00A37C14" w:rsidRDefault="00A37C14" w:rsidP="00191B9E">
      <w:pPr>
        <w:pStyle w:val="Nadpis2"/>
        <w:spacing w:line="360" w:lineRule="auto"/>
      </w:pPr>
      <w:bookmarkStart w:id="37" w:name="_Toc478235183"/>
      <w:r>
        <w:lastRenderedPageBreak/>
        <w:t>Sekundární zdroje</w:t>
      </w:r>
      <w:bookmarkEnd w:id="37"/>
    </w:p>
    <w:p w:rsidR="00191B9E" w:rsidRDefault="00191B9E" w:rsidP="00191B9E">
      <w:pPr>
        <w:spacing w:line="360" w:lineRule="auto"/>
        <w:jc w:val="both"/>
        <w:rPr>
          <w:rFonts w:ascii="Times New Roman" w:hAnsi="Times New Roman" w:cs="Times New Roman"/>
          <w:sz w:val="24"/>
          <w:szCs w:val="24"/>
        </w:rPr>
      </w:pPr>
      <w:r w:rsidRPr="005213B8">
        <w:rPr>
          <w:rFonts w:ascii="Times New Roman" w:hAnsi="Times New Roman" w:cs="Times New Roman"/>
          <w:sz w:val="24"/>
          <w:szCs w:val="24"/>
        </w:rPr>
        <w:t xml:space="preserve">AUEL, Katrin, CHRISTIANSEN, Thomas. </w:t>
      </w:r>
      <w:proofErr w:type="spellStart"/>
      <w:r w:rsidRPr="005213B8">
        <w:rPr>
          <w:rFonts w:ascii="Times New Roman" w:hAnsi="Times New Roman" w:cs="Times New Roman"/>
          <w:sz w:val="24"/>
          <w:szCs w:val="24"/>
        </w:rPr>
        <w:t>After</w:t>
      </w:r>
      <w:proofErr w:type="spellEnd"/>
      <w:r w:rsidRPr="005213B8">
        <w:rPr>
          <w:rFonts w:ascii="Times New Roman" w:hAnsi="Times New Roman" w:cs="Times New Roman"/>
          <w:sz w:val="24"/>
          <w:szCs w:val="24"/>
        </w:rPr>
        <w:t xml:space="preserve"> </w:t>
      </w:r>
      <w:proofErr w:type="spellStart"/>
      <w:r w:rsidRPr="005213B8">
        <w:rPr>
          <w:rFonts w:ascii="Times New Roman" w:hAnsi="Times New Roman" w:cs="Times New Roman"/>
          <w:sz w:val="24"/>
          <w:szCs w:val="24"/>
        </w:rPr>
        <w:t>Lisbon</w:t>
      </w:r>
      <w:proofErr w:type="spellEnd"/>
      <w:r w:rsidRPr="005213B8">
        <w:rPr>
          <w:rFonts w:ascii="Times New Roman" w:hAnsi="Times New Roman" w:cs="Times New Roman"/>
          <w:sz w:val="24"/>
          <w:szCs w:val="24"/>
        </w:rPr>
        <w:t xml:space="preserve">: </w:t>
      </w:r>
      <w:proofErr w:type="spellStart"/>
      <w:r w:rsidRPr="005213B8">
        <w:rPr>
          <w:rFonts w:ascii="Times New Roman" w:hAnsi="Times New Roman" w:cs="Times New Roman"/>
          <w:sz w:val="24"/>
          <w:szCs w:val="24"/>
        </w:rPr>
        <w:t>National</w:t>
      </w:r>
      <w:proofErr w:type="spellEnd"/>
      <w:r w:rsidRPr="005213B8">
        <w:rPr>
          <w:rFonts w:ascii="Times New Roman" w:hAnsi="Times New Roman" w:cs="Times New Roman"/>
          <w:sz w:val="24"/>
          <w:szCs w:val="24"/>
        </w:rPr>
        <w:t xml:space="preserve"> </w:t>
      </w:r>
      <w:proofErr w:type="spellStart"/>
      <w:r w:rsidRPr="005213B8">
        <w:rPr>
          <w:rFonts w:ascii="Times New Roman" w:hAnsi="Times New Roman" w:cs="Times New Roman"/>
          <w:sz w:val="24"/>
          <w:szCs w:val="24"/>
        </w:rPr>
        <w:t>Parliaments</w:t>
      </w:r>
      <w:proofErr w:type="spellEnd"/>
      <w:r w:rsidRPr="005213B8">
        <w:rPr>
          <w:rFonts w:ascii="Times New Roman" w:hAnsi="Times New Roman" w:cs="Times New Roman"/>
          <w:sz w:val="24"/>
          <w:szCs w:val="24"/>
        </w:rPr>
        <w:t xml:space="preserve"> in </w:t>
      </w:r>
      <w:proofErr w:type="spellStart"/>
      <w:r w:rsidRPr="005213B8">
        <w:rPr>
          <w:rFonts w:ascii="Times New Roman" w:hAnsi="Times New Roman" w:cs="Times New Roman"/>
          <w:sz w:val="24"/>
          <w:szCs w:val="24"/>
        </w:rPr>
        <w:t>the</w:t>
      </w:r>
      <w:proofErr w:type="spellEnd"/>
      <w:r w:rsidRPr="005213B8">
        <w:rPr>
          <w:rFonts w:ascii="Times New Roman" w:hAnsi="Times New Roman" w:cs="Times New Roman"/>
          <w:sz w:val="24"/>
          <w:szCs w:val="24"/>
        </w:rPr>
        <w:t xml:space="preserve"> </w:t>
      </w:r>
      <w:proofErr w:type="spellStart"/>
      <w:r w:rsidRPr="005213B8">
        <w:rPr>
          <w:rFonts w:ascii="Times New Roman" w:hAnsi="Times New Roman" w:cs="Times New Roman"/>
          <w:sz w:val="24"/>
          <w:szCs w:val="24"/>
        </w:rPr>
        <w:t>European</w:t>
      </w:r>
      <w:proofErr w:type="spellEnd"/>
      <w:r w:rsidRPr="005213B8">
        <w:rPr>
          <w:rFonts w:ascii="Times New Roman" w:hAnsi="Times New Roman" w:cs="Times New Roman"/>
          <w:sz w:val="24"/>
          <w:szCs w:val="24"/>
        </w:rPr>
        <w:t xml:space="preserve"> Union. </w:t>
      </w:r>
      <w:proofErr w:type="spellStart"/>
      <w:r w:rsidRPr="005213B8">
        <w:rPr>
          <w:rFonts w:ascii="Times New Roman" w:hAnsi="Times New Roman" w:cs="Times New Roman"/>
          <w:i/>
          <w:sz w:val="24"/>
          <w:szCs w:val="24"/>
        </w:rPr>
        <w:t>West</w:t>
      </w:r>
      <w:proofErr w:type="spellEnd"/>
      <w:r w:rsidRPr="005213B8">
        <w:rPr>
          <w:rFonts w:ascii="Times New Roman" w:hAnsi="Times New Roman" w:cs="Times New Roman"/>
          <w:i/>
          <w:sz w:val="24"/>
          <w:szCs w:val="24"/>
        </w:rPr>
        <w:t xml:space="preserve"> </w:t>
      </w:r>
      <w:proofErr w:type="spellStart"/>
      <w:r w:rsidRPr="005213B8">
        <w:rPr>
          <w:rFonts w:ascii="Times New Roman" w:hAnsi="Times New Roman" w:cs="Times New Roman"/>
          <w:i/>
          <w:sz w:val="24"/>
          <w:szCs w:val="24"/>
        </w:rPr>
        <w:t>European</w:t>
      </w:r>
      <w:proofErr w:type="spellEnd"/>
      <w:r w:rsidRPr="005213B8">
        <w:rPr>
          <w:rFonts w:ascii="Times New Roman" w:hAnsi="Times New Roman" w:cs="Times New Roman"/>
          <w:i/>
          <w:sz w:val="24"/>
          <w:szCs w:val="24"/>
        </w:rPr>
        <w:t xml:space="preserve"> </w:t>
      </w:r>
      <w:proofErr w:type="spellStart"/>
      <w:r w:rsidRPr="005213B8">
        <w:rPr>
          <w:rFonts w:ascii="Times New Roman" w:hAnsi="Times New Roman" w:cs="Times New Roman"/>
          <w:i/>
          <w:sz w:val="24"/>
          <w:szCs w:val="24"/>
        </w:rPr>
        <w:t>Politics</w:t>
      </w:r>
      <w:proofErr w:type="spellEnd"/>
      <w:r>
        <w:rPr>
          <w:rFonts w:ascii="Times New Roman" w:hAnsi="Times New Roman" w:cs="Times New Roman"/>
          <w:sz w:val="24"/>
          <w:szCs w:val="24"/>
        </w:rPr>
        <w:t>, 2015, vol. 38, no. 2, s. 261-281</w:t>
      </w:r>
      <w:r w:rsidRPr="005213B8">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381D48">
        <w:rPr>
          <w:rFonts w:ascii="Times New Roman" w:hAnsi="Times New Roman" w:cs="Times New Roman"/>
          <w:sz w:val="24"/>
          <w:szCs w:val="24"/>
        </w:rPr>
        <w:t xml:space="preserve">AUEL, Katrin. </w:t>
      </w:r>
      <w:proofErr w:type="spellStart"/>
      <w:r w:rsidRPr="00381D48">
        <w:rPr>
          <w:rFonts w:ascii="Times New Roman" w:hAnsi="Times New Roman" w:cs="Times New Roman"/>
          <w:sz w:val="24"/>
          <w:szCs w:val="24"/>
        </w:rPr>
        <w:t>The</w:t>
      </w:r>
      <w:proofErr w:type="spellEnd"/>
      <w:r w:rsidRPr="00381D48">
        <w:rPr>
          <w:rFonts w:ascii="Times New Roman" w:hAnsi="Times New Roman" w:cs="Times New Roman"/>
          <w:sz w:val="24"/>
          <w:szCs w:val="24"/>
        </w:rPr>
        <w:t xml:space="preserve"> </w:t>
      </w:r>
      <w:proofErr w:type="spellStart"/>
      <w:r w:rsidRPr="00381D48">
        <w:rPr>
          <w:rFonts w:ascii="Times New Roman" w:hAnsi="Times New Roman" w:cs="Times New Roman"/>
          <w:sz w:val="24"/>
          <w:szCs w:val="24"/>
        </w:rPr>
        <w:t>Europeanizat</w:t>
      </w:r>
      <w:r>
        <w:rPr>
          <w:rFonts w:ascii="Times New Roman" w:hAnsi="Times New Roman" w:cs="Times New Roman"/>
          <w:sz w:val="24"/>
          <w:szCs w:val="24"/>
        </w:rPr>
        <w: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parliaments</w:t>
      </w:r>
      <w:proofErr w:type="spellEnd"/>
      <w:r>
        <w:rPr>
          <w:rFonts w:ascii="Times New Roman" w:hAnsi="Times New Roman" w:cs="Times New Roman"/>
          <w:sz w:val="24"/>
          <w:szCs w:val="24"/>
        </w:rPr>
        <w:t>. In</w:t>
      </w:r>
      <w:r w:rsidRPr="00381D48">
        <w:rPr>
          <w:rFonts w:ascii="Times New Roman" w:hAnsi="Times New Roman" w:cs="Times New Roman"/>
          <w:sz w:val="24"/>
          <w:szCs w:val="24"/>
        </w:rPr>
        <w:t xml:space="preserve"> MAGONE, José a kol. </w:t>
      </w:r>
      <w:proofErr w:type="spellStart"/>
      <w:r w:rsidRPr="00381D48">
        <w:rPr>
          <w:rFonts w:ascii="Times New Roman" w:hAnsi="Times New Roman" w:cs="Times New Roman"/>
          <w:i/>
          <w:sz w:val="24"/>
          <w:szCs w:val="24"/>
        </w:rPr>
        <w:t>Routledge</w:t>
      </w:r>
      <w:proofErr w:type="spellEnd"/>
      <w:r w:rsidRPr="00381D48">
        <w:rPr>
          <w:rFonts w:ascii="Times New Roman" w:hAnsi="Times New Roman" w:cs="Times New Roman"/>
          <w:i/>
          <w:sz w:val="24"/>
          <w:szCs w:val="24"/>
        </w:rPr>
        <w:t xml:space="preserve"> handbook </w:t>
      </w:r>
      <w:proofErr w:type="spellStart"/>
      <w:r w:rsidRPr="00381D48">
        <w:rPr>
          <w:rFonts w:ascii="Times New Roman" w:hAnsi="Times New Roman" w:cs="Times New Roman"/>
          <w:i/>
          <w:sz w:val="24"/>
          <w:szCs w:val="24"/>
        </w:rPr>
        <w:t>of</w:t>
      </w:r>
      <w:proofErr w:type="spellEnd"/>
      <w:r w:rsidRPr="00381D48">
        <w:rPr>
          <w:rFonts w:ascii="Times New Roman" w:hAnsi="Times New Roman" w:cs="Times New Roman"/>
          <w:i/>
          <w:sz w:val="24"/>
          <w:szCs w:val="24"/>
        </w:rPr>
        <w:t xml:space="preserve"> </w:t>
      </w:r>
      <w:proofErr w:type="spellStart"/>
      <w:r w:rsidRPr="00381D48">
        <w:rPr>
          <w:rFonts w:ascii="Times New Roman" w:hAnsi="Times New Roman" w:cs="Times New Roman"/>
          <w:i/>
          <w:sz w:val="24"/>
          <w:szCs w:val="24"/>
        </w:rPr>
        <w:t>European</w:t>
      </w:r>
      <w:proofErr w:type="spellEnd"/>
      <w:r w:rsidRPr="00381D48">
        <w:rPr>
          <w:rFonts w:ascii="Times New Roman" w:hAnsi="Times New Roman" w:cs="Times New Roman"/>
          <w:i/>
          <w:sz w:val="24"/>
          <w:szCs w:val="24"/>
        </w:rPr>
        <w:t xml:space="preserve"> </w:t>
      </w:r>
      <w:proofErr w:type="spellStart"/>
      <w:r w:rsidRPr="00381D48">
        <w:rPr>
          <w:rFonts w:ascii="Times New Roman" w:hAnsi="Times New Roman" w:cs="Times New Roman"/>
          <w:i/>
          <w:sz w:val="24"/>
          <w:szCs w:val="24"/>
        </w:rPr>
        <w:t>politics</w:t>
      </w:r>
      <w:proofErr w:type="spellEnd"/>
      <w:r w:rsidRPr="00381D48">
        <w:rPr>
          <w:rFonts w:ascii="Times New Roman" w:hAnsi="Times New Roman" w:cs="Times New Roman"/>
          <w:sz w:val="24"/>
          <w:szCs w:val="24"/>
        </w:rPr>
        <w:t>.</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2015, s</w:t>
      </w:r>
      <w:r w:rsidRPr="00381D48">
        <w:rPr>
          <w:rFonts w:ascii="Times New Roman" w:hAnsi="Times New Roman" w:cs="Times New Roman"/>
          <w:sz w:val="24"/>
          <w:szCs w:val="24"/>
        </w:rPr>
        <w:t>.</w:t>
      </w:r>
      <w:r>
        <w:rPr>
          <w:rFonts w:ascii="Times New Roman" w:hAnsi="Times New Roman" w:cs="Times New Roman"/>
          <w:sz w:val="24"/>
          <w:szCs w:val="24"/>
        </w:rPr>
        <w:t xml:space="preserve"> 366-382.</w:t>
      </w:r>
    </w:p>
    <w:p w:rsidR="00191B9E" w:rsidRDefault="00191B9E" w:rsidP="00191B9E">
      <w:pPr>
        <w:spacing w:line="360" w:lineRule="auto"/>
        <w:jc w:val="both"/>
        <w:rPr>
          <w:rFonts w:ascii="Times New Roman" w:hAnsi="Times New Roman" w:cs="Times New Roman"/>
          <w:sz w:val="24"/>
          <w:szCs w:val="24"/>
        </w:rPr>
      </w:pPr>
      <w:r w:rsidRPr="000A33D4">
        <w:rPr>
          <w:rFonts w:ascii="Times New Roman" w:hAnsi="Times New Roman" w:cs="Times New Roman"/>
          <w:sz w:val="24"/>
          <w:szCs w:val="24"/>
        </w:rPr>
        <w:t xml:space="preserve">AUEL, Katrin, ROZENBERG, Olivier, THOMAS, Anja. </w:t>
      </w:r>
      <w:proofErr w:type="spellStart"/>
      <w:r w:rsidRPr="000A33D4">
        <w:rPr>
          <w:rFonts w:ascii="Times New Roman" w:hAnsi="Times New Roman" w:cs="Times New Roman"/>
          <w:sz w:val="24"/>
          <w:szCs w:val="24"/>
        </w:rPr>
        <w:t>Lost</w:t>
      </w:r>
      <w:proofErr w:type="spellEnd"/>
      <w:r w:rsidRPr="000A33D4">
        <w:rPr>
          <w:rFonts w:ascii="Times New Roman" w:hAnsi="Times New Roman" w:cs="Times New Roman"/>
          <w:sz w:val="24"/>
          <w:szCs w:val="24"/>
        </w:rPr>
        <w:t xml:space="preserve"> in </w:t>
      </w:r>
      <w:proofErr w:type="spellStart"/>
      <w:r w:rsidRPr="000A33D4">
        <w:rPr>
          <w:rFonts w:ascii="Times New Roman" w:hAnsi="Times New Roman" w:cs="Times New Roman"/>
          <w:sz w:val="24"/>
          <w:szCs w:val="24"/>
        </w:rPr>
        <w:t>Transaction</w:t>
      </w:r>
      <w:proofErr w:type="spellEnd"/>
      <w:r w:rsidRPr="000A33D4">
        <w:rPr>
          <w:rFonts w:ascii="Times New Roman" w:hAnsi="Times New Roman" w:cs="Times New Roman"/>
          <w:sz w:val="24"/>
          <w:szCs w:val="24"/>
        </w:rPr>
        <w:t xml:space="preserve">? </w:t>
      </w:r>
      <w:proofErr w:type="spellStart"/>
      <w:r w:rsidRPr="000A33D4">
        <w:rPr>
          <w:rFonts w:ascii="Times New Roman" w:hAnsi="Times New Roman" w:cs="Times New Roman"/>
          <w:sz w:val="24"/>
          <w:szCs w:val="24"/>
        </w:rPr>
        <w:t>Parliamentary</w:t>
      </w:r>
      <w:proofErr w:type="spellEnd"/>
      <w:r w:rsidRPr="000A33D4">
        <w:rPr>
          <w:rFonts w:ascii="Times New Roman" w:hAnsi="Times New Roman" w:cs="Times New Roman"/>
          <w:sz w:val="24"/>
          <w:szCs w:val="24"/>
        </w:rPr>
        <w:t xml:space="preserve"> </w:t>
      </w:r>
      <w:proofErr w:type="spellStart"/>
      <w:r w:rsidRPr="000A33D4">
        <w:rPr>
          <w:rFonts w:ascii="Times New Roman" w:hAnsi="Times New Roman" w:cs="Times New Roman"/>
          <w:sz w:val="24"/>
          <w:szCs w:val="24"/>
        </w:rPr>
        <w:t>Reserves</w:t>
      </w:r>
      <w:proofErr w:type="spellEnd"/>
      <w:r w:rsidRPr="000A33D4">
        <w:rPr>
          <w:rFonts w:ascii="Times New Roman" w:hAnsi="Times New Roman" w:cs="Times New Roman"/>
          <w:sz w:val="24"/>
          <w:szCs w:val="24"/>
        </w:rPr>
        <w:t xml:space="preserve"> in EU </w:t>
      </w:r>
      <w:proofErr w:type="spellStart"/>
      <w:r w:rsidRPr="000A33D4">
        <w:rPr>
          <w:rFonts w:ascii="Times New Roman" w:hAnsi="Times New Roman" w:cs="Times New Roman"/>
          <w:sz w:val="24"/>
          <w:szCs w:val="24"/>
        </w:rPr>
        <w:t>bargains</w:t>
      </w:r>
      <w:proofErr w:type="spellEnd"/>
      <w:r w:rsidRPr="000A33D4">
        <w:rPr>
          <w:rFonts w:ascii="Times New Roman" w:hAnsi="Times New Roman" w:cs="Times New Roman"/>
          <w:sz w:val="24"/>
          <w:szCs w:val="24"/>
        </w:rPr>
        <w:t xml:space="preserve">. </w:t>
      </w:r>
      <w:r w:rsidRPr="00F8225D">
        <w:rPr>
          <w:rFonts w:ascii="Times New Roman" w:hAnsi="Times New Roman" w:cs="Times New Roman"/>
          <w:i/>
          <w:sz w:val="24"/>
          <w:szCs w:val="24"/>
        </w:rPr>
        <w:t>OPAL</w:t>
      </w:r>
      <w:r w:rsidRPr="000A33D4">
        <w:rPr>
          <w:rFonts w:ascii="Times New Roman" w:hAnsi="Times New Roman" w:cs="Times New Roman"/>
          <w:sz w:val="24"/>
          <w:szCs w:val="24"/>
        </w:rPr>
        <w:t>, 2012, no. 10, s. 1-30.</w:t>
      </w:r>
    </w:p>
    <w:p w:rsidR="00191B9E" w:rsidRDefault="00191B9E" w:rsidP="00191B9E">
      <w:pPr>
        <w:spacing w:line="360" w:lineRule="auto"/>
        <w:jc w:val="both"/>
        <w:rPr>
          <w:rFonts w:ascii="Times New Roman" w:hAnsi="Times New Roman" w:cs="Times New Roman"/>
          <w:sz w:val="24"/>
          <w:szCs w:val="24"/>
        </w:rPr>
      </w:pPr>
      <w:r w:rsidRPr="00E521EF">
        <w:rPr>
          <w:rFonts w:ascii="Times New Roman" w:hAnsi="Times New Roman" w:cs="Times New Roman"/>
          <w:sz w:val="24"/>
          <w:szCs w:val="24"/>
        </w:rPr>
        <w:t xml:space="preserve">BARTL, Marija. </w:t>
      </w:r>
      <w:proofErr w:type="spellStart"/>
      <w:r w:rsidRPr="00E521EF">
        <w:rPr>
          <w:rFonts w:ascii="Times New Roman" w:hAnsi="Times New Roman" w:cs="Times New Roman"/>
          <w:sz w:val="24"/>
          <w:szCs w:val="24"/>
        </w:rPr>
        <w:t>The</w:t>
      </w:r>
      <w:proofErr w:type="spellEnd"/>
      <w:r w:rsidRPr="00E521EF">
        <w:rPr>
          <w:rFonts w:ascii="Times New Roman" w:hAnsi="Times New Roman" w:cs="Times New Roman"/>
          <w:sz w:val="24"/>
          <w:szCs w:val="24"/>
        </w:rPr>
        <w:t xml:space="preserve"> </w:t>
      </w:r>
      <w:proofErr w:type="spellStart"/>
      <w:r w:rsidRPr="00E521EF">
        <w:rPr>
          <w:rFonts w:ascii="Times New Roman" w:hAnsi="Times New Roman" w:cs="Times New Roman"/>
          <w:sz w:val="24"/>
          <w:szCs w:val="24"/>
        </w:rPr>
        <w:t>Way</w:t>
      </w:r>
      <w:proofErr w:type="spellEnd"/>
      <w:r w:rsidRPr="00E521EF">
        <w:rPr>
          <w:rFonts w:ascii="Times New Roman" w:hAnsi="Times New Roman" w:cs="Times New Roman"/>
          <w:sz w:val="24"/>
          <w:szCs w:val="24"/>
        </w:rPr>
        <w:t xml:space="preserve"> </w:t>
      </w:r>
      <w:proofErr w:type="spellStart"/>
      <w:r w:rsidRPr="00E521EF">
        <w:rPr>
          <w:rFonts w:ascii="Times New Roman" w:hAnsi="Times New Roman" w:cs="Times New Roman"/>
          <w:sz w:val="24"/>
          <w:szCs w:val="24"/>
        </w:rPr>
        <w:t>We</w:t>
      </w:r>
      <w:proofErr w:type="spellEnd"/>
      <w:r w:rsidRPr="00E521EF">
        <w:rPr>
          <w:rFonts w:ascii="Times New Roman" w:hAnsi="Times New Roman" w:cs="Times New Roman"/>
          <w:sz w:val="24"/>
          <w:szCs w:val="24"/>
        </w:rPr>
        <w:t xml:space="preserve"> Do </w:t>
      </w:r>
      <w:proofErr w:type="spellStart"/>
      <w:r w:rsidRPr="00E521EF">
        <w:rPr>
          <w:rFonts w:ascii="Times New Roman" w:hAnsi="Times New Roman" w:cs="Times New Roman"/>
          <w:sz w:val="24"/>
          <w:szCs w:val="24"/>
        </w:rPr>
        <w:t>Europe</w:t>
      </w:r>
      <w:proofErr w:type="spellEnd"/>
      <w:r w:rsidRPr="00E521EF">
        <w:rPr>
          <w:rFonts w:ascii="Times New Roman" w:hAnsi="Times New Roman" w:cs="Times New Roman"/>
          <w:sz w:val="24"/>
          <w:szCs w:val="24"/>
        </w:rPr>
        <w:t xml:space="preserve">: Subsidiarity and </w:t>
      </w:r>
      <w:proofErr w:type="spellStart"/>
      <w:r w:rsidRPr="00E521EF">
        <w:rPr>
          <w:rFonts w:ascii="Times New Roman" w:hAnsi="Times New Roman" w:cs="Times New Roman"/>
          <w:sz w:val="24"/>
          <w:szCs w:val="24"/>
        </w:rPr>
        <w:t>the</w:t>
      </w:r>
      <w:proofErr w:type="spellEnd"/>
      <w:r w:rsidRPr="00E521EF">
        <w:rPr>
          <w:rFonts w:ascii="Times New Roman" w:hAnsi="Times New Roman" w:cs="Times New Roman"/>
          <w:sz w:val="24"/>
          <w:szCs w:val="24"/>
        </w:rPr>
        <w:t xml:space="preserve"> </w:t>
      </w:r>
      <w:proofErr w:type="spellStart"/>
      <w:r w:rsidRPr="00E521EF">
        <w:rPr>
          <w:rFonts w:ascii="Times New Roman" w:hAnsi="Times New Roman" w:cs="Times New Roman"/>
          <w:sz w:val="24"/>
          <w:szCs w:val="24"/>
        </w:rPr>
        <w:t>Substantive</w:t>
      </w:r>
      <w:proofErr w:type="spellEnd"/>
      <w:r w:rsidRPr="00E521EF">
        <w:rPr>
          <w:rFonts w:ascii="Times New Roman" w:hAnsi="Times New Roman" w:cs="Times New Roman"/>
          <w:sz w:val="24"/>
          <w:szCs w:val="24"/>
        </w:rPr>
        <w:t xml:space="preserve"> </w:t>
      </w:r>
      <w:proofErr w:type="spellStart"/>
      <w:r w:rsidRPr="00E521EF">
        <w:rPr>
          <w:rFonts w:ascii="Times New Roman" w:hAnsi="Times New Roman" w:cs="Times New Roman"/>
          <w:sz w:val="24"/>
          <w:szCs w:val="24"/>
        </w:rPr>
        <w:t>Democratic</w:t>
      </w:r>
      <w:proofErr w:type="spellEnd"/>
      <w:r w:rsidRPr="00E521EF">
        <w:rPr>
          <w:rFonts w:ascii="Times New Roman" w:hAnsi="Times New Roman" w:cs="Times New Roman"/>
          <w:sz w:val="24"/>
          <w:szCs w:val="24"/>
        </w:rPr>
        <w:t xml:space="preserve"> Deﬁcit. </w:t>
      </w:r>
      <w:proofErr w:type="spellStart"/>
      <w:r w:rsidRPr="00E521EF">
        <w:rPr>
          <w:rFonts w:ascii="Times New Roman" w:hAnsi="Times New Roman" w:cs="Times New Roman"/>
          <w:i/>
          <w:sz w:val="24"/>
          <w:szCs w:val="24"/>
        </w:rPr>
        <w:t>European</w:t>
      </w:r>
      <w:proofErr w:type="spellEnd"/>
      <w:r w:rsidRPr="00E521EF">
        <w:rPr>
          <w:rFonts w:ascii="Times New Roman" w:hAnsi="Times New Roman" w:cs="Times New Roman"/>
          <w:i/>
          <w:sz w:val="24"/>
          <w:szCs w:val="24"/>
        </w:rPr>
        <w:t xml:space="preserve"> </w:t>
      </w:r>
      <w:proofErr w:type="spellStart"/>
      <w:r w:rsidRPr="00E521EF">
        <w:rPr>
          <w:rFonts w:ascii="Times New Roman" w:hAnsi="Times New Roman" w:cs="Times New Roman"/>
          <w:i/>
          <w:sz w:val="24"/>
          <w:szCs w:val="24"/>
        </w:rPr>
        <w:t>Law</w:t>
      </w:r>
      <w:proofErr w:type="spellEnd"/>
      <w:r w:rsidRPr="00E521EF">
        <w:rPr>
          <w:rFonts w:ascii="Times New Roman" w:hAnsi="Times New Roman" w:cs="Times New Roman"/>
          <w:i/>
          <w:sz w:val="24"/>
          <w:szCs w:val="24"/>
        </w:rPr>
        <w:t xml:space="preserve"> </w:t>
      </w:r>
      <w:proofErr w:type="spellStart"/>
      <w:r w:rsidRPr="00E521EF">
        <w:rPr>
          <w:rFonts w:ascii="Times New Roman" w:hAnsi="Times New Roman" w:cs="Times New Roman"/>
          <w:i/>
          <w:sz w:val="24"/>
          <w:szCs w:val="24"/>
        </w:rPr>
        <w:t>Journal</w:t>
      </w:r>
      <w:proofErr w:type="spellEnd"/>
      <w:r>
        <w:rPr>
          <w:rFonts w:ascii="Times New Roman" w:hAnsi="Times New Roman" w:cs="Times New Roman"/>
          <w:sz w:val="24"/>
          <w:szCs w:val="24"/>
        </w:rPr>
        <w:t>, 2015, vol. 21, no. 1, s. 23-43</w:t>
      </w:r>
      <w:r w:rsidRPr="00E521EF">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FE47A3">
        <w:rPr>
          <w:rFonts w:ascii="Times New Roman" w:hAnsi="Times New Roman" w:cs="Times New Roman"/>
          <w:sz w:val="24"/>
          <w:szCs w:val="24"/>
        </w:rPr>
        <w:t xml:space="preserve">BARTON, Olivia. An </w:t>
      </w:r>
      <w:proofErr w:type="spellStart"/>
      <w:r w:rsidRPr="00FE47A3">
        <w:rPr>
          <w:rFonts w:ascii="Times New Roman" w:hAnsi="Times New Roman" w:cs="Times New Roman"/>
          <w:sz w:val="24"/>
          <w:szCs w:val="24"/>
        </w:rPr>
        <w:t>Analysis</w:t>
      </w:r>
      <w:proofErr w:type="spellEnd"/>
      <w:r w:rsidRPr="00FE47A3">
        <w:rPr>
          <w:rFonts w:ascii="Times New Roman" w:hAnsi="Times New Roman" w:cs="Times New Roman"/>
          <w:sz w:val="24"/>
          <w:szCs w:val="24"/>
        </w:rPr>
        <w:t xml:space="preserve"> </w:t>
      </w:r>
      <w:proofErr w:type="spellStart"/>
      <w:r w:rsidRPr="00FE47A3">
        <w:rPr>
          <w:rFonts w:ascii="Times New Roman" w:hAnsi="Times New Roman" w:cs="Times New Roman"/>
          <w:sz w:val="24"/>
          <w:szCs w:val="24"/>
        </w:rPr>
        <w:t>of</w:t>
      </w:r>
      <w:proofErr w:type="spellEnd"/>
      <w:r w:rsidRPr="00FE47A3">
        <w:rPr>
          <w:rFonts w:ascii="Times New Roman" w:hAnsi="Times New Roman" w:cs="Times New Roman"/>
          <w:sz w:val="24"/>
          <w:szCs w:val="24"/>
        </w:rPr>
        <w:t xml:space="preserve"> </w:t>
      </w:r>
      <w:proofErr w:type="spellStart"/>
      <w:r w:rsidRPr="00FE47A3">
        <w:rPr>
          <w:rFonts w:ascii="Times New Roman" w:hAnsi="Times New Roman" w:cs="Times New Roman"/>
          <w:sz w:val="24"/>
          <w:szCs w:val="24"/>
        </w:rPr>
        <w:t>the</w:t>
      </w:r>
      <w:proofErr w:type="spellEnd"/>
      <w:r w:rsidRPr="00FE47A3">
        <w:rPr>
          <w:rFonts w:ascii="Times New Roman" w:hAnsi="Times New Roman" w:cs="Times New Roman"/>
          <w:sz w:val="24"/>
          <w:szCs w:val="24"/>
        </w:rPr>
        <w:t xml:space="preserve"> </w:t>
      </w:r>
      <w:proofErr w:type="spellStart"/>
      <w:r w:rsidRPr="00FE47A3">
        <w:rPr>
          <w:rFonts w:ascii="Times New Roman" w:hAnsi="Times New Roman" w:cs="Times New Roman"/>
          <w:sz w:val="24"/>
          <w:szCs w:val="24"/>
        </w:rPr>
        <w:t>Principle</w:t>
      </w:r>
      <w:proofErr w:type="spellEnd"/>
      <w:r w:rsidRPr="00FE47A3">
        <w:rPr>
          <w:rFonts w:ascii="Times New Roman" w:hAnsi="Times New Roman" w:cs="Times New Roman"/>
          <w:sz w:val="24"/>
          <w:szCs w:val="24"/>
        </w:rPr>
        <w:t xml:space="preserve"> </w:t>
      </w:r>
      <w:proofErr w:type="spellStart"/>
      <w:r w:rsidRPr="00FE47A3">
        <w:rPr>
          <w:rFonts w:ascii="Times New Roman" w:hAnsi="Times New Roman" w:cs="Times New Roman"/>
          <w:sz w:val="24"/>
          <w:szCs w:val="24"/>
        </w:rPr>
        <w:t>of</w:t>
      </w:r>
      <w:proofErr w:type="spellEnd"/>
      <w:r w:rsidRPr="00FE47A3">
        <w:rPr>
          <w:rFonts w:ascii="Times New Roman" w:hAnsi="Times New Roman" w:cs="Times New Roman"/>
          <w:sz w:val="24"/>
          <w:szCs w:val="24"/>
        </w:rPr>
        <w:t xml:space="preserve"> Subsidiarity in </w:t>
      </w:r>
      <w:proofErr w:type="spellStart"/>
      <w:r w:rsidRPr="00FE47A3">
        <w:rPr>
          <w:rFonts w:ascii="Times New Roman" w:hAnsi="Times New Roman" w:cs="Times New Roman"/>
          <w:sz w:val="24"/>
          <w:szCs w:val="24"/>
        </w:rPr>
        <w:t>European</w:t>
      </w:r>
      <w:proofErr w:type="spellEnd"/>
      <w:r w:rsidRPr="00FE47A3">
        <w:rPr>
          <w:rFonts w:ascii="Times New Roman" w:hAnsi="Times New Roman" w:cs="Times New Roman"/>
          <w:sz w:val="24"/>
          <w:szCs w:val="24"/>
        </w:rPr>
        <w:t xml:space="preserve"> Union </w:t>
      </w:r>
      <w:proofErr w:type="spellStart"/>
      <w:r w:rsidRPr="00FE47A3">
        <w:rPr>
          <w:rFonts w:ascii="Times New Roman" w:hAnsi="Times New Roman" w:cs="Times New Roman"/>
          <w:sz w:val="24"/>
          <w:szCs w:val="24"/>
        </w:rPr>
        <w:t>Law</w:t>
      </w:r>
      <w:proofErr w:type="spellEnd"/>
      <w:r w:rsidRPr="00FE47A3">
        <w:rPr>
          <w:rFonts w:ascii="Times New Roman" w:hAnsi="Times New Roman" w:cs="Times New Roman"/>
          <w:sz w:val="24"/>
          <w:szCs w:val="24"/>
        </w:rPr>
        <w:t xml:space="preserve">. </w:t>
      </w:r>
      <w:proofErr w:type="spellStart"/>
      <w:r w:rsidRPr="00FE47A3">
        <w:rPr>
          <w:rFonts w:ascii="Times New Roman" w:hAnsi="Times New Roman" w:cs="Times New Roman"/>
          <w:i/>
          <w:sz w:val="24"/>
          <w:szCs w:val="24"/>
        </w:rPr>
        <w:t>North</w:t>
      </w:r>
      <w:proofErr w:type="spellEnd"/>
      <w:r w:rsidRPr="00FE47A3">
        <w:rPr>
          <w:rFonts w:ascii="Times New Roman" w:hAnsi="Times New Roman" w:cs="Times New Roman"/>
          <w:i/>
          <w:sz w:val="24"/>
          <w:szCs w:val="24"/>
        </w:rPr>
        <w:t xml:space="preserve"> East </w:t>
      </w:r>
      <w:proofErr w:type="spellStart"/>
      <w:r w:rsidRPr="00FE47A3">
        <w:rPr>
          <w:rFonts w:ascii="Times New Roman" w:hAnsi="Times New Roman" w:cs="Times New Roman"/>
          <w:i/>
          <w:sz w:val="24"/>
          <w:szCs w:val="24"/>
        </w:rPr>
        <w:t>Law</w:t>
      </w:r>
      <w:proofErr w:type="spellEnd"/>
      <w:r w:rsidRPr="00FE47A3">
        <w:rPr>
          <w:rFonts w:ascii="Times New Roman" w:hAnsi="Times New Roman" w:cs="Times New Roman"/>
          <w:i/>
          <w:sz w:val="24"/>
          <w:szCs w:val="24"/>
        </w:rPr>
        <w:t xml:space="preserve"> </w:t>
      </w:r>
      <w:proofErr w:type="spellStart"/>
      <w:r w:rsidRPr="00FE47A3">
        <w:rPr>
          <w:rFonts w:ascii="Times New Roman" w:hAnsi="Times New Roman" w:cs="Times New Roman"/>
          <w:i/>
          <w:sz w:val="24"/>
          <w:szCs w:val="24"/>
        </w:rPr>
        <w:t>Review</w:t>
      </w:r>
      <w:proofErr w:type="spellEnd"/>
      <w:r>
        <w:rPr>
          <w:rFonts w:ascii="Times New Roman" w:hAnsi="Times New Roman" w:cs="Times New Roman"/>
          <w:sz w:val="24"/>
          <w:szCs w:val="24"/>
        </w:rPr>
        <w:t xml:space="preserve">, 2014, vol. 2,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1, s. 83-88</w:t>
      </w:r>
      <w:r w:rsidRPr="00FE47A3">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1C5D2E">
        <w:rPr>
          <w:rFonts w:ascii="Times New Roman" w:hAnsi="Times New Roman" w:cs="Times New Roman"/>
          <w:sz w:val="24"/>
          <w:szCs w:val="24"/>
        </w:rPr>
        <w:t xml:space="preserve">BAXA, Bohumil. </w:t>
      </w:r>
      <w:r w:rsidRPr="001C5D2E">
        <w:rPr>
          <w:rFonts w:ascii="Times New Roman" w:hAnsi="Times New Roman" w:cs="Times New Roman"/>
          <w:i/>
          <w:sz w:val="24"/>
          <w:szCs w:val="24"/>
        </w:rPr>
        <w:t xml:space="preserve">Parlament a </w:t>
      </w:r>
      <w:proofErr w:type="spellStart"/>
      <w:r w:rsidRPr="001C5D2E">
        <w:rPr>
          <w:rFonts w:ascii="Times New Roman" w:hAnsi="Times New Roman" w:cs="Times New Roman"/>
          <w:i/>
          <w:sz w:val="24"/>
          <w:szCs w:val="24"/>
        </w:rPr>
        <w:t>parlamentarism</w:t>
      </w:r>
      <w:proofErr w:type="spellEnd"/>
      <w:r w:rsidRPr="001C5D2E">
        <w:rPr>
          <w:rFonts w:ascii="Times New Roman" w:hAnsi="Times New Roman" w:cs="Times New Roman"/>
          <w:sz w:val="24"/>
          <w:szCs w:val="24"/>
        </w:rPr>
        <w:t>. Prah</w:t>
      </w:r>
      <w:r>
        <w:rPr>
          <w:rFonts w:ascii="Times New Roman" w:hAnsi="Times New Roman" w:cs="Times New Roman"/>
          <w:sz w:val="24"/>
          <w:szCs w:val="24"/>
        </w:rPr>
        <w:t>a: Nakladatel Jan Košatka, 1924. 345 s.</w:t>
      </w:r>
    </w:p>
    <w:p w:rsidR="00191B9E" w:rsidRDefault="00191B9E" w:rsidP="00191B9E">
      <w:pPr>
        <w:spacing w:line="360" w:lineRule="auto"/>
        <w:jc w:val="both"/>
        <w:rPr>
          <w:rFonts w:ascii="Times New Roman" w:hAnsi="Times New Roman" w:cs="Times New Roman"/>
          <w:sz w:val="24"/>
          <w:szCs w:val="24"/>
        </w:rPr>
      </w:pPr>
      <w:r w:rsidRPr="009B6EB5">
        <w:rPr>
          <w:rFonts w:ascii="Times New Roman" w:hAnsi="Times New Roman" w:cs="Times New Roman"/>
          <w:sz w:val="24"/>
          <w:szCs w:val="24"/>
        </w:rPr>
        <w:t xml:space="preserve">BELLING, Vojtěch, MALÍŘ, Jan, PÍTROVÁ, Lenka. </w:t>
      </w:r>
      <w:r w:rsidRPr="009B6EB5">
        <w:rPr>
          <w:rFonts w:ascii="Times New Roman" w:hAnsi="Times New Roman" w:cs="Times New Roman"/>
          <w:i/>
          <w:sz w:val="24"/>
          <w:szCs w:val="24"/>
        </w:rPr>
        <w:t>Kontrola dělby pravomocí v EU se zřetelem ke kompetenčním excesům</w:t>
      </w:r>
      <w:r w:rsidRPr="009B6EB5">
        <w:rPr>
          <w:rFonts w:ascii="Times New Roman" w:hAnsi="Times New Roman" w:cs="Times New Roman"/>
          <w:sz w:val="24"/>
          <w:szCs w:val="24"/>
        </w:rPr>
        <w:t>. Plzeň: Vydavatelství a naklad</w:t>
      </w:r>
      <w:r>
        <w:rPr>
          <w:rFonts w:ascii="Times New Roman" w:hAnsi="Times New Roman" w:cs="Times New Roman"/>
          <w:sz w:val="24"/>
          <w:szCs w:val="24"/>
        </w:rPr>
        <w:t>atelství Aleš Čeněk, 2010</w:t>
      </w:r>
      <w:r w:rsidRPr="009B6EB5">
        <w:rPr>
          <w:rFonts w:ascii="Times New Roman" w:hAnsi="Times New Roman" w:cs="Times New Roman"/>
          <w:sz w:val="24"/>
          <w:szCs w:val="24"/>
        </w:rPr>
        <w:t>.</w:t>
      </w:r>
      <w:r>
        <w:rPr>
          <w:rFonts w:ascii="Times New Roman" w:hAnsi="Times New Roman" w:cs="Times New Roman"/>
          <w:sz w:val="24"/>
          <w:szCs w:val="24"/>
        </w:rPr>
        <w:t xml:space="preserve"> 193 s.</w:t>
      </w:r>
    </w:p>
    <w:p w:rsidR="00191B9E" w:rsidRDefault="00191B9E" w:rsidP="00191B9E">
      <w:pPr>
        <w:spacing w:line="360" w:lineRule="auto"/>
        <w:jc w:val="both"/>
        <w:rPr>
          <w:rFonts w:ascii="Times New Roman" w:hAnsi="Times New Roman" w:cs="Times New Roman"/>
          <w:sz w:val="24"/>
          <w:szCs w:val="24"/>
        </w:rPr>
      </w:pPr>
      <w:r w:rsidRPr="00623C3E">
        <w:rPr>
          <w:rFonts w:ascii="Times New Roman" w:hAnsi="Times New Roman" w:cs="Times New Roman"/>
          <w:sz w:val="24"/>
          <w:szCs w:val="24"/>
        </w:rPr>
        <w:t xml:space="preserve">BELLING, Vojtěch. </w:t>
      </w:r>
      <w:r w:rsidRPr="00623C3E">
        <w:rPr>
          <w:rFonts w:ascii="Times New Roman" w:hAnsi="Times New Roman" w:cs="Times New Roman"/>
          <w:i/>
          <w:sz w:val="24"/>
          <w:szCs w:val="24"/>
        </w:rPr>
        <w:t>Problém demokratické legitimity EU</w:t>
      </w:r>
      <w:r w:rsidRPr="00623C3E">
        <w:rPr>
          <w:rFonts w:ascii="Times New Roman" w:hAnsi="Times New Roman" w:cs="Times New Roman"/>
          <w:sz w:val="24"/>
          <w:szCs w:val="24"/>
        </w:rPr>
        <w:t xml:space="preserve"> [online]. Občanský institut, 6. února 2009 [cit. 8. února 2016]. Dostupné na &lt;http://www.obcinst.cz/</w:t>
      </w:r>
      <w:proofErr w:type="spellStart"/>
      <w:r w:rsidRPr="00623C3E">
        <w:rPr>
          <w:rFonts w:ascii="Times New Roman" w:hAnsi="Times New Roman" w:cs="Times New Roman"/>
          <w:sz w:val="24"/>
          <w:szCs w:val="24"/>
        </w:rPr>
        <w:t>problem</w:t>
      </w:r>
      <w:proofErr w:type="spellEnd"/>
      <w:r w:rsidRPr="00623C3E">
        <w:rPr>
          <w:rFonts w:ascii="Times New Roman" w:hAnsi="Times New Roman" w:cs="Times New Roman"/>
          <w:sz w:val="24"/>
          <w:szCs w:val="24"/>
        </w:rPr>
        <w:t>-</w:t>
      </w:r>
      <w:proofErr w:type="spellStart"/>
      <w:r w:rsidRPr="00623C3E">
        <w:rPr>
          <w:rFonts w:ascii="Times New Roman" w:hAnsi="Times New Roman" w:cs="Times New Roman"/>
          <w:sz w:val="24"/>
          <w:szCs w:val="24"/>
        </w:rPr>
        <w:t>demokraticke</w:t>
      </w:r>
      <w:proofErr w:type="spellEnd"/>
      <w:r w:rsidRPr="00623C3E">
        <w:rPr>
          <w:rFonts w:ascii="Times New Roman" w:hAnsi="Times New Roman" w:cs="Times New Roman"/>
          <w:sz w:val="24"/>
          <w:szCs w:val="24"/>
        </w:rPr>
        <w:t>-legitimity-</w:t>
      </w:r>
      <w:proofErr w:type="spellStart"/>
      <w:r w:rsidRPr="00623C3E">
        <w:rPr>
          <w:rFonts w:ascii="Times New Roman" w:hAnsi="Times New Roman" w:cs="Times New Roman"/>
          <w:sz w:val="24"/>
          <w:szCs w:val="24"/>
        </w:rPr>
        <w:t>eu</w:t>
      </w:r>
      <w:proofErr w:type="spellEnd"/>
      <w:r w:rsidRPr="00623C3E">
        <w:rPr>
          <w:rFonts w:ascii="Times New Roman" w:hAnsi="Times New Roman" w:cs="Times New Roman"/>
          <w:sz w:val="24"/>
          <w:szCs w:val="24"/>
        </w:rPr>
        <w:t>/&gt;.</w:t>
      </w:r>
    </w:p>
    <w:p w:rsidR="00191B9E" w:rsidRDefault="00191B9E" w:rsidP="00191B9E">
      <w:pPr>
        <w:spacing w:line="360" w:lineRule="auto"/>
        <w:jc w:val="both"/>
        <w:rPr>
          <w:rFonts w:ascii="Times New Roman" w:hAnsi="Times New Roman" w:cs="Times New Roman"/>
          <w:sz w:val="24"/>
          <w:szCs w:val="24"/>
        </w:rPr>
      </w:pPr>
      <w:r w:rsidRPr="00633AAF">
        <w:rPr>
          <w:rFonts w:ascii="Times New Roman" w:hAnsi="Times New Roman" w:cs="Times New Roman"/>
          <w:sz w:val="24"/>
          <w:szCs w:val="24"/>
        </w:rPr>
        <w:t xml:space="preserve">BENZ, Arthur. </w:t>
      </w:r>
      <w:proofErr w:type="spellStart"/>
      <w:r w:rsidRPr="00633AAF">
        <w:rPr>
          <w:rFonts w:ascii="Times New Roman" w:hAnsi="Times New Roman" w:cs="Times New Roman"/>
          <w:sz w:val="24"/>
          <w:szCs w:val="24"/>
        </w:rPr>
        <w:t>Linking</w:t>
      </w:r>
      <w:proofErr w:type="spellEnd"/>
      <w:r w:rsidRPr="00633AAF">
        <w:rPr>
          <w:rFonts w:ascii="Times New Roman" w:hAnsi="Times New Roman" w:cs="Times New Roman"/>
          <w:sz w:val="24"/>
          <w:szCs w:val="24"/>
        </w:rPr>
        <w:t xml:space="preserve"> </w:t>
      </w:r>
      <w:proofErr w:type="spellStart"/>
      <w:r w:rsidRPr="00633AAF">
        <w:rPr>
          <w:rFonts w:ascii="Times New Roman" w:hAnsi="Times New Roman" w:cs="Times New Roman"/>
          <w:sz w:val="24"/>
          <w:szCs w:val="24"/>
        </w:rPr>
        <w:t>multiple</w:t>
      </w:r>
      <w:proofErr w:type="spellEnd"/>
      <w:r w:rsidRPr="00633AAF">
        <w:rPr>
          <w:rFonts w:ascii="Times New Roman" w:hAnsi="Times New Roman" w:cs="Times New Roman"/>
          <w:sz w:val="24"/>
          <w:szCs w:val="24"/>
        </w:rPr>
        <w:t xml:space="preserve"> </w:t>
      </w:r>
      <w:proofErr w:type="spellStart"/>
      <w:r w:rsidRPr="00633AAF">
        <w:rPr>
          <w:rFonts w:ascii="Times New Roman" w:hAnsi="Times New Roman" w:cs="Times New Roman"/>
          <w:sz w:val="24"/>
          <w:szCs w:val="24"/>
        </w:rPr>
        <w:t>demoi</w:t>
      </w:r>
      <w:proofErr w:type="spellEnd"/>
      <w:r w:rsidRPr="00633AAF">
        <w:rPr>
          <w:rFonts w:ascii="Times New Roman" w:hAnsi="Times New Roman" w:cs="Times New Roman"/>
          <w:sz w:val="24"/>
          <w:szCs w:val="24"/>
        </w:rPr>
        <w:t>. Inter-</w:t>
      </w:r>
      <w:proofErr w:type="spellStart"/>
      <w:r w:rsidRPr="00633AAF">
        <w:rPr>
          <w:rFonts w:ascii="Times New Roman" w:hAnsi="Times New Roman" w:cs="Times New Roman"/>
          <w:sz w:val="24"/>
          <w:szCs w:val="24"/>
        </w:rPr>
        <w:t>parliamentary</w:t>
      </w:r>
      <w:proofErr w:type="spellEnd"/>
      <w:r w:rsidRPr="00633AAF">
        <w:rPr>
          <w:rFonts w:ascii="Times New Roman" w:hAnsi="Times New Roman" w:cs="Times New Roman"/>
          <w:sz w:val="24"/>
          <w:szCs w:val="24"/>
        </w:rPr>
        <w:t xml:space="preserve"> relations in </w:t>
      </w:r>
      <w:proofErr w:type="spellStart"/>
      <w:r w:rsidRPr="00633AAF">
        <w:rPr>
          <w:rFonts w:ascii="Times New Roman" w:hAnsi="Times New Roman" w:cs="Times New Roman"/>
          <w:sz w:val="24"/>
          <w:szCs w:val="24"/>
        </w:rPr>
        <w:t>the</w:t>
      </w:r>
      <w:proofErr w:type="spellEnd"/>
      <w:r w:rsidRPr="00633AAF">
        <w:rPr>
          <w:rFonts w:ascii="Times New Roman" w:hAnsi="Times New Roman" w:cs="Times New Roman"/>
          <w:sz w:val="24"/>
          <w:szCs w:val="24"/>
        </w:rPr>
        <w:t xml:space="preserve"> EU. </w:t>
      </w:r>
      <w:r w:rsidRPr="00633AAF">
        <w:rPr>
          <w:rFonts w:ascii="Times New Roman" w:hAnsi="Times New Roman" w:cs="Times New Roman"/>
          <w:i/>
          <w:sz w:val="24"/>
          <w:szCs w:val="24"/>
        </w:rPr>
        <w:t>IEV-Online</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1, s. 1-12.</w:t>
      </w:r>
    </w:p>
    <w:p w:rsidR="00191B9E" w:rsidRDefault="00191B9E" w:rsidP="00191B9E">
      <w:pPr>
        <w:spacing w:line="360" w:lineRule="auto"/>
        <w:jc w:val="both"/>
        <w:rPr>
          <w:rFonts w:ascii="Times New Roman" w:hAnsi="Times New Roman" w:cs="Times New Roman"/>
          <w:sz w:val="24"/>
          <w:szCs w:val="24"/>
        </w:rPr>
      </w:pPr>
      <w:r w:rsidRPr="003A3702">
        <w:rPr>
          <w:rFonts w:ascii="Times New Roman" w:hAnsi="Times New Roman" w:cs="Times New Roman"/>
          <w:sz w:val="24"/>
          <w:szCs w:val="24"/>
        </w:rPr>
        <w:t xml:space="preserve">BORONSKA-HRYNIEWIECKA, Karolina. </w:t>
      </w:r>
      <w:proofErr w:type="spellStart"/>
      <w:r w:rsidRPr="003A3702">
        <w:rPr>
          <w:rFonts w:ascii="Times New Roman" w:hAnsi="Times New Roman" w:cs="Times New Roman"/>
          <w:sz w:val="24"/>
          <w:szCs w:val="24"/>
        </w:rPr>
        <w:t>Democratizing</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the</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European</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multi</w:t>
      </w:r>
      <w:proofErr w:type="spellEnd"/>
      <w:r w:rsidRPr="003A3702">
        <w:rPr>
          <w:rFonts w:ascii="Times New Roman" w:hAnsi="Times New Roman" w:cs="Times New Roman"/>
          <w:sz w:val="24"/>
          <w:szCs w:val="24"/>
        </w:rPr>
        <w:t xml:space="preserve">-level </w:t>
      </w:r>
      <w:proofErr w:type="gramStart"/>
      <w:r w:rsidRPr="003A3702">
        <w:rPr>
          <w:rFonts w:ascii="Times New Roman" w:hAnsi="Times New Roman" w:cs="Times New Roman"/>
          <w:sz w:val="24"/>
          <w:szCs w:val="24"/>
        </w:rPr>
        <w:t>polity?:</w:t>
      </w:r>
      <w:proofErr w:type="gramEnd"/>
      <w:r w:rsidRPr="003A3702">
        <w:rPr>
          <w:rFonts w:ascii="Times New Roman" w:hAnsi="Times New Roman" w:cs="Times New Roman"/>
          <w:sz w:val="24"/>
          <w:szCs w:val="24"/>
        </w:rPr>
        <w:t xml:space="preserve"> a (re-)</w:t>
      </w:r>
      <w:proofErr w:type="spellStart"/>
      <w:r w:rsidRPr="003A3702">
        <w:rPr>
          <w:rFonts w:ascii="Times New Roman" w:hAnsi="Times New Roman" w:cs="Times New Roman"/>
          <w:sz w:val="24"/>
          <w:szCs w:val="24"/>
        </w:rPr>
        <w:t>assessment</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of</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the</w:t>
      </w:r>
      <w:proofErr w:type="spellEnd"/>
      <w:r w:rsidRPr="003A3702">
        <w:rPr>
          <w:rFonts w:ascii="Times New Roman" w:hAnsi="Times New Roman" w:cs="Times New Roman"/>
          <w:sz w:val="24"/>
          <w:szCs w:val="24"/>
        </w:rPr>
        <w:t xml:space="preserve"> early </w:t>
      </w:r>
      <w:proofErr w:type="spellStart"/>
      <w:r w:rsidRPr="003A3702">
        <w:rPr>
          <w:rFonts w:ascii="Times New Roman" w:hAnsi="Times New Roman" w:cs="Times New Roman"/>
          <w:sz w:val="24"/>
          <w:szCs w:val="24"/>
        </w:rPr>
        <w:t>warning</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system</w:t>
      </w:r>
      <w:proofErr w:type="spellEnd"/>
      <w:r w:rsidRPr="003A3702">
        <w:rPr>
          <w:rFonts w:ascii="Times New Roman" w:hAnsi="Times New Roman" w:cs="Times New Roman"/>
          <w:sz w:val="24"/>
          <w:szCs w:val="24"/>
        </w:rPr>
        <w:t>. In GÓRALCZYK Bogdan (</w:t>
      </w:r>
      <w:proofErr w:type="spellStart"/>
      <w:r w:rsidRPr="003A3702">
        <w:rPr>
          <w:rFonts w:ascii="Times New Roman" w:hAnsi="Times New Roman" w:cs="Times New Roman"/>
          <w:sz w:val="24"/>
          <w:szCs w:val="24"/>
        </w:rPr>
        <w:t>ed</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i/>
          <w:sz w:val="24"/>
          <w:szCs w:val="24"/>
        </w:rPr>
        <w:t>Yearbook</w:t>
      </w:r>
      <w:proofErr w:type="spellEnd"/>
      <w:r w:rsidRPr="003A3702">
        <w:rPr>
          <w:rFonts w:ascii="Times New Roman" w:hAnsi="Times New Roman" w:cs="Times New Roman"/>
          <w:i/>
          <w:sz w:val="24"/>
          <w:szCs w:val="24"/>
        </w:rPr>
        <w:t xml:space="preserve"> </w:t>
      </w:r>
      <w:proofErr w:type="spellStart"/>
      <w:r w:rsidRPr="003A3702">
        <w:rPr>
          <w:rFonts w:ascii="Times New Roman" w:hAnsi="Times New Roman" w:cs="Times New Roman"/>
          <w:i/>
          <w:sz w:val="24"/>
          <w:szCs w:val="24"/>
        </w:rPr>
        <w:t>of</w:t>
      </w:r>
      <w:proofErr w:type="spellEnd"/>
      <w:r w:rsidRPr="003A3702">
        <w:rPr>
          <w:rFonts w:ascii="Times New Roman" w:hAnsi="Times New Roman" w:cs="Times New Roman"/>
          <w:i/>
          <w:sz w:val="24"/>
          <w:szCs w:val="24"/>
        </w:rPr>
        <w:t xml:space="preserve"> </w:t>
      </w:r>
      <w:proofErr w:type="spellStart"/>
      <w:r w:rsidRPr="003A3702">
        <w:rPr>
          <w:rFonts w:ascii="Times New Roman" w:hAnsi="Times New Roman" w:cs="Times New Roman"/>
          <w:i/>
          <w:sz w:val="24"/>
          <w:szCs w:val="24"/>
        </w:rPr>
        <w:t>Polish</w:t>
      </w:r>
      <w:proofErr w:type="spellEnd"/>
      <w:r w:rsidRPr="003A3702">
        <w:rPr>
          <w:rFonts w:ascii="Times New Roman" w:hAnsi="Times New Roman" w:cs="Times New Roman"/>
          <w:i/>
          <w:sz w:val="24"/>
          <w:szCs w:val="24"/>
        </w:rPr>
        <w:t xml:space="preserve"> </w:t>
      </w:r>
      <w:proofErr w:type="spellStart"/>
      <w:r w:rsidRPr="003A3702">
        <w:rPr>
          <w:rFonts w:ascii="Times New Roman" w:hAnsi="Times New Roman" w:cs="Times New Roman"/>
          <w:i/>
          <w:sz w:val="24"/>
          <w:szCs w:val="24"/>
        </w:rPr>
        <w:t>European</w:t>
      </w:r>
      <w:proofErr w:type="spellEnd"/>
      <w:r w:rsidRPr="003A3702">
        <w:rPr>
          <w:rFonts w:ascii="Times New Roman" w:hAnsi="Times New Roman" w:cs="Times New Roman"/>
          <w:i/>
          <w:sz w:val="24"/>
          <w:szCs w:val="24"/>
        </w:rPr>
        <w:t xml:space="preserve"> </w:t>
      </w:r>
      <w:proofErr w:type="spellStart"/>
      <w:r w:rsidRPr="003A3702">
        <w:rPr>
          <w:rFonts w:ascii="Times New Roman" w:hAnsi="Times New Roman" w:cs="Times New Roman"/>
          <w:i/>
          <w:sz w:val="24"/>
          <w:szCs w:val="24"/>
        </w:rPr>
        <w:t>Studies</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Warsaw</w:t>
      </w:r>
      <w:proofErr w:type="spellEnd"/>
      <w:r w:rsidRPr="003A3702">
        <w:rPr>
          <w:rFonts w:ascii="Times New Roman" w:hAnsi="Times New Roman" w:cs="Times New Roman"/>
          <w:sz w:val="24"/>
          <w:szCs w:val="24"/>
        </w:rPr>
        <w:t xml:space="preserve">: Centre </w:t>
      </w:r>
      <w:proofErr w:type="spellStart"/>
      <w:r w:rsidRPr="003A3702">
        <w:rPr>
          <w:rFonts w:ascii="Times New Roman" w:hAnsi="Times New Roman" w:cs="Times New Roman"/>
          <w:sz w:val="24"/>
          <w:szCs w:val="24"/>
        </w:rPr>
        <w:t>for</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Europe</w:t>
      </w:r>
      <w:proofErr w:type="spellEnd"/>
      <w:r w:rsidRPr="003A3702">
        <w:rPr>
          <w:rFonts w:ascii="Times New Roman" w:hAnsi="Times New Roman" w:cs="Times New Roman"/>
          <w:sz w:val="24"/>
          <w:szCs w:val="24"/>
        </w:rPr>
        <w:t xml:space="preserve">, University </w:t>
      </w:r>
      <w:proofErr w:type="spellStart"/>
      <w:r w:rsidRPr="003A3702">
        <w:rPr>
          <w:rFonts w:ascii="Times New Roman" w:hAnsi="Times New Roman" w:cs="Times New Roman"/>
          <w:sz w:val="24"/>
          <w:szCs w:val="24"/>
        </w:rPr>
        <w:t>of</w:t>
      </w:r>
      <w:proofErr w:type="spellEnd"/>
      <w:r w:rsidRPr="003A3702">
        <w:rPr>
          <w:rFonts w:ascii="Times New Roman" w:hAnsi="Times New Roman" w:cs="Times New Roman"/>
          <w:sz w:val="24"/>
          <w:szCs w:val="24"/>
        </w:rPr>
        <w:t xml:space="preserve"> </w:t>
      </w:r>
      <w:proofErr w:type="spellStart"/>
      <w:r w:rsidRPr="003A3702">
        <w:rPr>
          <w:rFonts w:ascii="Times New Roman" w:hAnsi="Times New Roman" w:cs="Times New Roman"/>
          <w:sz w:val="24"/>
          <w:szCs w:val="24"/>
        </w:rPr>
        <w:t>Warsaw</w:t>
      </w:r>
      <w:proofErr w:type="spellEnd"/>
      <w:r w:rsidRPr="003A3702">
        <w:rPr>
          <w:rFonts w:ascii="Times New Roman" w:hAnsi="Times New Roman" w:cs="Times New Roman"/>
          <w:sz w:val="24"/>
          <w:szCs w:val="24"/>
        </w:rPr>
        <w:t>, 2013, s. 167-187.</w:t>
      </w:r>
    </w:p>
    <w:p w:rsidR="00191B9E" w:rsidRDefault="00191B9E" w:rsidP="00191B9E">
      <w:pPr>
        <w:spacing w:line="360" w:lineRule="auto"/>
        <w:jc w:val="both"/>
        <w:rPr>
          <w:rFonts w:ascii="Times New Roman" w:hAnsi="Times New Roman" w:cs="Times New Roman"/>
          <w:sz w:val="24"/>
          <w:szCs w:val="24"/>
        </w:rPr>
      </w:pPr>
      <w:r w:rsidRPr="00AA78C8">
        <w:rPr>
          <w:rFonts w:ascii="Times New Roman" w:hAnsi="Times New Roman" w:cs="Times New Roman"/>
          <w:sz w:val="24"/>
          <w:szCs w:val="24"/>
        </w:rPr>
        <w:t xml:space="preserve">BŘICHÁČEK, Tomáš. Přístup Evropského soudního dvora k principu subsidiarity. </w:t>
      </w:r>
      <w:r w:rsidRPr="00AA78C8">
        <w:rPr>
          <w:rFonts w:ascii="Times New Roman" w:hAnsi="Times New Roman" w:cs="Times New Roman"/>
          <w:i/>
          <w:sz w:val="24"/>
          <w:szCs w:val="24"/>
        </w:rPr>
        <w:t>Právník</w:t>
      </w:r>
      <w:r>
        <w:rPr>
          <w:rFonts w:ascii="Times New Roman" w:hAnsi="Times New Roman" w:cs="Times New Roman"/>
          <w:sz w:val="24"/>
          <w:szCs w:val="24"/>
        </w:rPr>
        <w:t>, 2008, č. 2, s. 145-159</w:t>
      </w:r>
      <w:r w:rsidRPr="00AA78C8">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0579F0">
        <w:rPr>
          <w:rFonts w:ascii="Times New Roman" w:hAnsi="Times New Roman" w:cs="Times New Roman"/>
          <w:sz w:val="24"/>
          <w:szCs w:val="24"/>
        </w:rPr>
        <w:t xml:space="preserve">BŘICHÁČEK, Tomáš. </w:t>
      </w:r>
      <w:r w:rsidRPr="000579F0">
        <w:rPr>
          <w:rFonts w:ascii="Times New Roman" w:hAnsi="Times New Roman" w:cs="Times New Roman"/>
          <w:i/>
          <w:sz w:val="24"/>
          <w:szCs w:val="24"/>
        </w:rPr>
        <w:t>Unie blízká i vzdálená</w:t>
      </w:r>
      <w:r w:rsidRPr="000579F0">
        <w:rPr>
          <w:rFonts w:ascii="Times New Roman" w:hAnsi="Times New Roman" w:cs="Times New Roman"/>
          <w:sz w:val="24"/>
          <w:szCs w:val="24"/>
        </w:rPr>
        <w:t>. Praha: Insti</w:t>
      </w:r>
      <w:r>
        <w:rPr>
          <w:rFonts w:ascii="Times New Roman" w:hAnsi="Times New Roman" w:cs="Times New Roman"/>
          <w:sz w:val="24"/>
          <w:szCs w:val="24"/>
        </w:rPr>
        <w:t>tut Václava Klause, 2014. 194 s.</w:t>
      </w:r>
    </w:p>
    <w:p w:rsidR="00191B9E" w:rsidRDefault="00191B9E" w:rsidP="00191B9E">
      <w:pPr>
        <w:spacing w:line="360" w:lineRule="auto"/>
        <w:jc w:val="both"/>
        <w:rPr>
          <w:rFonts w:ascii="Times New Roman" w:hAnsi="Times New Roman" w:cs="Times New Roman"/>
          <w:sz w:val="24"/>
          <w:szCs w:val="24"/>
        </w:rPr>
      </w:pPr>
      <w:r w:rsidRPr="00D01C6C">
        <w:rPr>
          <w:rFonts w:ascii="Times New Roman" w:hAnsi="Times New Roman" w:cs="Times New Roman"/>
          <w:sz w:val="24"/>
          <w:szCs w:val="24"/>
        </w:rPr>
        <w:t xml:space="preserve">CASS, Deborah. </w:t>
      </w:r>
      <w:proofErr w:type="spellStart"/>
      <w:r w:rsidRPr="00D01C6C">
        <w:rPr>
          <w:rFonts w:ascii="Times New Roman" w:hAnsi="Times New Roman" w:cs="Times New Roman"/>
          <w:sz w:val="24"/>
          <w:szCs w:val="24"/>
        </w:rPr>
        <w:t>The</w:t>
      </w:r>
      <w:proofErr w:type="spellEnd"/>
      <w:r w:rsidRPr="00D01C6C">
        <w:rPr>
          <w:rFonts w:ascii="Times New Roman" w:hAnsi="Times New Roman" w:cs="Times New Roman"/>
          <w:sz w:val="24"/>
          <w:szCs w:val="24"/>
        </w:rPr>
        <w:t xml:space="preserve"> Word </w:t>
      </w:r>
      <w:proofErr w:type="spellStart"/>
      <w:r w:rsidRPr="00D01C6C">
        <w:rPr>
          <w:rFonts w:ascii="Times New Roman" w:hAnsi="Times New Roman" w:cs="Times New Roman"/>
          <w:sz w:val="24"/>
          <w:szCs w:val="24"/>
        </w:rPr>
        <w:t>that</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Saves</w:t>
      </w:r>
      <w:proofErr w:type="spellEnd"/>
      <w:r w:rsidRPr="00D01C6C">
        <w:rPr>
          <w:rFonts w:ascii="Times New Roman" w:hAnsi="Times New Roman" w:cs="Times New Roman"/>
          <w:sz w:val="24"/>
          <w:szCs w:val="24"/>
        </w:rPr>
        <w:t xml:space="preserve"> Maastricht? </w:t>
      </w:r>
      <w:proofErr w:type="spellStart"/>
      <w:r w:rsidRPr="00D01C6C">
        <w:rPr>
          <w:rFonts w:ascii="Times New Roman" w:hAnsi="Times New Roman" w:cs="Times New Roman"/>
          <w:sz w:val="24"/>
          <w:szCs w:val="24"/>
        </w:rPr>
        <w:t>The</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Principle</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of</w:t>
      </w:r>
      <w:proofErr w:type="spellEnd"/>
      <w:r w:rsidRPr="00D01C6C">
        <w:rPr>
          <w:rFonts w:ascii="Times New Roman" w:hAnsi="Times New Roman" w:cs="Times New Roman"/>
          <w:sz w:val="24"/>
          <w:szCs w:val="24"/>
        </w:rPr>
        <w:t xml:space="preserve"> Subsidiarity and </w:t>
      </w:r>
      <w:proofErr w:type="spellStart"/>
      <w:r w:rsidRPr="00D01C6C">
        <w:rPr>
          <w:rFonts w:ascii="Times New Roman" w:hAnsi="Times New Roman" w:cs="Times New Roman"/>
          <w:sz w:val="24"/>
          <w:szCs w:val="24"/>
        </w:rPr>
        <w:t>the</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Division</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of</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Powers</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within</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the</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European</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sz w:val="24"/>
          <w:szCs w:val="24"/>
        </w:rPr>
        <w:t>Community</w:t>
      </w:r>
      <w:proofErr w:type="spellEnd"/>
      <w:r w:rsidRPr="00D01C6C">
        <w:rPr>
          <w:rFonts w:ascii="Times New Roman" w:hAnsi="Times New Roman" w:cs="Times New Roman"/>
          <w:sz w:val="24"/>
          <w:szCs w:val="24"/>
        </w:rPr>
        <w:t xml:space="preserve">. </w:t>
      </w:r>
      <w:proofErr w:type="spellStart"/>
      <w:r w:rsidRPr="00D01C6C">
        <w:rPr>
          <w:rFonts w:ascii="Times New Roman" w:hAnsi="Times New Roman" w:cs="Times New Roman"/>
          <w:i/>
          <w:sz w:val="24"/>
          <w:szCs w:val="24"/>
        </w:rPr>
        <w:t>Common</w:t>
      </w:r>
      <w:proofErr w:type="spellEnd"/>
      <w:r w:rsidRPr="00D01C6C">
        <w:rPr>
          <w:rFonts w:ascii="Times New Roman" w:hAnsi="Times New Roman" w:cs="Times New Roman"/>
          <w:i/>
          <w:sz w:val="24"/>
          <w:szCs w:val="24"/>
        </w:rPr>
        <w:t xml:space="preserve"> Market </w:t>
      </w:r>
      <w:proofErr w:type="spellStart"/>
      <w:r w:rsidRPr="00D01C6C">
        <w:rPr>
          <w:rFonts w:ascii="Times New Roman" w:hAnsi="Times New Roman" w:cs="Times New Roman"/>
          <w:i/>
          <w:sz w:val="24"/>
          <w:szCs w:val="24"/>
        </w:rPr>
        <w:t>Law</w:t>
      </w:r>
      <w:proofErr w:type="spellEnd"/>
      <w:r w:rsidRPr="00D01C6C">
        <w:rPr>
          <w:rFonts w:ascii="Times New Roman" w:hAnsi="Times New Roman" w:cs="Times New Roman"/>
          <w:i/>
          <w:sz w:val="24"/>
          <w:szCs w:val="24"/>
        </w:rPr>
        <w:t xml:space="preserve"> </w:t>
      </w:r>
      <w:proofErr w:type="spellStart"/>
      <w:r w:rsidRPr="00D01C6C">
        <w:rPr>
          <w:rFonts w:ascii="Times New Roman" w:hAnsi="Times New Roman" w:cs="Times New Roman"/>
          <w:i/>
          <w:sz w:val="24"/>
          <w:szCs w:val="24"/>
        </w:rPr>
        <w:t>Review</w:t>
      </w:r>
      <w:proofErr w:type="spellEnd"/>
      <w:r w:rsidRPr="00D01C6C">
        <w:rPr>
          <w:rFonts w:ascii="Times New Roman" w:hAnsi="Times New Roman" w:cs="Times New Roman"/>
          <w:sz w:val="24"/>
          <w:szCs w:val="24"/>
        </w:rPr>
        <w:t xml:space="preserve">, 1992, vol. 29, </w:t>
      </w:r>
      <w:proofErr w:type="spellStart"/>
      <w:r w:rsidRPr="00D01C6C">
        <w:rPr>
          <w:rFonts w:ascii="Times New Roman" w:hAnsi="Times New Roman" w:cs="Times New Roman"/>
          <w:sz w:val="24"/>
          <w:szCs w:val="24"/>
        </w:rPr>
        <w:t>issue</w:t>
      </w:r>
      <w:proofErr w:type="spellEnd"/>
      <w:r w:rsidRPr="00D01C6C">
        <w:rPr>
          <w:rFonts w:ascii="Times New Roman" w:hAnsi="Times New Roman" w:cs="Times New Roman"/>
          <w:sz w:val="24"/>
          <w:szCs w:val="24"/>
        </w:rPr>
        <w:t xml:space="preserve"> 6, s. 1107</w:t>
      </w:r>
      <w:r>
        <w:rPr>
          <w:rFonts w:ascii="Times New Roman" w:hAnsi="Times New Roman" w:cs="Times New Roman"/>
          <w:sz w:val="24"/>
          <w:szCs w:val="24"/>
        </w:rPr>
        <w:t>-1136</w:t>
      </w:r>
      <w:r w:rsidRPr="00D01C6C">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AA46CC">
        <w:rPr>
          <w:rFonts w:ascii="Times New Roman" w:hAnsi="Times New Roman" w:cs="Times New Roman"/>
          <w:sz w:val="24"/>
          <w:szCs w:val="24"/>
        </w:rPr>
        <w:lastRenderedPageBreak/>
        <w:t>COOPER, Ian. A ‘</w:t>
      </w:r>
      <w:proofErr w:type="spellStart"/>
      <w:r w:rsidRPr="00AA46CC">
        <w:rPr>
          <w:rFonts w:ascii="Times New Roman" w:hAnsi="Times New Roman" w:cs="Times New Roman"/>
          <w:sz w:val="24"/>
          <w:szCs w:val="24"/>
        </w:rPr>
        <w:t>Virtual</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Third</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Chamber</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for</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the</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European</w:t>
      </w:r>
      <w:proofErr w:type="spellEnd"/>
      <w:r w:rsidRPr="00AA46CC">
        <w:rPr>
          <w:rFonts w:ascii="Times New Roman" w:hAnsi="Times New Roman" w:cs="Times New Roman"/>
          <w:sz w:val="24"/>
          <w:szCs w:val="24"/>
        </w:rPr>
        <w:t xml:space="preserve"> Union? </w:t>
      </w:r>
      <w:proofErr w:type="spellStart"/>
      <w:r w:rsidRPr="00AA46CC">
        <w:rPr>
          <w:rFonts w:ascii="Times New Roman" w:hAnsi="Times New Roman" w:cs="Times New Roman"/>
          <w:sz w:val="24"/>
          <w:szCs w:val="24"/>
        </w:rPr>
        <w:t>National</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Parliaments</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after</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the</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Treaty</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of</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sz w:val="24"/>
          <w:szCs w:val="24"/>
        </w:rPr>
        <w:t>Lisbon</w:t>
      </w:r>
      <w:proofErr w:type="spellEnd"/>
      <w:r w:rsidRPr="00AA46CC">
        <w:rPr>
          <w:rFonts w:ascii="Times New Roman" w:hAnsi="Times New Roman" w:cs="Times New Roman"/>
          <w:sz w:val="24"/>
          <w:szCs w:val="24"/>
        </w:rPr>
        <w:t xml:space="preserve">. </w:t>
      </w:r>
      <w:proofErr w:type="spellStart"/>
      <w:r w:rsidRPr="00AA46CC">
        <w:rPr>
          <w:rFonts w:ascii="Times New Roman" w:hAnsi="Times New Roman" w:cs="Times New Roman"/>
          <w:i/>
          <w:sz w:val="24"/>
          <w:szCs w:val="24"/>
        </w:rPr>
        <w:t>West</w:t>
      </w:r>
      <w:proofErr w:type="spellEnd"/>
      <w:r w:rsidRPr="00AA46CC">
        <w:rPr>
          <w:rFonts w:ascii="Times New Roman" w:hAnsi="Times New Roman" w:cs="Times New Roman"/>
          <w:i/>
          <w:sz w:val="24"/>
          <w:szCs w:val="24"/>
        </w:rPr>
        <w:t xml:space="preserve"> </w:t>
      </w:r>
      <w:proofErr w:type="spellStart"/>
      <w:r w:rsidRPr="00AA46CC">
        <w:rPr>
          <w:rFonts w:ascii="Times New Roman" w:hAnsi="Times New Roman" w:cs="Times New Roman"/>
          <w:i/>
          <w:sz w:val="24"/>
          <w:szCs w:val="24"/>
        </w:rPr>
        <w:t>European</w:t>
      </w:r>
      <w:proofErr w:type="spellEnd"/>
      <w:r w:rsidRPr="00AA46CC">
        <w:rPr>
          <w:rFonts w:ascii="Times New Roman" w:hAnsi="Times New Roman" w:cs="Times New Roman"/>
          <w:i/>
          <w:sz w:val="24"/>
          <w:szCs w:val="24"/>
        </w:rPr>
        <w:t xml:space="preserve"> </w:t>
      </w:r>
      <w:proofErr w:type="spellStart"/>
      <w:r w:rsidRPr="00AA46CC">
        <w:rPr>
          <w:rFonts w:ascii="Times New Roman" w:hAnsi="Times New Roman" w:cs="Times New Roman"/>
          <w:i/>
          <w:sz w:val="24"/>
          <w:szCs w:val="24"/>
        </w:rPr>
        <w:t>Politics</w:t>
      </w:r>
      <w:proofErr w:type="spellEnd"/>
      <w:r>
        <w:rPr>
          <w:rFonts w:ascii="Times New Roman" w:hAnsi="Times New Roman" w:cs="Times New Roman"/>
          <w:sz w:val="24"/>
          <w:szCs w:val="24"/>
        </w:rPr>
        <w:t>, 2012, vol. 35, no. 3, s. 441-465</w:t>
      </w:r>
      <w:r w:rsidRPr="00AA46CC">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9F6CC7">
        <w:rPr>
          <w:rFonts w:ascii="Times New Roman" w:hAnsi="Times New Roman" w:cs="Times New Roman"/>
          <w:sz w:val="24"/>
          <w:szCs w:val="24"/>
        </w:rPr>
        <w:t xml:space="preserve">COOPER, Ian. </w:t>
      </w:r>
      <w:proofErr w:type="spellStart"/>
      <w:r w:rsidRPr="009F6CC7">
        <w:rPr>
          <w:rFonts w:ascii="Times New Roman" w:hAnsi="Times New Roman" w:cs="Times New Roman"/>
          <w:sz w:val="24"/>
          <w:szCs w:val="24"/>
        </w:rPr>
        <w:t>The</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Watchdogs</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of</w:t>
      </w:r>
      <w:proofErr w:type="spellEnd"/>
      <w:r w:rsidRPr="009F6CC7">
        <w:rPr>
          <w:rFonts w:ascii="Times New Roman" w:hAnsi="Times New Roman" w:cs="Times New Roman"/>
          <w:sz w:val="24"/>
          <w:szCs w:val="24"/>
        </w:rPr>
        <w:t xml:space="preserve"> Subsidiarity: </w:t>
      </w:r>
      <w:proofErr w:type="spellStart"/>
      <w:r w:rsidRPr="009F6CC7">
        <w:rPr>
          <w:rFonts w:ascii="Times New Roman" w:hAnsi="Times New Roman" w:cs="Times New Roman"/>
          <w:sz w:val="24"/>
          <w:szCs w:val="24"/>
        </w:rPr>
        <w:t>National</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Parliaments</w:t>
      </w:r>
      <w:proofErr w:type="spellEnd"/>
      <w:r w:rsidRPr="009F6CC7">
        <w:rPr>
          <w:rFonts w:ascii="Times New Roman" w:hAnsi="Times New Roman" w:cs="Times New Roman"/>
          <w:sz w:val="24"/>
          <w:szCs w:val="24"/>
        </w:rPr>
        <w:t xml:space="preserve"> and </w:t>
      </w:r>
      <w:proofErr w:type="spellStart"/>
      <w:r w:rsidRPr="009F6CC7">
        <w:rPr>
          <w:rFonts w:ascii="Times New Roman" w:hAnsi="Times New Roman" w:cs="Times New Roman"/>
          <w:sz w:val="24"/>
          <w:szCs w:val="24"/>
        </w:rPr>
        <w:t>the</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Logic</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of</w:t>
      </w:r>
      <w:proofErr w:type="spellEnd"/>
      <w:r w:rsidRPr="009F6CC7">
        <w:rPr>
          <w:rFonts w:ascii="Times New Roman" w:hAnsi="Times New Roman" w:cs="Times New Roman"/>
          <w:sz w:val="24"/>
          <w:szCs w:val="24"/>
        </w:rPr>
        <w:t xml:space="preserve"> </w:t>
      </w:r>
      <w:proofErr w:type="spellStart"/>
      <w:r w:rsidRPr="009F6CC7">
        <w:rPr>
          <w:rFonts w:ascii="Times New Roman" w:hAnsi="Times New Roman" w:cs="Times New Roman"/>
          <w:sz w:val="24"/>
          <w:szCs w:val="24"/>
        </w:rPr>
        <w:t>Arguing</w:t>
      </w:r>
      <w:proofErr w:type="spellEnd"/>
      <w:r w:rsidRPr="009F6CC7">
        <w:rPr>
          <w:rFonts w:ascii="Times New Roman" w:hAnsi="Times New Roman" w:cs="Times New Roman"/>
          <w:sz w:val="24"/>
          <w:szCs w:val="24"/>
        </w:rPr>
        <w:t xml:space="preserve"> in </w:t>
      </w:r>
      <w:proofErr w:type="spellStart"/>
      <w:r w:rsidRPr="009F6CC7">
        <w:rPr>
          <w:rFonts w:ascii="Times New Roman" w:hAnsi="Times New Roman" w:cs="Times New Roman"/>
          <w:sz w:val="24"/>
          <w:szCs w:val="24"/>
        </w:rPr>
        <w:t>the</w:t>
      </w:r>
      <w:proofErr w:type="spellEnd"/>
      <w:r w:rsidRPr="009F6CC7">
        <w:rPr>
          <w:rFonts w:ascii="Times New Roman" w:hAnsi="Times New Roman" w:cs="Times New Roman"/>
          <w:sz w:val="24"/>
          <w:szCs w:val="24"/>
        </w:rPr>
        <w:t xml:space="preserve"> EU. </w:t>
      </w:r>
      <w:proofErr w:type="spellStart"/>
      <w:r w:rsidRPr="009F6CC7">
        <w:rPr>
          <w:rFonts w:ascii="Times New Roman" w:hAnsi="Times New Roman" w:cs="Times New Roman"/>
          <w:i/>
          <w:sz w:val="24"/>
          <w:szCs w:val="24"/>
        </w:rPr>
        <w:t>Journal</w:t>
      </w:r>
      <w:proofErr w:type="spellEnd"/>
      <w:r w:rsidRPr="009F6CC7">
        <w:rPr>
          <w:rFonts w:ascii="Times New Roman" w:hAnsi="Times New Roman" w:cs="Times New Roman"/>
          <w:i/>
          <w:sz w:val="24"/>
          <w:szCs w:val="24"/>
        </w:rPr>
        <w:t xml:space="preserve"> </w:t>
      </w:r>
      <w:proofErr w:type="spellStart"/>
      <w:r w:rsidRPr="009F6CC7">
        <w:rPr>
          <w:rFonts w:ascii="Times New Roman" w:hAnsi="Times New Roman" w:cs="Times New Roman"/>
          <w:i/>
          <w:sz w:val="24"/>
          <w:szCs w:val="24"/>
        </w:rPr>
        <w:t>of</w:t>
      </w:r>
      <w:proofErr w:type="spellEnd"/>
      <w:r w:rsidRPr="009F6CC7">
        <w:rPr>
          <w:rFonts w:ascii="Times New Roman" w:hAnsi="Times New Roman" w:cs="Times New Roman"/>
          <w:i/>
          <w:sz w:val="24"/>
          <w:szCs w:val="24"/>
        </w:rPr>
        <w:t xml:space="preserve"> </w:t>
      </w:r>
      <w:proofErr w:type="spellStart"/>
      <w:r w:rsidRPr="009F6CC7">
        <w:rPr>
          <w:rFonts w:ascii="Times New Roman" w:hAnsi="Times New Roman" w:cs="Times New Roman"/>
          <w:i/>
          <w:sz w:val="24"/>
          <w:szCs w:val="24"/>
        </w:rPr>
        <w:t>Common</w:t>
      </w:r>
      <w:proofErr w:type="spellEnd"/>
      <w:r w:rsidRPr="009F6CC7">
        <w:rPr>
          <w:rFonts w:ascii="Times New Roman" w:hAnsi="Times New Roman" w:cs="Times New Roman"/>
          <w:i/>
          <w:sz w:val="24"/>
          <w:szCs w:val="24"/>
        </w:rPr>
        <w:t xml:space="preserve"> Market </w:t>
      </w:r>
      <w:proofErr w:type="spellStart"/>
      <w:r w:rsidRPr="009F6CC7">
        <w:rPr>
          <w:rFonts w:ascii="Times New Roman" w:hAnsi="Times New Roman" w:cs="Times New Roman"/>
          <w:i/>
          <w:sz w:val="24"/>
          <w:szCs w:val="24"/>
        </w:rPr>
        <w:t>Studies</w:t>
      </w:r>
      <w:proofErr w:type="spellEnd"/>
      <w:r>
        <w:rPr>
          <w:rFonts w:ascii="Times New Roman" w:hAnsi="Times New Roman" w:cs="Times New Roman"/>
          <w:sz w:val="24"/>
          <w:szCs w:val="24"/>
        </w:rPr>
        <w:t xml:space="preserve">, 2006, vol. 44,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2, s. 281-</w:t>
      </w:r>
      <w:r w:rsidRPr="009F6CC7">
        <w:rPr>
          <w:rFonts w:ascii="Times New Roman" w:hAnsi="Times New Roman" w:cs="Times New Roman"/>
          <w:sz w:val="24"/>
          <w:szCs w:val="24"/>
        </w:rPr>
        <w:t>304.</w:t>
      </w:r>
    </w:p>
    <w:p w:rsidR="00191B9E" w:rsidRDefault="00191B9E" w:rsidP="00191B9E">
      <w:pPr>
        <w:spacing w:line="360" w:lineRule="auto"/>
        <w:jc w:val="both"/>
        <w:rPr>
          <w:rFonts w:ascii="Times New Roman" w:hAnsi="Times New Roman" w:cs="Times New Roman"/>
          <w:sz w:val="24"/>
          <w:szCs w:val="24"/>
        </w:rPr>
      </w:pPr>
      <w:r w:rsidRPr="009530D6">
        <w:rPr>
          <w:rFonts w:ascii="Times New Roman" w:hAnsi="Times New Roman" w:cs="Times New Roman"/>
          <w:sz w:val="24"/>
          <w:szCs w:val="24"/>
        </w:rPr>
        <w:t xml:space="preserve">CRAIG, Paul, DE BÚRCA, </w:t>
      </w:r>
      <w:proofErr w:type="spellStart"/>
      <w:r w:rsidRPr="009530D6">
        <w:rPr>
          <w:rFonts w:ascii="Times New Roman" w:hAnsi="Times New Roman" w:cs="Times New Roman"/>
          <w:sz w:val="24"/>
          <w:szCs w:val="24"/>
        </w:rPr>
        <w:t>Gráinne</w:t>
      </w:r>
      <w:proofErr w:type="spellEnd"/>
      <w:r w:rsidRPr="009530D6">
        <w:rPr>
          <w:rFonts w:ascii="Times New Roman" w:hAnsi="Times New Roman" w:cs="Times New Roman"/>
          <w:sz w:val="24"/>
          <w:szCs w:val="24"/>
        </w:rPr>
        <w:t xml:space="preserve">. </w:t>
      </w:r>
      <w:r w:rsidRPr="009530D6">
        <w:rPr>
          <w:rFonts w:ascii="Times New Roman" w:hAnsi="Times New Roman" w:cs="Times New Roman"/>
          <w:i/>
          <w:sz w:val="24"/>
          <w:szCs w:val="24"/>
        </w:rPr>
        <w:t xml:space="preserve">EU </w:t>
      </w:r>
      <w:proofErr w:type="spellStart"/>
      <w:r w:rsidRPr="009530D6">
        <w:rPr>
          <w:rFonts w:ascii="Times New Roman" w:hAnsi="Times New Roman" w:cs="Times New Roman"/>
          <w:i/>
          <w:sz w:val="24"/>
          <w:szCs w:val="24"/>
        </w:rPr>
        <w:t>law</w:t>
      </w:r>
      <w:proofErr w:type="spellEnd"/>
      <w:r w:rsidRPr="009530D6">
        <w:rPr>
          <w:rFonts w:ascii="Times New Roman" w:hAnsi="Times New Roman" w:cs="Times New Roman"/>
          <w:i/>
          <w:sz w:val="24"/>
          <w:szCs w:val="24"/>
        </w:rPr>
        <w:t xml:space="preserve">: text, </w:t>
      </w:r>
      <w:proofErr w:type="spellStart"/>
      <w:r w:rsidRPr="009530D6">
        <w:rPr>
          <w:rFonts w:ascii="Times New Roman" w:hAnsi="Times New Roman" w:cs="Times New Roman"/>
          <w:i/>
          <w:sz w:val="24"/>
          <w:szCs w:val="24"/>
        </w:rPr>
        <w:t>cases</w:t>
      </w:r>
      <w:proofErr w:type="spellEnd"/>
      <w:r w:rsidRPr="009530D6">
        <w:rPr>
          <w:rFonts w:ascii="Times New Roman" w:hAnsi="Times New Roman" w:cs="Times New Roman"/>
          <w:i/>
          <w:sz w:val="24"/>
          <w:szCs w:val="24"/>
        </w:rPr>
        <w:t xml:space="preserve">, and </w:t>
      </w:r>
      <w:proofErr w:type="spellStart"/>
      <w:r w:rsidRPr="009530D6">
        <w:rPr>
          <w:rFonts w:ascii="Times New Roman" w:hAnsi="Times New Roman" w:cs="Times New Roman"/>
          <w:i/>
          <w:sz w:val="24"/>
          <w:szCs w:val="24"/>
        </w:rPr>
        <w:t>materials</w:t>
      </w:r>
      <w:proofErr w:type="spellEnd"/>
      <w:r w:rsidRPr="009530D6">
        <w:rPr>
          <w:rFonts w:ascii="Times New Roman" w:hAnsi="Times New Roman" w:cs="Times New Roman"/>
          <w:sz w:val="24"/>
          <w:szCs w:val="24"/>
        </w:rPr>
        <w:t xml:space="preserve">. 5th </w:t>
      </w:r>
      <w:proofErr w:type="spellStart"/>
      <w:r w:rsidRPr="009530D6">
        <w:rPr>
          <w:rFonts w:ascii="Times New Roman" w:hAnsi="Times New Roman" w:cs="Times New Roman"/>
          <w:sz w:val="24"/>
          <w:szCs w:val="24"/>
        </w:rPr>
        <w:t>ed</w:t>
      </w:r>
      <w:proofErr w:type="spellEnd"/>
      <w:r w:rsidRPr="009530D6">
        <w:rPr>
          <w:rFonts w:ascii="Times New Roman" w:hAnsi="Times New Roman" w:cs="Times New Roman"/>
          <w:sz w:val="24"/>
          <w:szCs w:val="24"/>
        </w:rPr>
        <w:t>. Oxford</w:t>
      </w:r>
      <w:r>
        <w:rPr>
          <w:rFonts w:ascii="Times New Roman" w:hAnsi="Times New Roman" w:cs="Times New Roman"/>
          <w:sz w:val="24"/>
          <w:szCs w:val="24"/>
        </w:rPr>
        <w:t xml:space="preserve">: Oxford University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2011. 1155 s.</w:t>
      </w:r>
    </w:p>
    <w:p w:rsidR="00191B9E" w:rsidRDefault="00191B9E" w:rsidP="00191B9E">
      <w:pPr>
        <w:spacing w:line="360" w:lineRule="auto"/>
        <w:jc w:val="both"/>
        <w:rPr>
          <w:rFonts w:ascii="Times New Roman" w:hAnsi="Times New Roman" w:cs="Times New Roman"/>
          <w:sz w:val="24"/>
          <w:szCs w:val="24"/>
        </w:rPr>
      </w:pPr>
      <w:r w:rsidRPr="00AA311F">
        <w:rPr>
          <w:rFonts w:ascii="Times New Roman" w:hAnsi="Times New Roman" w:cs="Times New Roman"/>
          <w:sz w:val="24"/>
          <w:szCs w:val="24"/>
        </w:rPr>
        <w:t xml:space="preserve">CRAIG, Paul. Subsidiarity: A </w:t>
      </w:r>
      <w:proofErr w:type="spellStart"/>
      <w:r w:rsidRPr="00AA311F">
        <w:rPr>
          <w:rFonts w:ascii="Times New Roman" w:hAnsi="Times New Roman" w:cs="Times New Roman"/>
          <w:sz w:val="24"/>
          <w:szCs w:val="24"/>
        </w:rPr>
        <w:t>Political</w:t>
      </w:r>
      <w:proofErr w:type="spellEnd"/>
      <w:r w:rsidRPr="00AA311F">
        <w:rPr>
          <w:rFonts w:ascii="Times New Roman" w:hAnsi="Times New Roman" w:cs="Times New Roman"/>
          <w:sz w:val="24"/>
          <w:szCs w:val="24"/>
        </w:rPr>
        <w:t xml:space="preserve"> and </w:t>
      </w:r>
      <w:proofErr w:type="spellStart"/>
      <w:r w:rsidRPr="00AA311F">
        <w:rPr>
          <w:rFonts w:ascii="Times New Roman" w:hAnsi="Times New Roman" w:cs="Times New Roman"/>
          <w:sz w:val="24"/>
          <w:szCs w:val="24"/>
        </w:rPr>
        <w:t>Legal</w:t>
      </w:r>
      <w:proofErr w:type="spellEnd"/>
      <w:r w:rsidRPr="00AA311F">
        <w:rPr>
          <w:rFonts w:ascii="Times New Roman" w:hAnsi="Times New Roman" w:cs="Times New Roman"/>
          <w:sz w:val="24"/>
          <w:szCs w:val="24"/>
        </w:rPr>
        <w:t xml:space="preserve"> </w:t>
      </w:r>
      <w:proofErr w:type="spellStart"/>
      <w:r w:rsidRPr="00AA311F">
        <w:rPr>
          <w:rFonts w:ascii="Times New Roman" w:hAnsi="Times New Roman" w:cs="Times New Roman"/>
          <w:sz w:val="24"/>
          <w:szCs w:val="24"/>
        </w:rPr>
        <w:t>Analysis</w:t>
      </w:r>
      <w:proofErr w:type="spellEnd"/>
      <w:r w:rsidRPr="00AA311F">
        <w:rPr>
          <w:rFonts w:ascii="Times New Roman" w:hAnsi="Times New Roman" w:cs="Times New Roman"/>
          <w:sz w:val="24"/>
          <w:szCs w:val="24"/>
        </w:rPr>
        <w:t xml:space="preserve">. </w:t>
      </w:r>
      <w:proofErr w:type="spellStart"/>
      <w:r w:rsidRPr="00AA311F">
        <w:rPr>
          <w:rFonts w:ascii="Times New Roman" w:hAnsi="Times New Roman" w:cs="Times New Roman"/>
          <w:i/>
          <w:sz w:val="24"/>
          <w:szCs w:val="24"/>
        </w:rPr>
        <w:t>Journal</w:t>
      </w:r>
      <w:proofErr w:type="spellEnd"/>
      <w:r w:rsidRPr="00AA311F">
        <w:rPr>
          <w:rFonts w:ascii="Times New Roman" w:hAnsi="Times New Roman" w:cs="Times New Roman"/>
          <w:i/>
          <w:sz w:val="24"/>
          <w:szCs w:val="24"/>
        </w:rPr>
        <w:t xml:space="preserve"> </w:t>
      </w:r>
      <w:proofErr w:type="spellStart"/>
      <w:r w:rsidRPr="00AA311F">
        <w:rPr>
          <w:rFonts w:ascii="Times New Roman" w:hAnsi="Times New Roman" w:cs="Times New Roman"/>
          <w:i/>
          <w:sz w:val="24"/>
          <w:szCs w:val="24"/>
        </w:rPr>
        <w:t>of</w:t>
      </w:r>
      <w:proofErr w:type="spellEnd"/>
      <w:r w:rsidRPr="00AA311F">
        <w:rPr>
          <w:rFonts w:ascii="Times New Roman" w:hAnsi="Times New Roman" w:cs="Times New Roman"/>
          <w:i/>
          <w:sz w:val="24"/>
          <w:szCs w:val="24"/>
        </w:rPr>
        <w:t xml:space="preserve"> </w:t>
      </w:r>
      <w:proofErr w:type="spellStart"/>
      <w:r w:rsidRPr="00AA311F">
        <w:rPr>
          <w:rFonts w:ascii="Times New Roman" w:hAnsi="Times New Roman" w:cs="Times New Roman"/>
          <w:i/>
          <w:sz w:val="24"/>
          <w:szCs w:val="24"/>
        </w:rPr>
        <w:t>Common</w:t>
      </w:r>
      <w:proofErr w:type="spellEnd"/>
      <w:r w:rsidRPr="00AA311F">
        <w:rPr>
          <w:rFonts w:ascii="Times New Roman" w:hAnsi="Times New Roman" w:cs="Times New Roman"/>
          <w:i/>
          <w:sz w:val="24"/>
          <w:szCs w:val="24"/>
        </w:rPr>
        <w:t xml:space="preserve"> Market </w:t>
      </w:r>
      <w:proofErr w:type="spellStart"/>
      <w:r w:rsidRPr="00AA311F">
        <w:rPr>
          <w:rFonts w:ascii="Times New Roman" w:hAnsi="Times New Roman" w:cs="Times New Roman"/>
          <w:i/>
          <w:sz w:val="24"/>
          <w:szCs w:val="24"/>
        </w:rPr>
        <w:t>Studies</w:t>
      </w:r>
      <w:proofErr w:type="spellEnd"/>
      <w:r w:rsidRPr="00AA311F">
        <w:rPr>
          <w:rFonts w:ascii="Times New Roman" w:hAnsi="Times New Roman" w:cs="Times New Roman"/>
          <w:sz w:val="24"/>
          <w:szCs w:val="24"/>
        </w:rPr>
        <w:t>, 2</w:t>
      </w:r>
      <w:r>
        <w:rPr>
          <w:rFonts w:ascii="Times New Roman" w:hAnsi="Times New Roman" w:cs="Times New Roman"/>
          <w:sz w:val="24"/>
          <w:szCs w:val="24"/>
        </w:rPr>
        <w:t xml:space="preserve">012, vol. 50,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S1, s. 72-87</w:t>
      </w:r>
      <w:r w:rsidRPr="00AA311F">
        <w:rPr>
          <w:rFonts w:ascii="Times New Roman" w:hAnsi="Times New Roman" w:cs="Times New Roman"/>
          <w:sz w:val="24"/>
          <w:szCs w:val="24"/>
        </w:rPr>
        <w:t>.</w:t>
      </w:r>
    </w:p>
    <w:p w:rsidR="00191B9E" w:rsidRPr="00394587" w:rsidRDefault="00191B9E" w:rsidP="00191B9E">
      <w:pPr>
        <w:pStyle w:val="Textpoznpodarou"/>
        <w:spacing w:line="360" w:lineRule="auto"/>
        <w:jc w:val="both"/>
        <w:rPr>
          <w:rFonts w:ascii="Times New Roman" w:hAnsi="Times New Roman" w:cs="Times New Roman"/>
          <w:sz w:val="24"/>
        </w:rPr>
      </w:pPr>
      <w:r w:rsidRPr="00394587">
        <w:rPr>
          <w:rFonts w:ascii="Times New Roman" w:hAnsi="Times New Roman" w:cs="Times New Roman"/>
          <w:sz w:val="24"/>
        </w:rPr>
        <w:t xml:space="preserve">CSÚRI, András. </w:t>
      </w:r>
      <w:proofErr w:type="spellStart"/>
      <w:r w:rsidRPr="00394587">
        <w:rPr>
          <w:rFonts w:ascii="Times New Roman" w:hAnsi="Times New Roman" w:cs="Times New Roman"/>
          <w:sz w:val="24"/>
        </w:rPr>
        <w:t>The</w:t>
      </w:r>
      <w:proofErr w:type="spellEnd"/>
      <w:r w:rsidRPr="00394587">
        <w:rPr>
          <w:rFonts w:ascii="Times New Roman" w:hAnsi="Times New Roman" w:cs="Times New Roman"/>
          <w:sz w:val="24"/>
        </w:rPr>
        <w:t xml:space="preserve"> </w:t>
      </w:r>
      <w:proofErr w:type="spellStart"/>
      <w:r w:rsidRPr="00394587">
        <w:rPr>
          <w:rFonts w:ascii="Times New Roman" w:hAnsi="Times New Roman" w:cs="Times New Roman"/>
          <w:sz w:val="24"/>
        </w:rPr>
        <w:t>Proposed</w:t>
      </w:r>
      <w:proofErr w:type="spellEnd"/>
      <w:r w:rsidRPr="00394587">
        <w:rPr>
          <w:rFonts w:ascii="Times New Roman" w:hAnsi="Times New Roman" w:cs="Times New Roman"/>
          <w:sz w:val="24"/>
        </w:rPr>
        <w:t xml:space="preserve"> </w:t>
      </w:r>
      <w:proofErr w:type="spellStart"/>
      <w:r w:rsidRPr="00394587">
        <w:rPr>
          <w:rFonts w:ascii="Times New Roman" w:hAnsi="Times New Roman" w:cs="Times New Roman"/>
          <w:sz w:val="24"/>
        </w:rPr>
        <w:t>European</w:t>
      </w:r>
      <w:proofErr w:type="spellEnd"/>
      <w:r w:rsidRPr="00394587">
        <w:rPr>
          <w:rFonts w:ascii="Times New Roman" w:hAnsi="Times New Roman" w:cs="Times New Roman"/>
          <w:sz w:val="24"/>
        </w:rPr>
        <w:t xml:space="preserve"> Public </w:t>
      </w:r>
      <w:proofErr w:type="spellStart"/>
      <w:r w:rsidRPr="00394587">
        <w:rPr>
          <w:rFonts w:ascii="Times New Roman" w:hAnsi="Times New Roman" w:cs="Times New Roman"/>
          <w:sz w:val="24"/>
        </w:rPr>
        <w:t>Prosecutor´s</w:t>
      </w:r>
      <w:proofErr w:type="spellEnd"/>
      <w:r w:rsidRPr="00394587">
        <w:rPr>
          <w:rFonts w:ascii="Times New Roman" w:hAnsi="Times New Roman" w:cs="Times New Roman"/>
          <w:sz w:val="24"/>
        </w:rPr>
        <w:t xml:space="preserve"> </w:t>
      </w:r>
      <w:proofErr w:type="gramStart"/>
      <w:r w:rsidRPr="00394587">
        <w:rPr>
          <w:rFonts w:ascii="Times New Roman" w:hAnsi="Times New Roman" w:cs="Times New Roman"/>
          <w:sz w:val="24"/>
        </w:rPr>
        <w:t xml:space="preserve">Office - </w:t>
      </w:r>
      <w:proofErr w:type="spellStart"/>
      <w:r w:rsidRPr="00394587">
        <w:rPr>
          <w:rFonts w:ascii="Times New Roman" w:hAnsi="Times New Roman" w:cs="Times New Roman"/>
          <w:sz w:val="24"/>
        </w:rPr>
        <w:t>from</w:t>
      </w:r>
      <w:proofErr w:type="spellEnd"/>
      <w:proofErr w:type="gramEnd"/>
      <w:r w:rsidRPr="00394587">
        <w:rPr>
          <w:rFonts w:ascii="Times New Roman" w:hAnsi="Times New Roman" w:cs="Times New Roman"/>
          <w:sz w:val="24"/>
        </w:rPr>
        <w:t xml:space="preserve"> a Trojan </w:t>
      </w:r>
      <w:proofErr w:type="spellStart"/>
      <w:r w:rsidRPr="00394587">
        <w:rPr>
          <w:rFonts w:ascii="Times New Roman" w:hAnsi="Times New Roman" w:cs="Times New Roman"/>
          <w:sz w:val="24"/>
        </w:rPr>
        <w:t>Horse</w:t>
      </w:r>
      <w:proofErr w:type="spellEnd"/>
      <w:r w:rsidRPr="00394587">
        <w:rPr>
          <w:rFonts w:ascii="Times New Roman" w:hAnsi="Times New Roman" w:cs="Times New Roman"/>
          <w:sz w:val="24"/>
        </w:rPr>
        <w:t xml:space="preserve"> to a </w:t>
      </w:r>
      <w:proofErr w:type="spellStart"/>
      <w:r w:rsidRPr="00394587">
        <w:rPr>
          <w:rFonts w:ascii="Times New Roman" w:hAnsi="Times New Roman" w:cs="Times New Roman"/>
          <w:sz w:val="24"/>
        </w:rPr>
        <w:t>White</w:t>
      </w:r>
      <w:proofErr w:type="spellEnd"/>
      <w:r w:rsidRPr="00394587">
        <w:rPr>
          <w:rFonts w:ascii="Times New Roman" w:hAnsi="Times New Roman" w:cs="Times New Roman"/>
          <w:sz w:val="24"/>
        </w:rPr>
        <w:t xml:space="preserve"> </w:t>
      </w:r>
      <w:proofErr w:type="spellStart"/>
      <w:r w:rsidRPr="00394587">
        <w:rPr>
          <w:rFonts w:ascii="Times New Roman" w:hAnsi="Times New Roman" w:cs="Times New Roman"/>
          <w:sz w:val="24"/>
        </w:rPr>
        <w:t>Elephant</w:t>
      </w:r>
      <w:proofErr w:type="spellEnd"/>
      <w:r w:rsidRPr="00394587">
        <w:rPr>
          <w:rFonts w:ascii="Times New Roman" w:hAnsi="Times New Roman" w:cs="Times New Roman"/>
          <w:sz w:val="24"/>
        </w:rPr>
        <w:t xml:space="preserve">? </w:t>
      </w:r>
      <w:r w:rsidRPr="00394587">
        <w:rPr>
          <w:rFonts w:ascii="Times New Roman" w:hAnsi="Times New Roman" w:cs="Times New Roman"/>
          <w:i/>
          <w:sz w:val="24"/>
        </w:rPr>
        <w:t xml:space="preserve">Cambridge </w:t>
      </w:r>
      <w:proofErr w:type="spellStart"/>
      <w:r w:rsidRPr="00394587">
        <w:rPr>
          <w:rFonts w:ascii="Times New Roman" w:hAnsi="Times New Roman" w:cs="Times New Roman"/>
          <w:i/>
          <w:sz w:val="24"/>
        </w:rPr>
        <w:t>Yearbook</w:t>
      </w:r>
      <w:proofErr w:type="spellEnd"/>
      <w:r w:rsidRPr="00394587">
        <w:rPr>
          <w:rFonts w:ascii="Times New Roman" w:hAnsi="Times New Roman" w:cs="Times New Roman"/>
          <w:i/>
          <w:sz w:val="24"/>
        </w:rPr>
        <w:t xml:space="preserve"> </w:t>
      </w:r>
      <w:proofErr w:type="spellStart"/>
      <w:r w:rsidRPr="00394587">
        <w:rPr>
          <w:rFonts w:ascii="Times New Roman" w:hAnsi="Times New Roman" w:cs="Times New Roman"/>
          <w:i/>
          <w:sz w:val="24"/>
        </w:rPr>
        <w:t>of</w:t>
      </w:r>
      <w:proofErr w:type="spellEnd"/>
      <w:r w:rsidRPr="00394587">
        <w:rPr>
          <w:rFonts w:ascii="Times New Roman" w:hAnsi="Times New Roman" w:cs="Times New Roman"/>
          <w:i/>
          <w:sz w:val="24"/>
        </w:rPr>
        <w:t xml:space="preserve"> </w:t>
      </w:r>
      <w:proofErr w:type="spellStart"/>
      <w:r w:rsidRPr="00394587">
        <w:rPr>
          <w:rFonts w:ascii="Times New Roman" w:hAnsi="Times New Roman" w:cs="Times New Roman"/>
          <w:i/>
          <w:sz w:val="24"/>
        </w:rPr>
        <w:t>European</w:t>
      </w:r>
      <w:proofErr w:type="spellEnd"/>
      <w:r w:rsidRPr="00394587">
        <w:rPr>
          <w:rFonts w:ascii="Times New Roman" w:hAnsi="Times New Roman" w:cs="Times New Roman"/>
          <w:i/>
          <w:sz w:val="24"/>
        </w:rPr>
        <w:t xml:space="preserve"> </w:t>
      </w:r>
      <w:proofErr w:type="spellStart"/>
      <w:r w:rsidRPr="00394587">
        <w:rPr>
          <w:rFonts w:ascii="Times New Roman" w:hAnsi="Times New Roman" w:cs="Times New Roman"/>
          <w:i/>
          <w:sz w:val="24"/>
        </w:rPr>
        <w:t>Legal</w:t>
      </w:r>
      <w:proofErr w:type="spellEnd"/>
      <w:r w:rsidRPr="00394587">
        <w:rPr>
          <w:rFonts w:ascii="Times New Roman" w:hAnsi="Times New Roman" w:cs="Times New Roman"/>
          <w:i/>
          <w:sz w:val="24"/>
        </w:rPr>
        <w:t xml:space="preserve"> </w:t>
      </w:r>
      <w:proofErr w:type="spellStart"/>
      <w:r w:rsidRPr="00394587">
        <w:rPr>
          <w:rFonts w:ascii="Times New Roman" w:hAnsi="Times New Roman" w:cs="Times New Roman"/>
          <w:i/>
          <w:sz w:val="24"/>
        </w:rPr>
        <w:t>Studies</w:t>
      </w:r>
      <w:proofErr w:type="spellEnd"/>
      <w:r w:rsidRPr="00394587">
        <w:rPr>
          <w:rFonts w:ascii="Times New Roman" w:hAnsi="Times New Roman" w:cs="Times New Roman"/>
          <w:sz w:val="24"/>
        </w:rPr>
        <w:t>, 2016, vol. 18, s. 122-151.</w:t>
      </w:r>
    </w:p>
    <w:p w:rsidR="00191B9E" w:rsidRPr="00394587" w:rsidRDefault="00191B9E" w:rsidP="00191B9E">
      <w:pPr>
        <w:pStyle w:val="Textpoznpodarou"/>
        <w:spacing w:line="360" w:lineRule="auto"/>
        <w:jc w:val="both"/>
        <w:rPr>
          <w:rFonts w:ascii="Times New Roman" w:hAnsi="Times New Roman" w:cs="Times New Roman"/>
        </w:rPr>
      </w:pPr>
    </w:p>
    <w:p w:rsidR="00191B9E" w:rsidRDefault="00191B9E" w:rsidP="00191B9E">
      <w:pPr>
        <w:spacing w:line="360" w:lineRule="auto"/>
        <w:jc w:val="both"/>
        <w:rPr>
          <w:rFonts w:ascii="Times New Roman" w:hAnsi="Times New Roman" w:cs="Times New Roman"/>
          <w:sz w:val="24"/>
          <w:szCs w:val="24"/>
        </w:rPr>
      </w:pPr>
      <w:r w:rsidRPr="00FD3668">
        <w:rPr>
          <w:rFonts w:ascii="Times New Roman" w:hAnsi="Times New Roman" w:cs="Times New Roman"/>
          <w:sz w:val="24"/>
          <w:szCs w:val="24"/>
        </w:rPr>
        <w:t xml:space="preserve">CYGAN, Adam. </w:t>
      </w:r>
      <w:proofErr w:type="spellStart"/>
      <w:r w:rsidRPr="00FD3668">
        <w:rPr>
          <w:rFonts w:ascii="Times New Roman" w:hAnsi="Times New Roman" w:cs="Times New Roman"/>
          <w:sz w:val="24"/>
          <w:szCs w:val="24"/>
        </w:rPr>
        <w:t>National</w:t>
      </w:r>
      <w:proofErr w:type="spellEnd"/>
      <w:r w:rsidRPr="00FD3668">
        <w:rPr>
          <w:rFonts w:ascii="Times New Roman" w:hAnsi="Times New Roman" w:cs="Times New Roman"/>
          <w:sz w:val="24"/>
          <w:szCs w:val="24"/>
        </w:rPr>
        <w:t xml:space="preserve"> </w:t>
      </w:r>
      <w:proofErr w:type="spellStart"/>
      <w:r w:rsidRPr="00FD3668">
        <w:rPr>
          <w:rFonts w:ascii="Times New Roman" w:hAnsi="Times New Roman" w:cs="Times New Roman"/>
          <w:sz w:val="24"/>
          <w:szCs w:val="24"/>
        </w:rPr>
        <w:t>parliaments</w:t>
      </w:r>
      <w:proofErr w:type="spellEnd"/>
      <w:r w:rsidRPr="00FD3668">
        <w:rPr>
          <w:rFonts w:ascii="Times New Roman" w:hAnsi="Times New Roman" w:cs="Times New Roman"/>
          <w:sz w:val="24"/>
          <w:szCs w:val="24"/>
        </w:rPr>
        <w:t xml:space="preserve"> </w:t>
      </w:r>
      <w:proofErr w:type="spellStart"/>
      <w:r w:rsidRPr="00FD3668">
        <w:rPr>
          <w:rFonts w:ascii="Times New Roman" w:hAnsi="Times New Roman" w:cs="Times New Roman"/>
          <w:sz w:val="24"/>
          <w:szCs w:val="24"/>
        </w:rPr>
        <w:t>within</w:t>
      </w:r>
      <w:proofErr w:type="spellEnd"/>
      <w:r w:rsidRPr="00FD3668">
        <w:rPr>
          <w:rFonts w:ascii="Times New Roman" w:hAnsi="Times New Roman" w:cs="Times New Roman"/>
          <w:sz w:val="24"/>
          <w:szCs w:val="24"/>
        </w:rPr>
        <w:t xml:space="preserve"> </w:t>
      </w:r>
      <w:proofErr w:type="spellStart"/>
      <w:r w:rsidRPr="00FD3668">
        <w:rPr>
          <w:rFonts w:ascii="Times New Roman" w:hAnsi="Times New Roman" w:cs="Times New Roman"/>
          <w:sz w:val="24"/>
          <w:szCs w:val="24"/>
        </w:rPr>
        <w:t>the</w:t>
      </w:r>
      <w:proofErr w:type="spellEnd"/>
      <w:r w:rsidRPr="00FD3668">
        <w:rPr>
          <w:rFonts w:ascii="Times New Roman" w:hAnsi="Times New Roman" w:cs="Times New Roman"/>
          <w:sz w:val="24"/>
          <w:szCs w:val="24"/>
        </w:rPr>
        <w:t xml:space="preserve"> EU polity—no </w:t>
      </w:r>
      <w:proofErr w:type="spellStart"/>
      <w:r w:rsidRPr="00FD3668">
        <w:rPr>
          <w:rFonts w:ascii="Times New Roman" w:hAnsi="Times New Roman" w:cs="Times New Roman"/>
          <w:sz w:val="24"/>
          <w:szCs w:val="24"/>
        </w:rPr>
        <w:t>longer</w:t>
      </w:r>
      <w:proofErr w:type="spellEnd"/>
      <w:r w:rsidRPr="00FD3668">
        <w:rPr>
          <w:rFonts w:ascii="Times New Roman" w:hAnsi="Times New Roman" w:cs="Times New Roman"/>
          <w:sz w:val="24"/>
          <w:szCs w:val="24"/>
        </w:rPr>
        <w:t xml:space="preserve"> </w:t>
      </w:r>
      <w:proofErr w:type="spellStart"/>
      <w:r w:rsidRPr="00FD3668">
        <w:rPr>
          <w:rFonts w:ascii="Times New Roman" w:hAnsi="Times New Roman" w:cs="Times New Roman"/>
          <w:sz w:val="24"/>
          <w:szCs w:val="24"/>
        </w:rPr>
        <w:t>losers</w:t>
      </w:r>
      <w:proofErr w:type="spellEnd"/>
      <w:r w:rsidRPr="00FD3668">
        <w:rPr>
          <w:rFonts w:ascii="Times New Roman" w:hAnsi="Times New Roman" w:cs="Times New Roman"/>
          <w:sz w:val="24"/>
          <w:szCs w:val="24"/>
        </w:rPr>
        <w:t xml:space="preserve"> but </w:t>
      </w:r>
      <w:proofErr w:type="spellStart"/>
      <w:r w:rsidRPr="00FD3668">
        <w:rPr>
          <w:rFonts w:ascii="Times New Roman" w:hAnsi="Times New Roman" w:cs="Times New Roman"/>
          <w:sz w:val="24"/>
          <w:szCs w:val="24"/>
        </w:rPr>
        <w:t>hardly</w:t>
      </w:r>
      <w:proofErr w:type="spellEnd"/>
      <w:r w:rsidRPr="00FD3668">
        <w:rPr>
          <w:rFonts w:ascii="Times New Roman" w:hAnsi="Times New Roman" w:cs="Times New Roman"/>
          <w:sz w:val="24"/>
          <w:szCs w:val="24"/>
        </w:rPr>
        <w:t xml:space="preserve"> </w:t>
      </w:r>
      <w:proofErr w:type="spellStart"/>
      <w:r w:rsidRPr="00FD3668">
        <w:rPr>
          <w:rFonts w:ascii="Times New Roman" w:hAnsi="Times New Roman" w:cs="Times New Roman"/>
          <w:sz w:val="24"/>
          <w:szCs w:val="24"/>
        </w:rPr>
        <w:t>victorious</w:t>
      </w:r>
      <w:proofErr w:type="spellEnd"/>
      <w:r w:rsidRPr="00FD3668">
        <w:rPr>
          <w:rFonts w:ascii="Times New Roman" w:hAnsi="Times New Roman" w:cs="Times New Roman"/>
          <w:sz w:val="24"/>
          <w:szCs w:val="24"/>
        </w:rPr>
        <w:t xml:space="preserve">. </w:t>
      </w:r>
      <w:r w:rsidRPr="00FD3668">
        <w:rPr>
          <w:rFonts w:ascii="Times New Roman" w:hAnsi="Times New Roman" w:cs="Times New Roman"/>
          <w:i/>
          <w:sz w:val="24"/>
          <w:szCs w:val="24"/>
        </w:rPr>
        <w:t xml:space="preserve">ERA </w:t>
      </w:r>
      <w:proofErr w:type="spellStart"/>
      <w:r w:rsidRPr="00FD3668">
        <w:rPr>
          <w:rFonts w:ascii="Times New Roman" w:hAnsi="Times New Roman" w:cs="Times New Roman"/>
          <w:i/>
          <w:sz w:val="24"/>
          <w:szCs w:val="24"/>
        </w:rPr>
        <w:t>Forum</w:t>
      </w:r>
      <w:proofErr w:type="spellEnd"/>
      <w:r>
        <w:rPr>
          <w:rFonts w:ascii="Times New Roman" w:hAnsi="Times New Roman" w:cs="Times New Roman"/>
          <w:sz w:val="24"/>
          <w:szCs w:val="24"/>
        </w:rPr>
        <w:t xml:space="preserve">, 2012, vol. 12,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4, s. 517-533</w:t>
      </w:r>
      <w:r w:rsidRPr="00FD3668">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9617F9">
        <w:rPr>
          <w:rFonts w:ascii="Times New Roman" w:hAnsi="Times New Roman" w:cs="Times New Roman"/>
          <w:sz w:val="24"/>
          <w:szCs w:val="24"/>
        </w:rPr>
        <w:t xml:space="preserve">ČAKRT, František. Lisabonská smlouva a národní parlamenty. </w:t>
      </w:r>
      <w:r w:rsidRPr="009617F9">
        <w:rPr>
          <w:rFonts w:ascii="Times New Roman" w:hAnsi="Times New Roman" w:cs="Times New Roman"/>
          <w:i/>
          <w:sz w:val="24"/>
          <w:szCs w:val="24"/>
        </w:rPr>
        <w:t>Jurisprudence</w:t>
      </w:r>
      <w:r w:rsidRPr="009617F9">
        <w:rPr>
          <w:rFonts w:ascii="Times New Roman" w:hAnsi="Times New Roman" w:cs="Times New Roman"/>
          <w:sz w:val="24"/>
          <w:szCs w:val="24"/>
        </w:rPr>
        <w:t>, 2010, č. 4, s</w:t>
      </w:r>
      <w:r>
        <w:rPr>
          <w:rFonts w:ascii="Times New Roman" w:hAnsi="Times New Roman" w:cs="Times New Roman"/>
          <w:sz w:val="24"/>
          <w:szCs w:val="24"/>
        </w:rPr>
        <w:t>. 4-13</w:t>
      </w:r>
      <w:r w:rsidRPr="009617F9">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77428D">
        <w:rPr>
          <w:rFonts w:ascii="Times New Roman" w:hAnsi="Times New Roman" w:cs="Times New Roman"/>
          <w:sz w:val="24"/>
          <w:szCs w:val="24"/>
        </w:rPr>
        <w:t xml:space="preserve">DE BÚRCA, </w:t>
      </w:r>
      <w:proofErr w:type="spellStart"/>
      <w:r w:rsidRPr="0077428D">
        <w:rPr>
          <w:rFonts w:ascii="Times New Roman" w:hAnsi="Times New Roman" w:cs="Times New Roman"/>
          <w:sz w:val="24"/>
          <w:szCs w:val="24"/>
        </w:rPr>
        <w:t>Gráinne</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The</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Principle</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of</w:t>
      </w:r>
      <w:proofErr w:type="spellEnd"/>
      <w:r w:rsidRPr="0077428D">
        <w:rPr>
          <w:rFonts w:ascii="Times New Roman" w:hAnsi="Times New Roman" w:cs="Times New Roman"/>
          <w:sz w:val="24"/>
          <w:szCs w:val="24"/>
        </w:rPr>
        <w:t xml:space="preserve"> Subsidiarity and </w:t>
      </w:r>
      <w:proofErr w:type="spellStart"/>
      <w:r w:rsidRPr="0077428D">
        <w:rPr>
          <w:rFonts w:ascii="Times New Roman" w:hAnsi="Times New Roman" w:cs="Times New Roman"/>
          <w:sz w:val="24"/>
          <w:szCs w:val="24"/>
        </w:rPr>
        <w:t>the</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Court</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of</w:t>
      </w:r>
      <w:proofErr w:type="spellEnd"/>
      <w:r w:rsidRPr="0077428D">
        <w:rPr>
          <w:rFonts w:ascii="Times New Roman" w:hAnsi="Times New Roman" w:cs="Times New Roman"/>
          <w:sz w:val="24"/>
          <w:szCs w:val="24"/>
        </w:rPr>
        <w:t xml:space="preserve"> Justice as </w:t>
      </w:r>
      <w:proofErr w:type="spellStart"/>
      <w:r w:rsidRPr="0077428D">
        <w:rPr>
          <w:rFonts w:ascii="Times New Roman" w:hAnsi="Times New Roman" w:cs="Times New Roman"/>
          <w:sz w:val="24"/>
          <w:szCs w:val="24"/>
        </w:rPr>
        <w:t>an</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Institutional</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sz w:val="24"/>
          <w:szCs w:val="24"/>
        </w:rPr>
        <w:t>Actor</w:t>
      </w:r>
      <w:proofErr w:type="spellEnd"/>
      <w:r w:rsidRPr="0077428D">
        <w:rPr>
          <w:rFonts w:ascii="Times New Roman" w:hAnsi="Times New Roman" w:cs="Times New Roman"/>
          <w:sz w:val="24"/>
          <w:szCs w:val="24"/>
        </w:rPr>
        <w:t xml:space="preserve">. </w:t>
      </w:r>
      <w:proofErr w:type="spellStart"/>
      <w:r w:rsidRPr="0077428D">
        <w:rPr>
          <w:rFonts w:ascii="Times New Roman" w:hAnsi="Times New Roman" w:cs="Times New Roman"/>
          <w:i/>
          <w:sz w:val="24"/>
          <w:szCs w:val="24"/>
        </w:rPr>
        <w:t>Journal</w:t>
      </w:r>
      <w:proofErr w:type="spellEnd"/>
      <w:r w:rsidRPr="0077428D">
        <w:rPr>
          <w:rFonts w:ascii="Times New Roman" w:hAnsi="Times New Roman" w:cs="Times New Roman"/>
          <w:i/>
          <w:sz w:val="24"/>
          <w:szCs w:val="24"/>
        </w:rPr>
        <w:t xml:space="preserve"> </w:t>
      </w:r>
      <w:proofErr w:type="spellStart"/>
      <w:r w:rsidRPr="0077428D">
        <w:rPr>
          <w:rFonts w:ascii="Times New Roman" w:hAnsi="Times New Roman" w:cs="Times New Roman"/>
          <w:i/>
          <w:sz w:val="24"/>
          <w:szCs w:val="24"/>
        </w:rPr>
        <w:t>of</w:t>
      </w:r>
      <w:proofErr w:type="spellEnd"/>
      <w:r w:rsidRPr="0077428D">
        <w:rPr>
          <w:rFonts w:ascii="Times New Roman" w:hAnsi="Times New Roman" w:cs="Times New Roman"/>
          <w:i/>
          <w:sz w:val="24"/>
          <w:szCs w:val="24"/>
        </w:rPr>
        <w:t xml:space="preserve"> </w:t>
      </w:r>
      <w:proofErr w:type="spellStart"/>
      <w:r w:rsidRPr="0077428D">
        <w:rPr>
          <w:rFonts w:ascii="Times New Roman" w:hAnsi="Times New Roman" w:cs="Times New Roman"/>
          <w:i/>
          <w:sz w:val="24"/>
          <w:szCs w:val="24"/>
        </w:rPr>
        <w:t>Common</w:t>
      </w:r>
      <w:proofErr w:type="spellEnd"/>
      <w:r w:rsidRPr="0077428D">
        <w:rPr>
          <w:rFonts w:ascii="Times New Roman" w:hAnsi="Times New Roman" w:cs="Times New Roman"/>
          <w:i/>
          <w:sz w:val="24"/>
          <w:szCs w:val="24"/>
        </w:rPr>
        <w:t xml:space="preserve"> Market </w:t>
      </w:r>
      <w:proofErr w:type="spellStart"/>
      <w:r w:rsidRPr="0077428D">
        <w:rPr>
          <w:rFonts w:ascii="Times New Roman" w:hAnsi="Times New Roman" w:cs="Times New Roman"/>
          <w:i/>
          <w:sz w:val="24"/>
          <w:szCs w:val="24"/>
        </w:rPr>
        <w:t>Studies</w:t>
      </w:r>
      <w:proofErr w:type="spellEnd"/>
      <w:r>
        <w:rPr>
          <w:rFonts w:ascii="Times New Roman" w:hAnsi="Times New Roman" w:cs="Times New Roman"/>
          <w:sz w:val="24"/>
          <w:szCs w:val="24"/>
        </w:rPr>
        <w:t>, 1998, vol. 36, no. 2, s. 217-235.</w:t>
      </w:r>
    </w:p>
    <w:p w:rsidR="00191B9E" w:rsidRDefault="00191B9E" w:rsidP="00191B9E">
      <w:pPr>
        <w:spacing w:line="360" w:lineRule="auto"/>
        <w:jc w:val="both"/>
        <w:rPr>
          <w:rFonts w:ascii="Times New Roman" w:hAnsi="Times New Roman" w:cs="Times New Roman"/>
          <w:sz w:val="24"/>
          <w:szCs w:val="24"/>
        </w:rPr>
      </w:pPr>
      <w:r w:rsidRPr="00DD128E">
        <w:rPr>
          <w:rFonts w:ascii="Times New Roman" w:hAnsi="Times New Roman" w:cs="Times New Roman"/>
          <w:sz w:val="24"/>
          <w:szCs w:val="24"/>
        </w:rPr>
        <w:t xml:space="preserve">DE WILDE, </w:t>
      </w:r>
      <w:proofErr w:type="spellStart"/>
      <w:r w:rsidRPr="00DD128E">
        <w:rPr>
          <w:rFonts w:ascii="Times New Roman" w:hAnsi="Times New Roman" w:cs="Times New Roman"/>
          <w:sz w:val="24"/>
          <w:szCs w:val="24"/>
        </w:rPr>
        <w:t>Pieter</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Why</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the</w:t>
      </w:r>
      <w:proofErr w:type="spellEnd"/>
      <w:r w:rsidRPr="00DD128E">
        <w:rPr>
          <w:rFonts w:ascii="Times New Roman" w:hAnsi="Times New Roman" w:cs="Times New Roman"/>
          <w:sz w:val="24"/>
          <w:szCs w:val="24"/>
        </w:rPr>
        <w:t xml:space="preserve"> Early </w:t>
      </w:r>
      <w:proofErr w:type="spellStart"/>
      <w:r w:rsidRPr="00DD128E">
        <w:rPr>
          <w:rFonts w:ascii="Times New Roman" w:hAnsi="Times New Roman" w:cs="Times New Roman"/>
          <w:sz w:val="24"/>
          <w:szCs w:val="24"/>
        </w:rPr>
        <w:t>Warning</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Mechanism</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does</w:t>
      </w:r>
      <w:proofErr w:type="spellEnd"/>
      <w:r w:rsidRPr="00DD128E">
        <w:rPr>
          <w:rFonts w:ascii="Times New Roman" w:hAnsi="Times New Roman" w:cs="Times New Roman"/>
          <w:sz w:val="24"/>
          <w:szCs w:val="24"/>
        </w:rPr>
        <w:t xml:space="preserve"> not </w:t>
      </w:r>
      <w:proofErr w:type="spellStart"/>
      <w:r w:rsidRPr="00DD128E">
        <w:rPr>
          <w:rFonts w:ascii="Times New Roman" w:hAnsi="Times New Roman" w:cs="Times New Roman"/>
          <w:sz w:val="24"/>
          <w:szCs w:val="24"/>
        </w:rPr>
        <w:t>Alleviate</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the</w:t>
      </w:r>
      <w:proofErr w:type="spellEnd"/>
      <w:r w:rsidRPr="00DD128E">
        <w:rPr>
          <w:rFonts w:ascii="Times New Roman" w:hAnsi="Times New Roman" w:cs="Times New Roman"/>
          <w:sz w:val="24"/>
          <w:szCs w:val="24"/>
        </w:rPr>
        <w:t xml:space="preserve"> </w:t>
      </w:r>
      <w:proofErr w:type="spellStart"/>
      <w:r w:rsidRPr="00DD128E">
        <w:rPr>
          <w:rFonts w:ascii="Times New Roman" w:hAnsi="Times New Roman" w:cs="Times New Roman"/>
          <w:sz w:val="24"/>
          <w:szCs w:val="24"/>
        </w:rPr>
        <w:t>Democratic</w:t>
      </w:r>
      <w:proofErr w:type="spellEnd"/>
      <w:r w:rsidRPr="00DD128E">
        <w:rPr>
          <w:rFonts w:ascii="Times New Roman" w:hAnsi="Times New Roman" w:cs="Times New Roman"/>
          <w:sz w:val="24"/>
          <w:szCs w:val="24"/>
        </w:rPr>
        <w:t xml:space="preserve"> Deficit. </w:t>
      </w:r>
      <w:r w:rsidRPr="00DD128E">
        <w:rPr>
          <w:rFonts w:ascii="Times New Roman" w:hAnsi="Times New Roman" w:cs="Times New Roman"/>
          <w:i/>
          <w:sz w:val="24"/>
          <w:szCs w:val="24"/>
        </w:rPr>
        <w:t>OPAL</w:t>
      </w:r>
      <w:r w:rsidRPr="00DD128E">
        <w:rPr>
          <w:rFonts w:ascii="Times New Roman" w:hAnsi="Times New Roman" w:cs="Times New Roman"/>
          <w:sz w:val="24"/>
          <w:szCs w:val="24"/>
        </w:rPr>
        <w:t xml:space="preserve">, 2012, no. </w:t>
      </w:r>
      <w:r>
        <w:rPr>
          <w:rFonts w:ascii="Times New Roman" w:hAnsi="Times New Roman" w:cs="Times New Roman"/>
          <w:sz w:val="24"/>
          <w:szCs w:val="24"/>
        </w:rPr>
        <w:t>6, s. 1-23</w:t>
      </w:r>
      <w:r w:rsidRPr="00DD128E">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770349">
        <w:rPr>
          <w:rFonts w:ascii="Times New Roman" w:hAnsi="Times New Roman" w:cs="Times New Roman"/>
          <w:sz w:val="24"/>
          <w:szCs w:val="24"/>
        </w:rPr>
        <w:t xml:space="preserve">DRULÁKOVÁ, Radka. </w:t>
      </w:r>
      <w:r w:rsidRPr="00770349">
        <w:rPr>
          <w:rFonts w:ascii="Times New Roman" w:hAnsi="Times New Roman" w:cs="Times New Roman"/>
          <w:i/>
          <w:sz w:val="24"/>
          <w:szCs w:val="24"/>
        </w:rPr>
        <w:t xml:space="preserve">Subsidiarita v Evropské unii: Právní princip nebo užitečný symbol? </w:t>
      </w:r>
      <w:r w:rsidRPr="00770349">
        <w:rPr>
          <w:rFonts w:ascii="Times New Roman" w:hAnsi="Times New Roman" w:cs="Times New Roman"/>
          <w:sz w:val="24"/>
          <w:szCs w:val="24"/>
        </w:rPr>
        <w:t>P</w:t>
      </w:r>
      <w:r>
        <w:rPr>
          <w:rFonts w:ascii="Times New Roman" w:hAnsi="Times New Roman" w:cs="Times New Roman"/>
          <w:sz w:val="24"/>
          <w:szCs w:val="24"/>
        </w:rPr>
        <w:t xml:space="preserve">raha: </w:t>
      </w:r>
      <w:proofErr w:type="spellStart"/>
      <w:r>
        <w:rPr>
          <w:rFonts w:ascii="Times New Roman" w:hAnsi="Times New Roman" w:cs="Times New Roman"/>
          <w:sz w:val="24"/>
          <w:szCs w:val="24"/>
        </w:rPr>
        <w:t>Oeconomica</w:t>
      </w:r>
      <w:proofErr w:type="spellEnd"/>
      <w:r>
        <w:rPr>
          <w:rFonts w:ascii="Times New Roman" w:hAnsi="Times New Roman" w:cs="Times New Roman"/>
          <w:sz w:val="24"/>
          <w:szCs w:val="24"/>
        </w:rPr>
        <w:t>, 2010</w:t>
      </w:r>
      <w:r w:rsidRPr="00770349">
        <w:rPr>
          <w:rFonts w:ascii="Times New Roman" w:hAnsi="Times New Roman" w:cs="Times New Roman"/>
          <w:sz w:val="24"/>
          <w:szCs w:val="24"/>
        </w:rPr>
        <w:t>.</w:t>
      </w:r>
      <w:r>
        <w:rPr>
          <w:rFonts w:ascii="Times New Roman" w:hAnsi="Times New Roman" w:cs="Times New Roman"/>
          <w:sz w:val="24"/>
          <w:szCs w:val="24"/>
        </w:rPr>
        <w:t xml:space="preserve"> 233 s.</w:t>
      </w:r>
    </w:p>
    <w:p w:rsidR="00191B9E" w:rsidRDefault="00191B9E" w:rsidP="00191B9E">
      <w:pPr>
        <w:spacing w:line="360" w:lineRule="auto"/>
        <w:jc w:val="both"/>
        <w:rPr>
          <w:rFonts w:ascii="Times New Roman" w:hAnsi="Times New Roman" w:cs="Times New Roman"/>
          <w:sz w:val="24"/>
          <w:szCs w:val="24"/>
        </w:rPr>
      </w:pPr>
      <w:r w:rsidRPr="002F1C57">
        <w:rPr>
          <w:rFonts w:ascii="Times New Roman" w:hAnsi="Times New Roman" w:cs="Times New Roman"/>
          <w:sz w:val="24"/>
          <w:szCs w:val="24"/>
        </w:rPr>
        <w:t xml:space="preserve">DRULÁKOVÁ, Radka. </w:t>
      </w:r>
      <w:r w:rsidRPr="002F1C57">
        <w:rPr>
          <w:rFonts w:ascii="Times New Roman" w:hAnsi="Times New Roman" w:cs="Times New Roman"/>
          <w:i/>
          <w:sz w:val="24"/>
          <w:szCs w:val="24"/>
        </w:rPr>
        <w:t xml:space="preserve">Subsidiarita v Lisabonské </w:t>
      </w:r>
      <w:proofErr w:type="gramStart"/>
      <w:r w:rsidRPr="002F1C57">
        <w:rPr>
          <w:rFonts w:ascii="Times New Roman" w:hAnsi="Times New Roman" w:cs="Times New Roman"/>
          <w:i/>
          <w:sz w:val="24"/>
          <w:szCs w:val="24"/>
        </w:rPr>
        <w:t>smlouvě - náprava</w:t>
      </w:r>
      <w:proofErr w:type="gramEnd"/>
      <w:r w:rsidRPr="002F1C57">
        <w:rPr>
          <w:rFonts w:ascii="Times New Roman" w:hAnsi="Times New Roman" w:cs="Times New Roman"/>
          <w:i/>
          <w:sz w:val="24"/>
          <w:szCs w:val="24"/>
        </w:rPr>
        <w:t xml:space="preserve"> nedostatků?</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Oeconomica</w:t>
      </w:r>
      <w:proofErr w:type="spellEnd"/>
      <w:r>
        <w:rPr>
          <w:rFonts w:ascii="Times New Roman" w:hAnsi="Times New Roman" w:cs="Times New Roman"/>
          <w:sz w:val="24"/>
          <w:szCs w:val="24"/>
        </w:rPr>
        <w:t>, 2009. 19 s.</w:t>
      </w:r>
    </w:p>
    <w:p w:rsidR="00191B9E" w:rsidRDefault="00191B9E" w:rsidP="00191B9E">
      <w:pPr>
        <w:spacing w:line="360" w:lineRule="auto"/>
        <w:jc w:val="both"/>
        <w:rPr>
          <w:rFonts w:ascii="Times New Roman" w:hAnsi="Times New Roman" w:cs="Times New Roman"/>
          <w:sz w:val="24"/>
          <w:szCs w:val="24"/>
        </w:rPr>
      </w:pPr>
      <w:r w:rsidRPr="00764A15">
        <w:rPr>
          <w:rFonts w:ascii="Times New Roman" w:hAnsi="Times New Roman" w:cs="Times New Roman"/>
          <w:sz w:val="24"/>
          <w:szCs w:val="24"/>
        </w:rPr>
        <w:t xml:space="preserve">ESTELLA, Antonio. </w:t>
      </w:r>
      <w:proofErr w:type="spellStart"/>
      <w:r w:rsidRPr="00764A15">
        <w:rPr>
          <w:rFonts w:ascii="Times New Roman" w:hAnsi="Times New Roman" w:cs="Times New Roman"/>
          <w:i/>
          <w:sz w:val="24"/>
          <w:szCs w:val="24"/>
        </w:rPr>
        <w:t>The</w:t>
      </w:r>
      <w:proofErr w:type="spellEnd"/>
      <w:r w:rsidRPr="00764A15">
        <w:rPr>
          <w:rFonts w:ascii="Times New Roman" w:hAnsi="Times New Roman" w:cs="Times New Roman"/>
          <w:i/>
          <w:sz w:val="24"/>
          <w:szCs w:val="24"/>
        </w:rPr>
        <w:t xml:space="preserve"> EU </w:t>
      </w:r>
      <w:proofErr w:type="spellStart"/>
      <w:r w:rsidRPr="00764A15">
        <w:rPr>
          <w:rFonts w:ascii="Times New Roman" w:hAnsi="Times New Roman" w:cs="Times New Roman"/>
          <w:i/>
          <w:sz w:val="24"/>
          <w:szCs w:val="24"/>
        </w:rPr>
        <w:t>Principle</w:t>
      </w:r>
      <w:proofErr w:type="spellEnd"/>
      <w:r w:rsidRPr="00764A15">
        <w:rPr>
          <w:rFonts w:ascii="Times New Roman" w:hAnsi="Times New Roman" w:cs="Times New Roman"/>
          <w:i/>
          <w:sz w:val="24"/>
          <w:szCs w:val="24"/>
        </w:rPr>
        <w:t xml:space="preserve"> </w:t>
      </w:r>
      <w:proofErr w:type="spellStart"/>
      <w:r w:rsidRPr="00764A15">
        <w:rPr>
          <w:rFonts w:ascii="Times New Roman" w:hAnsi="Times New Roman" w:cs="Times New Roman"/>
          <w:i/>
          <w:sz w:val="24"/>
          <w:szCs w:val="24"/>
        </w:rPr>
        <w:t>of</w:t>
      </w:r>
      <w:proofErr w:type="spellEnd"/>
      <w:r w:rsidRPr="00764A15">
        <w:rPr>
          <w:rFonts w:ascii="Times New Roman" w:hAnsi="Times New Roman" w:cs="Times New Roman"/>
          <w:i/>
          <w:sz w:val="24"/>
          <w:szCs w:val="24"/>
        </w:rPr>
        <w:t xml:space="preserve"> Subsidiarity and </w:t>
      </w:r>
      <w:proofErr w:type="spellStart"/>
      <w:r w:rsidRPr="00764A15">
        <w:rPr>
          <w:rFonts w:ascii="Times New Roman" w:hAnsi="Times New Roman" w:cs="Times New Roman"/>
          <w:i/>
          <w:sz w:val="24"/>
          <w:szCs w:val="24"/>
        </w:rPr>
        <w:t>Its</w:t>
      </w:r>
      <w:proofErr w:type="spellEnd"/>
      <w:r w:rsidRPr="00764A15">
        <w:rPr>
          <w:rFonts w:ascii="Times New Roman" w:hAnsi="Times New Roman" w:cs="Times New Roman"/>
          <w:i/>
          <w:sz w:val="24"/>
          <w:szCs w:val="24"/>
        </w:rPr>
        <w:t xml:space="preserve"> </w:t>
      </w:r>
      <w:proofErr w:type="spellStart"/>
      <w:r w:rsidRPr="00764A15">
        <w:rPr>
          <w:rFonts w:ascii="Times New Roman" w:hAnsi="Times New Roman" w:cs="Times New Roman"/>
          <w:i/>
          <w:sz w:val="24"/>
          <w:szCs w:val="24"/>
        </w:rPr>
        <w:t>Critique</w:t>
      </w:r>
      <w:proofErr w:type="spellEnd"/>
      <w:r w:rsidRPr="00764A15">
        <w:rPr>
          <w:rFonts w:ascii="Times New Roman" w:hAnsi="Times New Roman" w:cs="Times New Roman"/>
          <w:sz w:val="24"/>
          <w:szCs w:val="24"/>
        </w:rPr>
        <w:t>. New York: Oxfor</w:t>
      </w:r>
      <w:r>
        <w:rPr>
          <w:rFonts w:ascii="Times New Roman" w:hAnsi="Times New Roman" w:cs="Times New Roman"/>
          <w:sz w:val="24"/>
          <w:szCs w:val="24"/>
        </w:rPr>
        <w:t xml:space="preserve">d University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2002. 210 s.</w:t>
      </w:r>
    </w:p>
    <w:p w:rsidR="00191B9E" w:rsidRPr="00CF1BA3" w:rsidRDefault="00191B9E" w:rsidP="00191B9E">
      <w:pPr>
        <w:spacing w:line="360" w:lineRule="auto"/>
        <w:jc w:val="both"/>
        <w:rPr>
          <w:rFonts w:ascii="Times New Roman" w:hAnsi="Times New Roman" w:cs="Times New Roman"/>
          <w:sz w:val="24"/>
        </w:rPr>
      </w:pPr>
      <w:r w:rsidRPr="00CF1BA3">
        <w:rPr>
          <w:rFonts w:ascii="Times New Roman" w:hAnsi="Times New Roman" w:cs="Times New Roman"/>
          <w:sz w:val="24"/>
        </w:rPr>
        <w:t xml:space="preserve">EURACTIV.CZ. </w:t>
      </w:r>
      <w:r w:rsidRPr="00CF1BA3">
        <w:rPr>
          <w:rFonts w:ascii="Times New Roman" w:hAnsi="Times New Roman" w:cs="Times New Roman"/>
          <w:i/>
          <w:sz w:val="24"/>
        </w:rPr>
        <w:t>ČR se staví k Úřadu evropského veřejného žalobce rezervovaně</w:t>
      </w:r>
      <w:r w:rsidRPr="00CF1BA3">
        <w:rPr>
          <w:rFonts w:ascii="Times New Roman" w:hAnsi="Times New Roman" w:cs="Times New Roman"/>
          <w:sz w:val="24"/>
        </w:rPr>
        <w:t xml:space="preserve"> [online]. EU-Media, s.r.o., 8. listopadu 2013 [cit. 18. února 2017]. Dostupné na &lt;http://euractiv.cz/clanky/cr-v-evropske-unii/cr-se-stavi-ke-zrizeni-uradu-evropskeho-verejneho-zalobce-rezervovane-011</w:t>
      </w:r>
      <w:r>
        <w:rPr>
          <w:rFonts w:ascii="Times New Roman" w:hAnsi="Times New Roman" w:cs="Times New Roman"/>
          <w:sz w:val="24"/>
        </w:rPr>
        <w:t xml:space="preserve"> </w:t>
      </w:r>
      <w:r w:rsidRPr="00CF1BA3">
        <w:rPr>
          <w:rFonts w:ascii="Times New Roman" w:hAnsi="Times New Roman" w:cs="Times New Roman"/>
          <w:sz w:val="24"/>
        </w:rPr>
        <w:t>273/&gt;.</w:t>
      </w:r>
    </w:p>
    <w:p w:rsidR="00191B9E" w:rsidRDefault="00191B9E" w:rsidP="00191B9E">
      <w:pPr>
        <w:spacing w:line="360" w:lineRule="auto"/>
        <w:jc w:val="both"/>
        <w:rPr>
          <w:rFonts w:ascii="Times New Roman" w:hAnsi="Times New Roman" w:cs="Times New Roman"/>
          <w:sz w:val="24"/>
          <w:szCs w:val="24"/>
        </w:rPr>
      </w:pPr>
      <w:r w:rsidRPr="0089760D">
        <w:rPr>
          <w:rFonts w:ascii="Times New Roman" w:hAnsi="Times New Roman" w:cs="Times New Roman"/>
          <w:sz w:val="24"/>
          <w:szCs w:val="24"/>
        </w:rPr>
        <w:lastRenderedPageBreak/>
        <w:t xml:space="preserve">EURACTIV. </w:t>
      </w:r>
      <w:proofErr w:type="spellStart"/>
      <w:r w:rsidRPr="004E7316">
        <w:rPr>
          <w:rFonts w:ascii="Times New Roman" w:hAnsi="Times New Roman" w:cs="Times New Roman"/>
          <w:i/>
          <w:sz w:val="24"/>
          <w:szCs w:val="24"/>
        </w:rPr>
        <w:t>National</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parliaments</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greatest</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winners</w:t>
      </w:r>
      <w:proofErr w:type="spellEnd"/>
      <w:r w:rsidRPr="004E7316">
        <w:rPr>
          <w:rFonts w:ascii="Times New Roman" w:hAnsi="Times New Roman" w:cs="Times New Roman"/>
          <w:i/>
          <w:sz w:val="24"/>
          <w:szCs w:val="24"/>
        </w:rPr>
        <w:t xml:space="preserve">’ in </w:t>
      </w:r>
      <w:proofErr w:type="spellStart"/>
      <w:r w:rsidRPr="004E7316">
        <w:rPr>
          <w:rFonts w:ascii="Times New Roman" w:hAnsi="Times New Roman" w:cs="Times New Roman"/>
          <w:i/>
          <w:sz w:val="24"/>
          <w:szCs w:val="24"/>
        </w:rPr>
        <w:t>Lisbon</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Treaty</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say</w:t>
      </w:r>
      <w:proofErr w:type="spellEnd"/>
      <w:r w:rsidRPr="004E7316">
        <w:rPr>
          <w:rFonts w:ascii="Times New Roman" w:hAnsi="Times New Roman" w:cs="Times New Roman"/>
          <w:i/>
          <w:sz w:val="24"/>
          <w:szCs w:val="24"/>
        </w:rPr>
        <w:t xml:space="preserve"> </w:t>
      </w:r>
      <w:proofErr w:type="spellStart"/>
      <w:r w:rsidRPr="004E7316">
        <w:rPr>
          <w:rFonts w:ascii="Times New Roman" w:hAnsi="Times New Roman" w:cs="Times New Roman"/>
          <w:i/>
          <w:sz w:val="24"/>
          <w:szCs w:val="24"/>
        </w:rPr>
        <w:t>MEPs</w:t>
      </w:r>
      <w:proofErr w:type="spellEnd"/>
      <w:r>
        <w:rPr>
          <w:rFonts w:ascii="Times New Roman" w:hAnsi="Times New Roman" w:cs="Times New Roman"/>
          <w:sz w:val="24"/>
          <w:szCs w:val="24"/>
        </w:rPr>
        <w:t xml:space="preserve"> [online]. </w:t>
      </w:r>
      <w:r w:rsidRPr="00AA22E7">
        <w:rPr>
          <w:rFonts w:ascii="Times New Roman" w:hAnsi="Times New Roman" w:cs="Times New Roman"/>
          <w:sz w:val="24"/>
          <w:szCs w:val="24"/>
        </w:rPr>
        <w:t xml:space="preserve">EURACTIV.COM </w:t>
      </w:r>
      <w:proofErr w:type="spellStart"/>
      <w:r w:rsidRPr="00AA22E7">
        <w:rPr>
          <w:rFonts w:ascii="Times New Roman" w:hAnsi="Times New Roman" w:cs="Times New Roman"/>
          <w:sz w:val="24"/>
          <w:szCs w:val="24"/>
        </w:rPr>
        <w:t>plc</w:t>
      </w:r>
      <w:proofErr w:type="spellEnd"/>
      <w:r w:rsidRPr="0089760D">
        <w:rPr>
          <w:rFonts w:ascii="Times New Roman" w:hAnsi="Times New Roman" w:cs="Times New Roman"/>
          <w:sz w:val="24"/>
          <w:szCs w:val="24"/>
        </w:rPr>
        <w:t>, 28. května 2012 [cit</w:t>
      </w:r>
      <w:r>
        <w:rPr>
          <w:rFonts w:ascii="Times New Roman" w:hAnsi="Times New Roman" w:cs="Times New Roman"/>
          <w:sz w:val="24"/>
          <w:szCs w:val="24"/>
        </w:rPr>
        <w:t>. 8. února 2016]. Dostupné na &lt;</w:t>
      </w:r>
      <w:r w:rsidRPr="00A92EA1">
        <w:rPr>
          <w:rFonts w:ascii="Times New Roman" w:hAnsi="Times New Roman" w:cs="Times New Roman"/>
          <w:sz w:val="24"/>
          <w:szCs w:val="24"/>
        </w:rPr>
        <w:t>http:// www.euractiv.com/future-eu/national-parliaments-greatest-winners-lisbon-treaty</w:t>
      </w:r>
      <w:r w:rsidRPr="0089760D">
        <w:rPr>
          <w:rFonts w:ascii="Times New Roman" w:hAnsi="Times New Roman" w:cs="Times New Roman"/>
          <w:sz w:val="24"/>
          <w:szCs w:val="24"/>
        </w:rPr>
        <w:t xml:space="preserve">meps/a </w:t>
      </w:r>
      <w:r>
        <w:rPr>
          <w:rFonts w:ascii="Times New Roman" w:hAnsi="Times New Roman" w:cs="Times New Roman"/>
          <w:sz w:val="24"/>
          <w:szCs w:val="24"/>
        </w:rPr>
        <w:t>rticle-168884&gt;</w:t>
      </w:r>
      <w:r w:rsidRPr="0089760D">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Pr>
          <w:rFonts w:ascii="Times New Roman" w:hAnsi="Times New Roman" w:cs="Times New Roman"/>
          <w:sz w:val="24"/>
          <w:szCs w:val="24"/>
        </w:rPr>
        <w:t>EUROSKOP.CZ</w:t>
      </w:r>
      <w:r w:rsidRPr="00BC5F36">
        <w:rPr>
          <w:rFonts w:ascii="Times New Roman" w:hAnsi="Times New Roman" w:cs="Times New Roman"/>
          <w:sz w:val="24"/>
          <w:szCs w:val="24"/>
        </w:rPr>
        <w:t xml:space="preserve">. </w:t>
      </w:r>
      <w:r w:rsidRPr="00BC5F36">
        <w:rPr>
          <w:rFonts w:ascii="Times New Roman" w:hAnsi="Times New Roman" w:cs="Times New Roman"/>
          <w:i/>
          <w:sz w:val="24"/>
          <w:szCs w:val="24"/>
        </w:rPr>
        <w:t>Referenda o přistoupení k EU v kandidátských zemích</w:t>
      </w:r>
      <w:r>
        <w:rPr>
          <w:rFonts w:ascii="Times New Roman" w:hAnsi="Times New Roman" w:cs="Times New Roman"/>
          <w:sz w:val="24"/>
          <w:szCs w:val="24"/>
        </w:rPr>
        <w:t xml:space="preserve"> [online]. </w:t>
      </w:r>
      <w:r w:rsidRPr="00FF7753">
        <w:rPr>
          <w:rFonts w:ascii="Times New Roman" w:hAnsi="Times New Roman" w:cs="Times New Roman"/>
          <w:sz w:val="24"/>
          <w:szCs w:val="24"/>
        </w:rPr>
        <w:t>Vláda České republiky</w:t>
      </w:r>
      <w:r w:rsidRPr="00BC5F36">
        <w:rPr>
          <w:rFonts w:ascii="Times New Roman" w:hAnsi="Times New Roman" w:cs="Times New Roman"/>
          <w:sz w:val="24"/>
          <w:szCs w:val="24"/>
        </w:rPr>
        <w:t>, 3. března 2016 [cit. 3. března 2016]. Dostupné na &lt;https://www.euroskop.cz/267/sekce/referenda-o-p</w:t>
      </w:r>
      <w:r>
        <w:rPr>
          <w:rFonts w:ascii="Times New Roman" w:hAnsi="Times New Roman" w:cs="Times New Roman"/>
          <w:sz w:val="24"/>
          <w:szCs w:val="24"/>
        </w:rPr>
        <w:t>ristoupeni-k-eu-v-kandidatskych-zemich</w:t>
      </w:r>
      <w:r w:rsidRPr="00BC5F36">
        <w:rPr>
          <w:rFonts w:ascii="Times New Roman" w:hAnsi="Times New Roman" w:cs="Times New Roman"/>
          <w:sz w:val="24"/>
          <w:szCs w:val="24"/>
        </w:rPr>
        <w:t>&gt;.</w:t>
      </w:r>
    </w:p>
    <w:p w:rsidR="00191B9E" w:rsidRPr="00C65D64" w:rsidRDefault="00191B9E" w:rsidP="00191B9E">
      <w:pPr>
        <w:spacing w:line="360" w:lineRule="auto"/>
        <w:jc w:val="both"/>
        <w:rPr>
          <w:rFonts w:ascii="Times New Roman" w:hAnsi="Times New Roman" w:cs="Times New Roman"/>
          <w:sz w:val="28"/>
          <w:szCs w:val="24"/>
        </w:rPr>
      </w:pPr>
      <w:r w:rsidRPr="00C65D64">
        <w:rPr>
          <w:rFonts w:ascii="Times New Roman" w:hAnsi="Times New Roman" w:cs="Times New Roman"/>
          <w:sz w:val="24"/>
        </w:rPr>
        <w:t>FABBRINI, Federico. GRANAT, Katarzyna. “</w:t>
      </w:r>
      <w:proofErr w:type="spellStart"/>
      <w:r w:rsidRPr="00C65D64">
        <w:rPr>
          <w:rFonts w:ascii="Times New Roman" w:hAnsi="Times New Roman" w:cs="Times New Roman"/>
          <w:sz w:val="24"/>
        </w:rPr>
        <w:t>Yellow</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card</w:t>
      </w:r>
      <w:proofErr w:type="spellEnd"/>
      <w:r w:rsidRPr="00C65D64">
        <w:rPr>
          <w:rFonts w:ascii="Times New Roman" w:hAnsi="Times New Roman" w:cs="Times New Roman"/>
          <w:sz w:val="24"/>
        </w:rPr>
        <w:t xml:space="preserve">, but no </w:t>
      </w:r>
      <w:proofErr w:type="spellStart"/>
      <w:r w:rsidRPr="00C65D64">
        <w:rPr>
          <w:rFonts w:ascii="Times New Roman" w:hAnsi="Times New Roman" w:cs="Times New Roman"/>
          <w:sz w:val="24"/>
        </w:rPr>
        <w:t>foul</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The</w:t>
      </w:r>
      <w:proofErr w:type="spellEnd"/>
      <w:r w:rsidRPr="00C65D64">
        <w:rPr>
          <w:rFonts w:ascii="Times New Roman" w:hAnsi="Times New Roman" w:cs="Times New Roman"/>
          <w:sz w:val="24"/>
        </w:rPr>
        <w:t xml:space="preserve"> role </w:t>
      </w:r>
      <w:proofErr w:type="spellStart"/>
      <w:r w:rsidRPr="00C65D64">
        <w:rPr>
          <w:rFonts w:ascii="Times New Roman" w:hAnsi="Times New Roman" w:cs="Times New Roman"/>
          <w:sz w:val="24"/>
        </w:rPr>
        <w:t>of</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the</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national</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parliaments</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under</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the</w:t>
      </w:r>
      <w:proofErr w:type="spellEnd"/>
      <w:r w:rsidRPr="00C65D64">
        <w:rPr>
          <w:rFonts w:ascii="Times New Roman" w:hAnsi="Times New Roman" w:cs="Times New Roman"/>
          <w:sz w:val="24"/>
        </w:rPr>
        <w:t xml:space="preserve"> subsidiarity </w:t>
      </w:r>
      <w:proofErr w:type="spellStart"/>
      <w:r w:rsidRPr="00C65D64">
        <w:rPr>
          <w:rFonts w:ascii="Times New Roman" w:hAnsi="Times New Roman" w:cs="Times New Roman"/>
          <w:sz w:val="24"/>
        </w:rPr>
        <w:t>protocol</w:t>
      </w:r>
      <w:proofErr w:type="spellEnd"/>
      <w:r w:rsidRPr="00C65D64">
        <w:rPr>
          <w:rFonts w:ascii="Times New Roman" w:hAnsi="Times New Roman" w:cs="Times New Roman"/>
          <w:sz w:val="24"/>
        </w:rPr>
        <w:t xml:space="preserve"> and </w:t>
      </w:r>
      <w:proofErr w:type="spellStart"/>
      <w:r w:rsidRPr="00C65D64">
        <w:rPr>
          <w:rFonts w:ascii="Times New Roman" w:hAnsi="Times New Roman" w:cs="Times New Roman"/>
          <w:sz w:val="24"/>
        </w:rPr>
        <w:t>the</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Commission</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proposal</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for</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an</w:t>
      </w:r>
      <w:proofErr w:type="spellEnd"/>
      <w:r w:rsidRPr="00C65D64">
        <w:rPr>
          <w:rFonts w:ascii="Times New Roman" w:hAnsi="Times New Roman" w:cs="Times New Roman"/>
          <w:sz w:val="24"/>
        </w:rPr>
        <w:t xml:space="preserve"> EU </w:t>
      </w:r>
      <w:proofErr w:type="spellStart"/>
      <w:r w:rsidRPr="00C65D64">
        <w:rPr>
          <w:rFonts w:ascii="Times New Roman" w:hAnsi="Times New Roman" w:cs="Times New Roman"/>
          <w:sz w:val="24"/>
        </w:rPr>
        <w:t>regulation</w:t>
      </w:r>
      <w:proofErr w:type="spellEnd"/>
      <w:r w:rsidRPr="00C65D64">
        <w:rPr>
          <w:rFonts w:ascii="Times New Roman" w:hAnsi="Times New Roman" w:cs="Times New Roman"/>
          <w:sz w:val="24"/>
        </w:rPr>
        <w:t xml:space="preserve"> on </w:t>
      </w:r>
      <w:proofErr w:type="spellStart"/>
      <w:r w:rsidRPr="00C65D64">
        <w:rPr>
          <w:rFonts w:ascii="Times New Roman" w:hAnsi="Times New Roman" w:cs="Times New Roman"/>
          <w:sz w:val="24"/>
        </w:rPr>
        <w:t>the</w:t>
      </w:r>
      <w:proofErr w:type="spellEnd"/>
      <w:r w:rsidRPr="00C65D64">
        <w:rPr>
          <w:rFonts w:ascii="Times New Roman" w:hAnsi="Times New Roman" w:cs="Times New Roman"/>
          <w:sz w:val="24"/>
        </w:rPr>
        <w:t xml:space="preserve"> </w:t>
      </w:r>
      <w:proofErr w:type="spellStart"/>
      <w:r w:rsidRPr="00C65D64">
        <w:rPr>
          <w:rFonts w:ascii="Times New Roman" w:hAnsi="Times New Roman" w:cs="Times New Roman"/>
          <w:sz w:val="24"/>
        </w:rPr>
        <w:t>right</w:t>
      </w:r>
      <w:proofErr w:type="spellEnd"/>
      <w:r w:rsidRPr="00C65D64">
        <w:rPr>
          <w:rFonts w:ascii="Times New Roman" w:hAnsi="Times New Roman" w:cs="Times New Roman"/>
          <w:sz w:val="24"/>
        </w:rPr>
        <w:t xml:space="preserve"> to strike. </w:t>
      </w:r>
      <w:proofErr w:type="spellStart"/>
      <w:r w:rsidRPr="00C65D64">
        <w:rPr>
          <w:rFonts w:ascii="Times New Roman" w:hAnsi="Times New Roman" w:cs="Times New Roman"/>
          <w:i/>
          <w:sz w:val="24"/>
        </w:rPr>
        <w:t>Common</w:t>
      </w:r>
      <w:proofErr w:type="spellEnd"/>
      <w:r w:rsidRPr="00C65D64">
        <w:rPr>
          <w:rFonts w:ascii="Times New Roman" w:hAnsi="Times New Roman" w:cs="Times New Roman"/>
          <w:i/>
          <w:sz w:val="24"/>
        </w:rPr>
        <w:t xml:space="preserve"> Market </w:t>
      </w:r>
      <w:proofErr w:type="spellStart"/>
      <w:r w:rsidRPr="00C65D64">
        <w:rPr>
          <w:rFonts w:ascii="Times New Roman" w:hAnsi="Times New Roman" w:cs="Times New Roman"/>
          <w:i/>
          <w:sz w:val="24"/>
        </w:rPr>
        <w:t>Law</w:t>
      </w:r>
      <w:proofErr w:type="spellEnd"/>
      <w:r w:rsidRPr="00C65D64">
        <w:rPr>
          <w:rFonts w:ascii="Times New Roman" w:hAnsi="Times New Roman" w:cs="Times New Roman"/>
          <w:i/>
          <w:sz w:val="24"/>
        </w:rPr>
        <w:t xml:space="preserve"> </w:t>
      </w:r>
      <w:proofErr w:type="spellStart"/>
      <w:r w:rsidRPr="00C65D64">
        <w:rPr>
          <w:rFonts w:ascii="Times New Roman" w:hAnsi="Times New Roman" w:cs="Times New Roman"/>
          <w:i/>
          <w:sz w:val="24"/>
        </w:rPr>
        <w:t>Review</w:t>
      </w:r>
      <w:proofErr w:type="spellEnd"/>
      <w:r w:rsidRPr="00C65D64">
        <w:rPr>
          <w:rFonts w:ascii="Times New Roman" w:hAnsi="Times New Roman" w:cs="Times New Roman"/>
          <w:sz w:val="24"/>
        </w:rPr>
        <w:t>,</w:t>
      </w:r>
      <w:r>
        <w:rPr>
          <w:rFonts w:ascii="Times New Roman" w:hAnsi="Times New Roman" w:cs="Times New Roman"/>
          <w:sz w:val="24"/>
        </w:rPr>
        <w:t xml:space="preserve"> 2013, vol. 50, </w:t>
      </w:r>
      <w:proofErr w:type="spellStart"/>
      <w:r>
        <w:rPr>
          <w:rFonts w:ascii="Times New Roman" w:hAnsi="Times New Roman" w:cs="Times New Roman"/>
          <w:sz w:val="24"/>
        </w:rPr>
        <w:t>issue</w:t>
      </w:r>
      <w:proofErr w:type="spellEnd"/>
      <w:r>
        <w:rPr>
          <w:rFonts w:ascii="Times New Roman" w:hAnsi="Times New Roman" w:cs="Times New Roman"/>
          <w:sz w:val="24"/>
        </w:rPr>
        <w:t xml:space="preserve"> 1, s. 115-</w:t>
      </w:r>
      <w:r w:rsidRPr="00C65D64">
        <w:rPr>
          <w:rFonts w:ascii="Times New Roman" w:hAnsi="Times New Roman" w:cs="Times New Roman"/>
          <w:sz w:val="24"/>
        </w:rPr>
        <w:t>143.</w:t>
      </w:r>
    </w:p>
    <w:p w:rsidR="00191B9E" w:rsidRDefault="00191B9E" w:rsidP="00191B9E">
      <w:pPr>
        <w:spacing w:line="360" w:lineRule="auto"/>
        <w:jc w:val="both"/>
        <w:rPr>
          <w:rFonts w:ascii="Times New Roman" w:hAnsi="Times New Roman" w:cs="Times New Roman"/>
          <w:sz w:val="24"/>
          <w:szCs w:val="24"/>
        </w:rPr>
      </w:pPr>
      <w:r w:rsidRPr="00F8694C">
        <w:rPr>
          <w:rFonts w:ascii="Times New Roman" w:hAnsi="Times New Roman" w:cs="Times New Roman"/>
          <w:sz w:val="24"/>
          <w:szCs w:val="24"/>
        </w:rPr>
        <w:t xml:space="preserve">FOLLESDAL, Andreas, HIX, Simon. </w:t>
      </w:r>
      <w:proofErr w:type="spellStart"/>
      <w:r w:rsidRPr="00F8694C">
        <w:rPr>
          <w:rFonts w:ascii="Times New Roman" w:hAnsi="Times New Roman" w:cs="Times New Roman"/>
          <w:sz w:val="24"/>
          <w:szCs w:val="24"/>
        </w:rPr>
        <w:t>Why</w:t>
      </w:r>
      <w:proofErr w:type="spellEnd"/>
      <w:r w:rsidRPr="00F8694C">
        <w:rPr>
          <w:rFonts w:ascii="Times New Roman" w:hAnsi="Times New Roman" w:cs="Times New Roman"/>
          <w:sz w:val="24"/>
          <w:szCs w:val="24"/>
        </w:rPr>
        <w:t xml:space="preserve"> </w:t>
      </w:r>
      <w:proofErr w:type="spellStart"/>
      <w:r w:rsidRPr="00F8694C">
        <w:rPr>
          <w:rFonts w:ascii="Times New Roman" w:hAnsi="Times New Roman" w:cs="Times New Roman"/>
          <w:sz w:val="24"/>
          <w:szCs w:val="24"/>
        </w:rPr>
        <w:t>There</w:t>
      </w:r>
      <w:proofErr w:type="spellEnd"/>
      <w:r w:rsidRPr="00F8694C">
        <w:rPr>
          <w:rFonts w:ascii="Times New Roman" w:hAnsi="Times New Roman" w:cs="Times New Roman"/>
          <w:sz w:val="24"/>
          <w:szCs w:val="24"/>
        </w:rPr>
        <w:t xml:space="preserve"> </w:t>
      </w:r>
      <w:proofErr w:type="spellStart"/>
      <w:r w:rsidRPr="00F8694C">
        <w:rPr>
          <w:rFonts w:ascii="Times New Roman" w:hAnsi="Times New Roman" w:cs="Times New Roman"/>
          <w:sz w:val="24"/>
          <w:szCs w:val="24"/>
        </w:rPr>
        <w:t>is</w:t>
      </w:r>
      <w:proofErr w:type="spellEnd"/>
      <w:r w:rsidRPr="00F8694C">
        <w:rPr>
          <w:rFonts w:ascii="Times New Roman" w:hAnsi="Times New Roman" w:cs="Times New Roman"/>
          <w:sz w:val="24"/>
          <w:szCs w:val="24"/>
        </w:rPr>
        <w:t xml:space="preserve"> a </w:t>
      </w:r>
      <w:proofErr w:type="spellStart"/>
      <w:r w:rsidRPr="00F8694C">
        <w:rPr>
          <w:rFonts w:ascii="Times New Roman" w:hAnsi="Times New Roman" w:cs="Times New Roman"/>
          <w:sz w:val="24"/>
          <w:szCs w:val="24"/>
        </w:rPr>
        <w:t>Democratic</w:t>
      </w:r>
      <w:proofErr w:type="spellEnd"/>
      <w:r w:rsidRPr="00F8694C">
        <w:rPr>
          <w:rFonts w:ascii="Times New Roman" w:hAnsi="Times New Roman" w:cs="Times New Roman"/>
          <w:sz w:val="24"/>
          <w:szCs w:val="24"/>
        </w:rPr>
        <w:t xml:space="preserve"> Deficit in </w:t>
      </w:r>
      <w:proofErr w:type="spellStart"/>
      <w:r w:rsidRPr="00F8694C">
        <w:rPr>
          <w:rFonts w:ascii="Times New Roman" w:hAnsi="Times New Roman" w:cs="Times New Roman"/>
          <w:sz w:val="24"/>
          <w:szCs w:val="24"/>
        </w:rPr>
        <w:t>the</w:t>
      </w:r>
      <w:proofErr w:type="spellEnd"/>
      <w:r w:rsidRPr="00F8694C">
        <w:rPr>
          <w:rFonts w:ascii="Times New Roman" w:hAnsi="Times New Roman" w:cs="Times New Roman"/>
          <w:sz w:val="24"/>
          <w:szCs w:val="24"/>
        </w:rPr>
        <w:t xml:space="preserve"> EU: A Response to </w:t>
      </w:r>
      <w:proofErr w:type="spellStart"/>
      <w:r w:rsidRPr="00F8694C">
        <w:rPr>
          <w:rFonts w:ascii="Times New Roman" w:hAnsi="Times New Roman" w:cs="Times New Roman"/>
          <w:sz w:val="24"/>
          <w:szCs w:val="24"/>
        </w:rPr>
        <w:t>Majone</w:t>
      </w:r>
      <w:proofErr w:type="spellEnd"/>
      <w:r w:rsidRPr="00F8694C">
        <w:rPr>
          <w:rFonts w:ascii="Times New Roman" w:hAnsi="Times New Roman" w:cs="Times New Roman"/>
          <w:sz w:val="24"/>
          <w:szCs w:val="24"/>
        </w:rPr>
        <w:t xml:space="preserve"> and </w:t>
      </w:r>
      <w:proofErr w:type="spellStart"/>
      <w:r w:rsidRPr="00F8694C">
        <w:rPr>
          <w:rFonts w:ascii="Times New Roman" w:hAnsi="Times New Roman" w:cs="Times New Roman"/>
          <w:sz w:val="24"/>
          <w:szCs w:val="24"/>
        </w:rPr>
        <w:t>Moravcsik</w:t>
      </w:r>
      <w:proofErr w:type="spellEnd"/>
      <w:r w:rsidRPr="00F8694C">
        <w:rPr>
          <w:rFonts w:ascii="Times New Roman" w:hAnsi="Times New Roman" w:cs="Times New Roman"/>
          <w:sz w:val="24"/>
          <w:szCs w:val="24"/>
        </w:rPr>
        <w:t xml:space="preserve">. </w:t>
      </w:r>
      <w:proofErr w:type="spellStart"/>
      <w:r w:rsidRPr="00A95E55">
        <w:rPr>
          <w:rFonts w:ascii="Times New Roman" w:hAnsi="Times New Roman" w:cs="Times New Roman"/>
          <w:i/>
          <w:sz w:val="24"/>
          <w:szCs w:val="24"/>
        </w:rPr>
        <w:t>Journal</w:t>
      </w:r>
      <w:proofErr w:type="spellEnd"/>
      <w:r w:rsidRPr="00A95E55">
        <w:rPr>
          <w:rFonts w:ascii="Times New Roman" w:hAnsi="Times New Roman" w:cs="Times New Roman"/>
          <w:i/>
          <w:sz w:val="24"/>
          <w:szCs w:val="24"/>
        </w:rPr>
        <w:t xml:space="preserve"> </w:t>
      </w:r>
      <w:proofErr w:type="spellStart"/>
      <w:r w:rsidRPr="00A95E55">
        <w:rPr>
          <w:rFonts w:ascii="Times New Roman" w:hAnsi="Times New Roman" w:cs="Times New Roman"/>
          <w:i/>
          <w:sz w:val="24"/>
          <w:szCs w:val="24"/>
        </w:rPr>
        <w:t>of</w:t>
      </w:r>
      <w:proofErr w:type="spellEnd"/>
      <w:r w:rsidRPr="00A95E55">
        <w:rPr>
          <w:rFonts w:ascii="Times New Roman" w:hAnsi="Times New Roman" w:cs="Times New Roman"/>
          <w:i/>
          <w:sz w:val="24"/>
          <w:szCs w:val="24"/>
        </w:rPr>
        <w:t xml:space="preserve"> </w:t>
      </w:r>
      <w:proofErr w:type="spellStart"/>
      <w:r w:rsidRPr="00A95E55">
        <w:rPr>
          <w:rFonts w:ascii="Times New Roman" w:hAnsi="Times New Roman" w:cs="Times New Roman"/>
          <w:i/>
          <w:sz w:val="24"/>
          <w:szCs w:val="24"/>
        </w:rPr>
        <w:t>Common</w:t>
      </w:r>
      <w:proofErr w:type="spellEnd"/>
      <w:r w:rsidRPr="00A95E55">
        <w:rPr>
          <w:rFonts w:ascii="Times New Roman" w:hAnsi="Times New Roman" w:cs="Times New Roman"/>
          <w:i/>
          <w:sz w:val="24"/>
          <w:szCs w:val="24"/>
        </w:rPr>
        <w:t xml:space="preserve"> Market </w:t>
      </w:r>
      <w:proofErr w:type="spellStart"/>
      <w:r w:rsidRPr="00A95E55">
        <w:rPr>
          <w:rFonts w:ascii="Times New Roman" w:hAnsi="Times New Roman" w:cs="Times New Roman"/>
          <w:i/>
          <w:sz w:val="24"/>
          <w:szCs w:val="24"/>
        </w:rPr>
        <w:t>Studies</w:t>
      </w:r>
      <w:proofErr w:type="spellEnd"/>
      <w:r>
        <w:rPr>
          <w:rFonts w:ascii="Times New Roman" w:hAnsi="Times New Roman" w:cs="Times New Roman"/>
          <w:sz w:val="24"/>
          <w:szCs w:val="24"/>
        </w:rPr>
        <w:t>, 2006, vol. 44, no. 3, s. 533-562.</w:t>
      </w:r>
    </w:p>
    <w:p w:rsidR="00191B9E" w:rsidRDefault="00191B9E" w:rsidP="00191B9E">
      <w:pPr>
        <w:spacing w:line="360" w:lineRule="auto"/>
        <w:jc w:val="both"/>
        <w:rPr>
          <w:rFonts w:ascii="Times New Roman" w:hAnsi="Times New Roman" w:cs="Times New Roman"/>
          <w:sz w:val="24"/>
          <w:szCs w:val="24"/>
        </w:rPr>
      </w:pPr>
      <w:r w:rsidRPr="00247993">
        <w:rPr>
          <w:rFonts w:ascii="Times New Roman" w:hAnsi="Times New Roman" w:cs="Times New Roman"/>
          <w:sz w:val="24"/>
          <w:szCs w:val="24"/>
        </w:rPr>
        <w:t xml:space="preserve">FROMAGE, Diane. </w:t>
      </w:r>
      <w:proofErr w:type="spellStart"/>
      <w:r w:rsidRPr="00247993">
        <w:rPr>
          <w:rFonts w:ascii="Times New Roman" w:hAnsi="Times New Roman" w:cs="Times New Roman"/>
          <w:sz w:val="24"/>
          <w:szCs w:val="24"/>
        </w:rPr>
        <w:t>The</w:t>
      </w:r>
      <w:proofErr w:type="spellEnd"/>
      <w:r w:rsidRPr="00247993">
        <w:rPr>
          <w:rFonts w:ascii="Times New Roman" w:hAnsi="Times New Roman" w:cs="Times New Roman"/>
          <w:sz w:val="24"/>
          <w:szCs w:val="24"/>
        </w:rPr>
        <w:t xml:space="preserve"> </w:t>
      </w:r>
      <w:proofErr w:type="spellStart"/>
      <w:r w:rsidRPr="00247993">
        <w:rPr>
          <w:rFonts w:ascii="Times New Roman" w:hAnsi="Times New Roman" w:cs="Times New Roman"/>
          <w:sz w:val="24"/>
          <w:szCs w:val="24"/>
        </w:rPr>
        <w:t>changes</w:t>
      </w:r>
      <w:proofErr w:type="spellEnd"/>
      <w:r w:rsidRPr="00247993">
        <w:rPr>
          <w:rFonts w:ascii="Times New Roman" w:hAnsi="Times New Roman" w:cs="Times New Roman"/>
          <w:sz w:val="24"/>
          <w:szCs w:val="24"/>
        </w:rPr>
        <w:t xml:space="preserve"> </w:t>
      </w:r>
      <w:proofErr w:type="spellStart"/>
      <w:r w:rsidRPr="00247993">
        <w:rPr>
          <w:rFonts w:ascii="Times New Roman" w:hAnsi="Times New Roman" w:cs="Times New Roman"/>
          <w:sz w:val="24"/>
          <w:szCs w:val="24"/>
        </w:rPr>
        <w:t>provoked</w:t>
      </w:r>
      <w:proofErr w:type="spellEnd"/>
      <w:r w:rsidRPr="00247993">
        <w:rPr>
          <w:rFonts w:ascii="Times New Roman" w:hAnsi="Times New Roman" w:cs="Times New Roman"/>
          <w:sz w:val="24"/>
          <w:szCs w:val="24"/>
        </w:rPr>
        <w:t xml:space="preserve"> by </w:t>
      </w:r>
      <w:proofErr w:type="spellStart"/>
      <w:r w:rsidRPr="00247993">
        <w:rPr>
          <w:rFonts w:ascii="Times New Roman" w:hAnsi="Times New Roman" w:cs="Times New Roman"/>
          <w:sz w:val="24"/>
          <w:szCs w:val="24"/>
        </w:rPr>
        <w:t>the</w:t>
      </w:r>
      <w:proofErr w:type="spellEnd"/>
      <w:r w:rsidRPr="00247993">
        <w:rPr>
          <w:rFonts w:ascii="Times New Roman" w:hAnsi="Times New Roman" w:cs="Times New Roman"/>
          <w:sz w:val="24"/>
          <w:szCs w:val="24"/>
        </w:rPr>
        <w:t xml:space="preserve"> </w:t>
      </w:r>
      <w:proofErr w:type="spellStart"/>
      <w:r w:rsidRPr="00247993">
        <w:rPr>
          <w:rFonts w:ascii="Times New Roman" w:hAnsi="Times New Roman" w:cs="Times New Roman"/>
          <w:sz w:val="24"/>
          <w:szCs w:val="24"/>
        </w:rPr>
        <w:t>european</w:t>
      </w:r>
      <w:proofErr w:type="spellEnd"/>
      <w:r w:rsidRPr="00247993">
        <w:rPr>
          <w:rFonts w:ascii="Times New Roman" w:hAnsi="Times New Roman" w:cs="Times New Roman"/>
          <w:sz w:val="24"/>
          <w:szCs w:val="24"/>
        </w:rPr>
        <w:t xml:space="preserve"> </w:t>
      </w:r>
      <w:proofErr w:type="spellStart"/>
      <w:r w:rsidRPr="00247993">
        <w:rPr>
          <w:rFonts w:ascii="Times New Roman" w:hAnsi="Times New Roman" w:cs="Times New Roman"/>
          <w:sz w:val="24"/>
          <w:szCs w:val="24"/>
        </w:rPr>
        <w:t>integration</w:t>
      </w:r>
      <w:proofErr w:type="spellEnd"/>
      <w:r w:rsidRPr="00247993">
        <w:rPr>
          <w:rFonts w:ascii="Times New Roman" w:hAnsi="Times New Roman" w:cs="Times New Roman"/>
          <w:sz w:val="24"/>
          <w:szCs w:val="24"/>
        </w:rPr>
        <w:t xml:space="preserve"> proces. </w:t>
      </w:r>
      <w:proofErr w:type="spellStart"/>
      <w:r w:rsidRPr="00247993">
        <w:rPr>
          <w:rFonts w:ascii="Times New Roman" w:hAnsi="Times New Roman" w:cs="Times New Roman"/>
          <w:i/>
          <w:sz w:val="24"/>
          <w:szCs w:val="24"/>
        </w:rPr>
        <w:t>Revista</w:t>
      </w:r>
      <w:proofErr w:type="spellEnd"/>
      <w:r w:rsidRPr="00247993">
        <w:rPr>
          <w:rFonts w:ascii="Times New Roman" w:hAnsi="Times New Roman" w:cs="Times New Roman"/>
          <w:i/>
          <w:sz w:val="24"/>
          <w:szCs w:val="24"/>
        </w:rPr>
        <w:t xml:space="preserve"> </w:t>
      </w:r>
      <w:proofErr w:type="spellStart"/>
      <w:r w:rsidRPr="00247993">
        <w:rPr>
          <w:rFonts w:ascii="Times New Roman" w:hAnsi="Times New Roman" w:cs="Times New Roman"/>
          <w:i/>
          <w:sz w:val="24"/>
          <w:szCs w:val="24"/>
        </w:rPr>
        <w:t>del</w:t>
      </w:r>
      <w:proofErr w:type="spellEnd"/>
      <w:r w:rsidRPr="00247993">
        <w:rPr>
          <w:rFonts w:ascii="Times New Roman" w:hAnsi="Times New Roman" w:cs="Times New Roman"/>
          <w:i/>
          <w:sz w:val="24"/>
          <w:szCs w:val="24"/>
        </w:rPr>
        <w:t xml:space="preserve"> </w:t>
      </w:r>
      <w:proofErr w:type="spellStart"/>
      <w:r w:rsidRPr="00247993">
        <w:rPr>
          <w:rFonts w:ascii="Times New Roman" w:hAnsi="Times New Roman" w:cs="Times New Roman"/>
          <w:i/>
          <w:sz w:val="24"/>
          <w:szCs w:val="24"/>
        </w:rPr>
        <w:t>Posgrado</w:t>
      </w:r>
      <w:proofErr w:type="spellEnd"/>
      <w:r w:rsidRPr="00247993">
        <w:rPr>
          <w:rFonts w:ascii="Times New Roman" w:hAnsi="Times New Roman" w:cs="Times New Roman"/>
          <w:i/>
          <w:sz w:val="24"/>
          <w:szCs w:val="24"/>
        </w:rPr>
        <w:t xml:space="preserve"> en </w:t>
      </w:r>
      <w:proofErr w:type="spellStart"/>
      <w:r w:rsidRPr="00247993">
        <w:rPr>
          <w:rFonts w:ascii="Times New Roman" w:hAnsi="Times New Roman" w:cs="Times New Roman"/>
          <w:i/>
          <w:sz w:val="24"/>
          <w:szCs w:val="24"/>
        </w:rPr>
        <w:t>Derecho</w:t>
      </w:r>
      <w:proofErr w:type="spellEnd"/>
      <w:r w:rsidRPr="00247993">
        <w:rPr>
          <w:rFonts w:ascii="Times New Roman" w:hAnsi="Times New Roman" w:cs="Times New Roman"/>
          <w:i/>
          <w:sz w:val="24"/>
          <w:szCs w:val="24"/>
        </w:rPr>
        <w:t xml:space="preserve"> de la UNAM</w:t>
      </w:r>
      <w:r>
        <w:rPr>
          <w:rFonts w:ascii="Times New Roman" w:hAnsi="Times New Roman" w:cs="Times New Roman"/>
          <w:sz w:val="24"/>
          <w:szCs w:val="24"/>
        </w:rPr>
        <w:t>, 2015, no. 2, s. 111-139</w:t>
      </w:r>
      <w:r w:rsidRPr="00247993">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34491E">
        <w:rPr>
          <w:rFonts w:ascii="Times New Roman" w:hAnsi="Times New Roman" w:cs="Times New Roman"/>
          <w:sz w:val="24"/>
          <w:szCs w:val="24"/>
        </w:rPr>
        <w:t xml:space="preserve">GEORGIEV, Jiří. </w:t>
      </w:r>
      <w:r w:rsidRPr="0034491E">
        <w:rPr>
          <w:rFonts w:ascii="Times New Roman" w:hAnsi="Times New Roman" w:cs="Times New Roman"/>
          <w:i/>
          <w:sz w:val="24"/>
          <w:szCs w:val="24"/>
        </w:rPr>
        <w:t>Parlamentní kontrola agendy Evropské unie v Senátu</w:t>
      </w:r>
      <w:r w:rsidRPr="0034491E">
        <w:rPr>
          <w:rFonts w:ascii="Times New Roman" w:hAnsi="Times New Roman" w:cs="Times New Roman"/>
          <w:sz w:val="24"/>
          <w:szCs w:val="24"/>
        </w:rPr>
        <w:t xml:space="preserve">. 4. vyd. Praha: Kancelář </w:t>
      </w:r>
      <w:r>
        <w:rPr>
          <w:rFonts w:ascii="Times New Roman" w:hAnsi="Times New Roman" w:cs="Times New Roman"/>
          <w:sz w:val="24"/>
          <w:szCs w:val="24"/>
        </w:rPr>
        <w:t>Senátu Parlamentu ČR, 2010. 104 s.</w:t>
      </w:r>
    </w:p>
    <w:p w:rsidR="00191B9E" w:rsidRDefault="00191B9E" w:rsidP="00191B9E">
      <w:pPr>
        <w:spacing w:line="360" w:lineRule="auto"/>
        <w:jc w:val="both"/>
        <w:rPr>
          <w:rFonts w:ascii="Times New Roman" w:hAnsi="Times New Roman" w:cs="Times New Roman"/>
          <w:sz w:val="24"/>
          <w:szCs w:val="24"/>
        </w:rPr>
      </w:pPr>
      <w:r w:rsidRPr="007C5C4D">
        <w:rPr>
          <w:rFonts w:ascii="Times New Roman" w:hAnsi="Times New Roman" w:cs="Times New Roman"/>
          <w:sz w:val="24"/>
          <w:szCs w:val="24"/>
        </w:rPr>
        <w:t xml:space="preserve">GEORGIEV, Jiří. </w:t>
      </w:r>
      <w:r w:rsidRPr="007C5C4D">
        <w:rPr>
          <w:rFonts w:ascii="Times New Roman" w:hAnsi="Times New Roman" w:cs="Times New Roman"/>
          <w:i/>
          <w:sz w:val="24"/>
          <w:szCs w:val="24"/>
        </w:rPr>
        <w:t>Princip subsidiarity a jeho pojetí v evropském právu</w:t>
      </w:r>
      <w:r w:rsidRPr="007C5C4D">
        <w:rPr>
          <w:rFonts w:ascii="Times New Roman" w:hAnsi="Times New Roman" w:cs="Times New Roman"/>
          <w:sz w:val="24"/>
          <w:szCs w:val="24"/>
        </w:rPr>
        <w:t xml:space="preserve"> [online]. EurActiv.cz, 27. dubna 2004 [cit. 10. srpna 2016]. Dostupné na &lt;http://euractiv.cz/nazory/vnitro-a-spravedlnost/princip-subsidiarity-a-jeho-pojet-v-evropskm-prvu/&gt;.</w:t>
      </w:r>
    </w:p>
    <w:p w:rsidR="00191B9E" w:rsidRDefault="00191B9E" w:rsidP="00191B9E">
      <w:pPr>
        <w:spacing w:line="360" w:lineRule="auto"/>
        <w:jc w:val="both"/>
        <w:rPr>
          <w:rFonts w:ascii="Times New Roman" w:hAnsi="Times New Roman" w:cs="Times New Roman"/>
          <w:sz w:val="24"/>
          <w:szCs w:val="24"/>
        </w:rPr>
      </w:pPr>
      <w:r w:rsidRPr="007E2040">
        <w:rPr>
          <w:rFonts w:ascii="Times New Roman" w:hAnsi="Times New Roman" w:cs="Times New Roman"/>
          <w:sz w:val="24"/>
          <w:szCs w:val="24"/>
        </w:rPr>
        <w:t>GEORGIEV, Jiří. Předmluva. In GEORGIEV, Jiří (</w:t>
      </w:r>
      <w:proofErr w:type="spellStart"/>
      <w:r w:rsidRPr="007E2040">
        <w:rPr>
          <w:rFonts w:ascii="Times New Roman" w:hAnsi="Times New Roman" w:cs="Times New Roman"/>
          <w:sz w:val="24"/>
          <w:szCs w:val="24"/>
        </w:rPr>
        <w:t>ed</w:t>
      </w:r>
      <w:proofErr w:type="spellEnd"/>
      <w:r w:rsidRPr="007E2040">
        <w:rPr>
          <w:rFonts w:ascii="Times New Roman" w:hAnsi="Times New Roman" w:cs="Times New Roman"/>
          <w:sz w:val="24"/>
          <w:szCs w:val="24"/>
        </w:rPr>
        <w:t xml:space="preserve">). </w:t>
      </w:r>
      <w:r w:rsidRPr="007E2040">
        <w:rPr>
          <w:rFonts w:ascii="Times New Roman" w:hAnsi="Times New Roman" w:cs="Times New Roman"/>
          <w:i/>
          <w:sz w:val="24"/>
          <w:szCs w:val="24"/>
        </w:rPr>
        <w:t>Princip subsidiarity v právní teorii a praxi</w:t>
      </w:r>
      <w:r w:rsidRPr="007E2040">
        <w:rPr>
          <w:rFonts w:ascii="Times New Roman" w:hAnsi="Times New Roman" w:cs="Times New Roman"/>
          <w:sz w:val="24"/>
          <w:szCs w:val="24"/>
        </w:rPr>
        <w:t>. Praha: CEVRO Institut, 2007, s. 5</w:t>
      </w:r>
      <w:r>
        <w:rPr>
          <w:rFonts w:ascii="Times New Roman" w:hAnsi="Times New Roman" w:cs="Times New Roman"/>
          <w:sz w:val="24"/>
          <w:szCs w:val="24"/>
        </w:rPr>
        <w:t>-8</w:t>
      </w:r>
      <w:r w:rsidRPr="007E2040">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6F4E03">
        <w:rPr>
          <w:rFonts w:ascii="Times New Roman" w:hAnsi="Times New Roman" w:cs="Times New Roman"/>
          <w:sz w:val="24"/>
          <w:szCs w:val="24"/>
        </w:rPr>
        <w:t xml:space="preserve">GOLDONI, Marco. </w:t>
      </w:r>
      <w:proofErr w:type="spellStart"/>
      <w:r w:rsidRPr="006F4E03">
        <w:rPr>
          <w:rFonts w:ascii="Times New Roman" w:hAnsi="Times New Roman" w:cs="Times New Roman"/>
          <w:sz w:val="24"/>
          <w:szCs w:val="24"/>
        </w:rPr>
        <w:t>The</w:t>
      </w:r>
      <w:proofErr w:type="spellEnd"/>
      <w:r w:rsidRPr="006F4E03">
        <w:rPr>
          <w:rFonts w:ascii="Times New Roman" w:hAnsi="Times New Roman" w:cs="Times New Roman"/>
          <w:sz w:val="24"/>
          <w:szCs w:val="24"/>
        </w:rPr>
        <w:t xml:space="preserve"> Early </w:t>
      </w:r>
      <w:proofErr w:type="spellStart"/>
      <w:r w:rsidRPr="006F4E03">
        <w:rPr>
          <w:rFonts w:ascii="Times New Roman" w:hAnsi="Times New Roman" w:cs="Times New Roman"/>
          <w:sz w:val="24"/>
          <w:szCs w:val="24"/>
        </w:rPr>
        <w:t>Warning</w:t>
      </w:r>
      <w:proofErr w:type="spellEnd"/>
      <w:r w:rsidRPr="006F4E03">
        <w:rPr>
          <w:rFonts w:ascii="Times New Roman" w:hAnsi="Times New Roman" w:cs="Times New Roman"/>
          <w:sz w:val="24"/>
          <w:szCs w:val="24"/>
        </w:rPr>
        <w:t xml:space="preserve"> </w:t>
      </w:r>
      <w:proofErr w:type="spellStart"/>
      <w:r w:rsidRPr="006F4E03">
        <w:rPr>
          <w:rFonts w:ascii="Times New Roman" w:hAnsi="Times New Roman" w:cs="Times New Roman"/>
          <w:sz w:val="24"/>
          <w:szCs w:val="24"/>
        </w:rPr>
        <w:t>System</w:t>
      </w:r>
      <w:proofErr w:type="spellEnd"/>
      <w:r w:rsidRPr="006F4E03">
        <w:rPr>
          <w:rFonts w:ascii="Times New Roman" w:hAnsi="Times New Roman" w:cs="Times New Roman"/>
          <w:sz w:val="24"/>
          <w:szCs w:val="24"/>
        </w:rPr>
        <w:t xml:space="preserve"> and </w:t>
      </w:r>
      <w:proofErr w:type="spellStart"/>
      <w:r w:rsidRPr="006F4E03">
        <w:rPr>
          <w:rFonts w:ascii="Times New Roman" w:hAnsi="Times New Roman" w:cs="Times New Roman"/>
          <w:sz w:val="24"/>
          <w:szCs w:val="24"/>
        </w:rPr>
        <w:t>the</w:t>
      </w:r>
      <w:proofErr w:type="spellEnd"/>
      <w:r w:rsidRPr="006F4E03">
        <w:rPr>
          <w:rFonts w:ascii="Times New Roman" w:hAnsi="Times New Roman" w:cs="Times New Roman"/>
          <w:sz w:val="24"/>
          <w:szCs w:val="24"/>
        </w:rPr>
        <w:t xml:space="preserve"> </w:t>
      </w:r>
      <w:proofErr w:type="spellStart"/>
      <w:r w:rsidRPr="006F4E03">
        <w:rPr>
          <w:rFonts w:ascii="Times New Roman" w:hAnsi="Times New Roman" w:cs="Times New Roman"/>
          <w:sz w:val="24"/>
          <w:szCs w:val="24"/>
        </w:rPr>
        <w:t>Monti</w:t>
      </w:r>
      <w:proofErr w:type="spellEnd"/>
      <w:r w:rsidRPr="006F4E03">
        <w:rPr>
          <w:rFonts w:ascii="Times New Roman" w:hAnsi="Times New Roman" w:cs="Times New Roman"/>
          <w:sz w:val="24"/>
          <w:szCs w:val="24"/>
        </w:rPr>
        <w:t xml:space="preserve"> II </w:t>
      </w:r>
      <w:proofErr w:type="spellStart"/>
      <w:r w:rsidRPr="006F4E03">
        <w:rPr>
          <w:rFonts w:ascii="Times New Roman" w:hAnsi="Times New Roman" w:cs="Times New Roman"/>
          <w:sz w:val="24"/>
          <w:szCs w:val="24"/>
        </w:rPr>
        <w:t>Regulation</w:t>
      </w:r>
      <w:proofErr w:type="spellEnd"/>
      <w:r w:rsidRPr="006F4E03">
        <w:rPr>
          <w:rFonts w:ascii="Times New Roman" w:hAnsi="Times New Roman" w:cs="Times New Roman"/>
          <w:sz w:val="24"/>
          <w:szCs w:val="24"/>
        </w:rPr>
        <w:t xml:space="preserve">: </w:t>
      </w:r>
      <w:proofErr w:type="spellStart"/>
      <w:r w:rsidRPr="006F4E03">
        <w:rPr>
          <w:rFonts w:ascii="Times New Roman" w:hAnsi="Times New Roman" w:cs="Times New Roman"/>
          <w:sz w:val="24"/>
          <w:szCs w:val="24"/>
        </w:rPr>
        <w:t>The</w:t>
      </w:r>
      <w:proofErr w:type="spellEnd"/>
      <w:r w:rsidRPr="006F4E03">
        <w:rPr>
          <w:rFonts w:ascii="Times New Roman" w:hAnsi="Times New Roman" w:cs="Times New Roman"/>
          <w:sz w:val="24"/>
          <w:szCs w:val="24"/>
        </w:rPr>
        <w:t xml:space="preserve"> Case </w:t>
      </w:r>
      <w:proofErr w:type="spellStart"/>
      <w:r w:rsidRPr="006F4E03">
        <w:rPr>
          <w:rFonts w:ascii="Times New Roman" w:hAnsi="Times New Roman" w:cs="Times New Roman"/>
          <w:sz w:val="24"/>
          <w:szCs w:val="24"/>
        </w:rPr>
        <w:t>for</w:t>
      </w:r>
      <w:proofErr w:type="spellEnd"/>
      <w:r w:rsidRPr="006F4E03">
        <w:rPr>
          <w:rFonts w:ascii="Times New Roman" w:hAnsi="Times New Roman" w:cs="Times New Roman"/>
          <w:sz w:val="24"/>
          <w:szCs w:val="24"/>
        </w:rPr>
        <w:t xml:space="preserve"> a </w:t>
      </w:r>
      <w:proofErr w:type="spellStart"/>
      <w:r w:rsidRPr="006F4E03">
        <w:rPr>
          <w:rFonts w:ascii="Times New Roman" w:hAnsi="Times New Roman" w:cs="Times New Roman"/>
          <w:sz w:val="24"/>
          <w:szCs w:val="24"/>
        </w:rPr>
        <w:t>Political</w:t>
      </w:r>
      <w:proofErr w:type="spellEnd"/>
      <w:r w:rsidRPr="006F4E03">
        <w:rPr>
          <w:rFonts w:ascii="Times New Roman" w:hAnsi="Times New Roman" w:cs="Times New Roman"/>
          <w:sz w:val="24"/>
          <w:szCs w:val="24"/>
        </w:rPr>
        <w:t xml:space="preserve"> </w:t>
      </w:r>
      <w:proofErr w:type="spellStart"/>
      <w:r w:rsidRPr="006F4E03">
        <w:rPr>
          <w:rFonts w:ascii="Times New Roman" w:hAnsi="Times New Roman" w:cs="Times New Roman"/>
          <w:sz w:val="24"/>
          <w:szCs w:val="24"/>
        </w:rPr>
        <w:t>Interpretation</w:t>
      </w:r>
      <w:proofErr w:type="spellEnd"/>
      <w:r w:rsidRPr="006F4E03">
        <w:rPr>
          <w:rFonts w:ascii="Times New Roman" w:hAnsi="Times New Roman" w:cs="Times New Roman"/>
          <w:sz w:val="24"/>
          <w:szCs w:val="24"/>
        </w:rPr>
        <w:t xml:space="preserve">. </w:t>
      </w:r>
      <w:proofErr w:type="spellStart"/>
      <w:r w:rsidRPr="006F4E03">
        <w:rPr>
          <w:rFonts w:ascii="Times New Roman" w:hAnsi="Times New Roman" w:cs="Times New Roman"/>
          <w:i/>
          <w:sz w:val="24"/>
          <w:szCs w:val="24"/>
        </w:rPr>
        <w:t>European</w:t>
      </w:r>
      <w:proofErr w:type="spellEnd"/>
      <w:r w:rsidRPr="006F4E03">
        <w:rPr>
          <w:rFonts w:ascii="Times New Roman" w:hAnsi="Times New Roman" w:cs="Times New Roman"/>
          <w:i/>
          <w:sz w:val="24"/>
          <w:szCs w:val="24"/>
        </w:rPr>
        <w:t xml:space="preserve"> </w:t>
      </w:r>
      <w:proofErr w:type="spellStart"/>
      <w:r w:rsidRPr="006F4E03">
        <w:rPr>
          <w:rFonts w:ascii="Times New Roman" w:hAnsi="Times New Roman" w:cs="Times New Roman"/>
          <w:i/>
          <w:sz w:val="24"/>
          <w:szCs w:val="24"/>
        </w:rPr>
        <w:t>Constitutional</w:t>
      </w:r>
      <w:proofErr w:type="spellEnd"/>
      <w:r w:rsidRPr="006F4E03">
        <w:rPr>
          <w:rFonts w:ascii="Times New Roman" w:hAnsi="Times New Roman" w:cs="Times New Roman"/>
          <w:i/>
          <w:sz w:val="24"/>
          <w:szCs w:val="24"/>
        </w:rPr>
        <w:t xml:space="preserve"> </w:t>
      </w:r>
      <w:proofErr w:type="spellStart"/>
      <w:r w:rsidRPr="006F4E03">
        <w:rPr>
          <w:rFonts w:ascii="Times New Roman" w:hAnsi="Times New Roman" w:cs="Times New Roman"/>
          <w:i/>
          <w:sz w:val="24"/>
          <w:szCs w:val="24"/>
        </w:rPr>
        <w:t>Law</w:t>
      </w:r>
      <w:proofErr w:type="spellEnd"/>
      <w:r w:rsidRPr="006F4E03">
        <w:rPr>
          <w:rFonts w:ascii="Times New Roman" w:hAnsi="Times New Roman" w:cs="Times New Roman"/>
          <w:i/>
          <w:sz w:val="24"/>
          <w:szCs w:val="24"/>
        </w:rPr>
        <w:t xml:space="preserve"> </w:t>
      </w:r>
      <w:proofErr w:type="spellStart"/>
      <w:r w:rsidRPr="006F4E03">
        <w:rPr>
          <w:rFonts w:ascii="Times New Roman" w:hAnsi="Times New Roman" w:cs="Times New Roman"/>
          <w:i/>
          <w:sz w:val="24"/>
          <w:szCs w:val="24"/>
        </w:rPr>
        <w:t>Review</w:t>
      </w:r>
      <w:proofErr w:type="spellEnd"/>
      <w:r>
        <w:rPr>
          <w:rFonts w:ascii="Times New Roman" w:hAnsi="Times New Roman" w:cs="Times New Roman"/>
          <w:sz w:val="24"/>
          <w:szCs w:val="24"/>
        </w:rPr>
        <w:t xml:space="preserve">, 2014, vol. 10,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1, s. 90-108.</w:t>
      </w:r>
    </w:p>
    <w:p w:rsidR="00191B9E" w:rsidRDefault="00191B9E" w:rsidP="00191B9E">
      <w:pPr>
        <w:spacing w:line="360" w:lineRule="auto"/>
        <w:jc w:val="both"/>
        <w:rPr>
          <w:rFonts w:ascii="Times New Roman" w:hAnsi="Times New Roman" w:cs="Times New Roman"/>
          <w:sz w:val="24"/>
          <w:szCs w:val="24"/>
        </w:rPr>
      </w:pPr>
      <w:r w:rsidRPr="009E0A19">
        <w:rPr>
          <w:rFonts w:ascii="Times New Roman" w:hAnsi="Times New Roman" w:cs="Times New Roman"/>
          <w:sz w:val="24"/>
          <w:szCs w:val="24"/>
        </w:rPr>
        <w:t xml:space="preserve">GRINC, Jan. </w:t>
      </w:r>
      <w:r w:rsidRPr="001F2C32">
        <w:rPr>
          <w:rFonts w:ascii="Times New Roman" w:hAnsi="Times New Roman" w:cs="Times New Roman"/>
          <w:i/>
          <w:sz w:val="24"/>
          <w:szCs w:val="24"/>
        </w:rPr>
        <w:t>Národní parlamenty a demokratická legitimita Evropské unie</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2015. 315 s.</w:t>
      </w:r>
    </w:p>
    <w:p w:rsidR="00191B9E" w:rsidRDefault="00191B9E" w:rsidP="00191B9E">
      <w:pPr>
        <w:spacing w:line="360" w:lineRule="auto"/>
        <w:jc w:val="both"/>
        <w:rPr>
          <w:rFonts w:ascii="Times New Roman" w:hAnsi="Times New Roman" w:cs="Times New Roman"/>
          <w:sz w:val="24"/>
          <w:szCs w:val="24"/>
        </w:rPr>
      </w:pPr>
      <w:r w:rsidRPr="00633655">
        <w:rPr>
          <w:rFonts w:ascii="Times New Roman" w:hAnsi="Times New Roman" w:cs="Times New Roman"/>
          <w:sz w:val="24"/>
          <w:szCs w:val="24"/>
        </w:rPr>
        <w:t xml:space="preserve">GRINC, Jan. Projednávání záležitostí Evropské unie v Senátu po Lisabonské smlouvě: zhodnocení dosavadní praxe a podněty do budoucna. </w:t>
      </w:r>
      <w:r w:rsidRPr="00633655">
        <w:rPr>
          <w:rFonts w:ascii="Times New Roman" w:hAnsi="Times New Roman" w:cs="Times New Roman"/>
          <w:i/>
          <w:sz w:val="24"/>
          <w:szCs w:val="24"/>
        </w:rPr>
        <w:t xml:space="preserve">Acta </w:t>
      </w:r>
      <w:proofErr w:type="spellStart"/>
      <w:r w:rsidRPr="00633655">
        <w:rPr>
          <w:rFonts w:ascii="Times New Roman" w:hAnsi="Times New Roman" w:cs="Times New Roman"/>
          <w:i/>
          <w:sz w:val="24"/>
          <w:szCs w:val="24"/>
        </w:rPr>
        <w:t>Universitatis</w:t>
      </w:r>
      <w:proofErr w:type="spellEnd"/>
      <w:r w:rsidRPr="00633655">
        <w:rPr>
          <w:rFonts w:ascii="Times New Roman" w:hAnsi="Times New Roman" w:cs="Times New Roman"/>
          <w:i/>
          <w:sz w:val="24"/>
          <w:szCs w:val="24"/>
        </w:rPr>
        <w:t xml:space="preserve"> </w:t>
      </w:r>
      <w:proofErr w:type="spellStart"/>
      <w:r w:rsidRPr="00633655">
        <w:rPr>
          <w:rFonts w:ascii="Times New Roman" w:hAnsi="Times New Roman" w:cs="Times New Roman"/>
          <w:i/>
          <w:sz w:val="24"/>
          <w:szCs w:val="24"/>
        </w:rPr>
        <w:t>Carolinae</w:t>
      </w:r>
      <w:proofErr w:type="spellEnd"/>
      <w:r w:rsidRPr="00633655">
        <w:rPr>
          <w:rFonts w:ascii="Times New Roman" w:hAnsi="Times New Roman" w:cs="Times New Roman"/>
          <w:i/>
          <w:sz w:val="24"/>
          <w:szCs w:val="24"/>
        </w:rPr>
        <w:t xml:space="preserve"> </w:t>
      </w:r>
      <w:proofErr w:type="spellStart"/>
      <w:r w:rsidRPr="00633655">
        <w:rPr>
          <w:rFonts w:ascii="Times New Roman" w:hAnsi="Times New Roman" w:cs="Times New Roman"/>
          <w:i/>
          <w:sz w:val="24"/>
          <w:szCs w:val="24"/>
        </w:rPr>
        <w:t>Iuridica</w:t>
      </w:r>
      <w:proofErr w:type="spellEnd"/>
      <w:r w:rsidRPr="00633655">
        <w:rPr>
          <w:rFonts w:ascii="Times New Roman" w:hAnsi="Times New Roman" w:cs="Times New Roman"/>
          <w:sz w:val="24"/>
          <w:szCs w:val="24"/>
        </w:rPr>
        <w:t>, 2</w:t>
      </w:r>
      <w:r>
        <w:rPr>
          <w:rFonts w:ascii="Times New Roman" w:hAnsi="Times New Roman" w:cs="Times New Roman"/>
          <w:sz w:val="24"/>
          <w:szCs w:val="24"/>
        </w:rPr>
        <w:t>013, č. 4, s. 95-124</w:t>
      </w:r>
      <w:r w:rsidRPr="00633655">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CD16BA">
        <w:rPr>
          <w:rFonts w:ascii="Times New Roman" w:hAnsi="Times New Roman" w:cs="Times New Roman"/>
          <w:sz w:val="24"/>
          <w:szCs w:val="24"/>
        </w:rPr>
        <w:lastRenderedPageBreak/>
        <w:t xml:space="preserve">HAMUĽÁK, Ondrej, STEHLÍK, Václav. </w:t>
      </w:r>
      <w:r w:rsidRPr="00CD16BA">
        <w:rPr>
          <w:rFonts w:ascii="Times New Roman" w:hAnsi="Times New Roman" w:cs="Times New Roman"/>
          <w:i/>
          <w:sz w:val="24"/>
          <w:szCs w:val="24"/>
        </w:rPr>
        <w:t>Praktikum práva Evropské unie: ústavní základy a soudnictví</w:t>
      </w:r>
      <w:r w:rsidRPr="00CD16BA">
        <w:rPr>
          <w:rFonts w:ascii="Times New Roman" w:hAnsi="Times New Roman" w:cs="Times New Roman"/>
          <w:sz w:val="24"/>
          <w:szCs w:val="24"/>
        </w:rPr>
        <w:t>. 2.</w:t>
      </w:r>
      <w:r>
        <w:rPr>
          <w:rFonts w:ascii="Times New Roman" w:hAnsi="Times New Roman" w:cs="Times New Roman"/>
          <w:sz w:val="24"/>
          <w:szCs w:val="24"/>
        </w:rPr>
        <w:t xml:space="preserve"> vyd.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2013. 224 s.</w:t>
      </w:r>
    </w:p>
    <w:p w:rsidR="00191B9E" w:rsidRDefault="00191B9E" w:rsidP="00191B9E">
      <w:pPr>
        <w:spacing w:line="360" w:lineRule="auto"/>
        <w:jc w:val="both"/>
        <w:rPr>
          <w:rFonts w:ascii="Times New Roman" w:hAnsi="Times New Roman" w:cs="Times New Roman"/>
          <w:sz w:val="24"/>
          <w:szCs w:val="24"/>
        </w:rPr>
      </w:pPr>
      <w:r w:rsidRPr="00CA587D">
        <w:rPr>
          <w:rFonts w:ascii="Times New Roman" w:hAnsi="Times New Roman" w:cs="Times New Roman"/>
          <w:sz w:val="24"/>
          <w:szCs w:val="24"/>
        </w:rPr>
        <w:t>HODÁS, Milan. Národní par</w:t>
      </w:r>
      <w:r>
        <w:rPr>
          <w:rFonts w:ascii="Times New Roman" w:hAnsi="Times New Roman" w:cs="Times New Roman"/>
          <w:sz w:val="24"/>
          <w:szCs w:val="24"/>
        </w:rPr>
        <w:t>lament a Lisabonská smlouva. In</w:t>
      </w:r>
      <w:r w:rsidRPr="00CA587D">
        <w:rPr>
          <w:rFonts w:ascii="Times New Roman" w:hAnsi="Times New Roman" w:cs="Times New Roman"/>
          <w:sz w:val="24"/>
          <w:szCs w:val="24"/>
        </w:rPr>
        <w:t xml:space="preserve"> ŠIŠKOVÁ, Naděžda a kol. </w:t>
      </w:r>
      <w:r w:rsidRPr="008451EE">
        <w:rPr>
          <w:rFonts w:ascii="Times New Roman" w:hAnsi="Times New Roman" w:cs="Times New Roman"/>
          <w:i/>
          <w:sz w:val="24"/>
          <w:szCs w:val="24"/>
        </w:rPr>
        <w:t>Lisabonská smlouva a její dopady na evropské, mezinárodní a vnitrostátní právo členských států</w:t>
      </w:r>
      <w:r w:rsidRPr="00CA587D">
        <w:rPr>
          <w:rFonts w:ascii="Times New Roman" w:hAnsi="Times New Roman" w:cs="Times New Roman"/>
          <w:sz w:val="24"/>
          <w:szCs w:val="24"/>
        </w:rPr>
        <w:t>. Praha:</w:t>
      </w:r>
      <w:r>
        <w:rPr>
          <w:rFonts w:ascii="Times New Roman" w:hAnsi="Times New Roman" w:cs="Times New Roman"/>
          <w:sz w:val="24"/>
          <w:szCs w:val="24"/>
        </w:rPr>
        <w:t xml:space="preserve">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2012, s. 131-147</w:t>
      </w:r>
      <w:r w:rsidRPr="00CA587D">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760756">
        <w:rPr>
          <w:rFonts w:ascii="Times New Roman" w:hAnsi="Times New Roman" w:cs="Times New Roman"/>
          <w:sz w:val="24"/>
          <w:szCs w:val="24"/>
        </w:rPr>
        <w:t xml:space="preserve">HORSLEY, Thomas. Subsidiarity and </w:t>
      </w:r>
      <w:proofErr w:type="spellStart"/>
      <w:r w:rsidRPr="00760756">
        <w:rPr>
          <w:rFonts w:ascii="Times New Roman" w:hAnsi="Times New Roman" w:cs="Times New Roman"/>
          <w:sz w:val="24"/>
          <w:szCs w:val="24"/>
        </w:rPr>
        <w:t>the</w:t>
      </w:r>
      <w:proofErr w:type="spellEnd"/>
      <w:r w:rsidRPr="00760756">
        <w:rPr>
          <w:rFonts w:ascii="Times New Roman" w:hAnsi="Times New Roman" w:cs="Times New Roman"/>
          <w:sz w:val="24"/>
          <w:szCs w:val="24"/>
        </w:rPr>
        <w:t xml:space="preserve"> </w:t>
      </w:r>
      <w:proofErr w:type="spellStart"/>
      <w:r w:rsidRPr="00760756">
        <w:rPr>
          <w:rFonts w:ascii="Times New Roman" w:hAnsi="Times New Roman" w:cs="Times New Roman"/>
          <w:sz w:val="24"/>
          <w:szCs w:val="24"/>
        </w:rPr>
        <w:t>European</w:t>
      </w:r>
      <w:proofErr w:type="spellEnd"/>
      <w:r w:rsidRPr="00760756">
        <w:rPr>
          <w:rFonts w:ascii="Times New Roman" w:hAnsi="Times New Roman" w:cs="Times New Roman"/>
          <w:sz w:val="24"/>
          <w:szCs w:val="24"/>
        </w:rPr>
        <w:t xml:space="preserve"> </w:t>
      </w:r>
      <w:proofErr w:type="spellStart"/>
      <w:r w:rsidRPr="00760756">
        <w:rPr>
          <w:rFonts w:ascii="Times New Roman" w:hAnsi="Times New Roman" w:cs="Times New Roman"/>
          <w:sz w:val="24"/>
          <w:szCs w:val="24"/>
        </w:rPr>
        <w:t>Court</w:t>
      </w:r>
      <w:proofErr w:type="spellEnd"/>
      <w:r w:rsidRPr="00760756">
        <w:rPr>
          <w:rFonts w:ascii="Times New Roman" w:hAnsi="Times New Roman" w:cs="Times New Roman"/>
          <w:sz w:val="24"/>
          <w:szCs w:val="24"/>
        </w:rPr>
        <w:t xml:space="preserve"> </w:t>
      </w:r>
      <w:proofErr w:type="spellStart"/>
      <w:r w:rsidRPr="00760756">
        <w:rPr>
          <w:rFonts w:ascii="Times New Roman" w:hAnsi="Times New Roman" w:cs="Times New Roman"/>
          <w:sz w:val="24"/>
          <w:szCs w:val="24"/>
        </w:rPr>
        <w:t>of</w:t>
      </w:r>
      <w:proofErr w:type="spellEnd"/>
      <w:r w:rsidRPr="00760756">
        <w:rPr>
          <w:rFonts w:ascii="Times New Roman" w:hAnsi="Times New Roman" w:cs="Times New Roman"/>
          <w:sz w:val="24"/>
          <w:szCs w:val="24"/>
        </w:rPr>
        <w:t xml:space="preserve"> Justice: </w:t>
      </w:r>
      <w:proofErr w:type="spellStart"/>
      <w:r w:rsidRPr="00760756">
        <w:rPr>
          <w:rFonts w:ascii="Times New Roman" w:hAnsi="Times New Roman" w:cs="Times New Roman"/>
          <w:sz w:val="24"/>
          <w:szCs w:val="24"/>
        </w:rPr>
        <w:t>Missing</w:t>
      </w:r>
      <w:proofErr w:type="spellEnd"/>
      <w:r w:rsidRPr="00760756">
        <w:rPr>
          <w:rFonts w:ascii="Times New Roman" w:hAnsi="Times New Roman" w:cs="Times New Roman"/>
          <w:sz w:val="24"/>
          <w:szCs w:val="24"/>
        </w:rPr>
        <w:t xml:space="preserve"> </w:t>
      </w:r>
      <w:proofErr w:type="spellStart"/>
      <w:r w:rsidRPr="00760756">
        <w:rPr>
          <w:rFonts w:ascii="Times New Roman" w:hAnsi="Times New Roman" w:cs="Times New Roman"/>
          <w:sz w:val="24"/>
          <w:szCs w:val="24"/>
        </w:rPr>
        <w:t>Pieces</w:t>
      </w:r>
      <w:proofErr w:type="spellEnd"/>
      <w:r w:rsidRPr="00760756">
        <w:rPr>
          <w:rFonts w:ascii="Times New Roman" w:hAnsi="Times New Roman" w:cs="Times New Roman"/>
          <w:sz w:val="24"/>
          <w:szCs w:val="24"/>
        </w:rPr>
        <w:t xml:space="preserve"> in </w:t>
      </w:r>
      <w:proofErr w:type="spellStart"/>
      <w:r w:rsidRPr="00760756">
        <w:rPr>
          <w:rFonts w:ascii="Times New Roman" w:hAnsi="Times New Roman" w:cs="Times New Roman"/>
          <w:sz w:val="24"/>
          <w:szCs w:val="24"/>
        </w:rPr>
        <w:t>the</w:t>
      </w:r>
      <w:proofErr w:type="spellEnd"/>
      <w:r w:rsidRPr="00760756">
        <w:rPr>
          <w:rFonts w:ascii="Times New Roman" w:hAnsi="Times New Roman" w:cs="Times New Roman"/>
          <w:sz w:val="24"/>
          <w:szCs w:val="24"/>
        </w:rPr>
        <w:t xml:space="preserve"> Subsidiarity </w:t>
      </w:r>
      <w:proofErr w:type="spellStart"/>
      <w:r w:rsidRPr="00760756">
        <w:rPr>
          <w:rFonts w:ascii="Times New Roman" w:hAnsi="Times New Roman" w:cs="Times New Roman"/>
          <w:sz w:val="24"/>
          <w:szCs w:val="24"/>
        </w:rPr>
        <w:t>Jigsaw</w:t>
      </w:r>
      <w:proofErr w:type="spellEnd"/>
      <w:r w:rsidRPr="00760756">
        <w:rPr>
          <w:rFonts w:ascii="Times New Roman" w:hAnsi="Times New Roman" w:cs="Times New Roman"/>
          <w:sz w:val="24"/>
          <w:szCs w:val="24"/>
        </w:rPr>
        <w:t xml:space="preserve">? </w:t>
      </w:r>
      <w:proofErr w:type="spellStart"/>
      <w:r w:rsidRPr="00760756">
        <w:rPr>
          <w:rFonts w:ascii="Times New Roman" w:hAnsi="Times New Roman" w:cs="Times New Roman"/>
          <w:i/>
          <w:sz w:val="24"/>
          <w:szCs w:val="24"/>
        </w:rPr>
        <w:t>Journal</w:t>
      </w:r>
      <w:proofErr w:type="spellEnd"/>
      <w:r w:rsidRPr="00760756">
        <w:rPr>
          <w:rFonts w:ascii="Times New Roman" w:hAnsi="Times New Roman" w:cs="Times New Roman"/>
          <w:i/>
          <w:sz w:val="24"/>
          <w:szCs w:val="24"/>
        </w:rPr>
        <w:t xml:space="preserve"> </w:t>
      </w:r>
      <w:proofErr w:type="spellStart"/>
      <w:r w:rsidRPr="00760756">
        <w:rPr>
          <w:rFonts w:ascii="Times New Roman" w:hAnsi="Times New Roman" w:cs="Times New Roman"/>
          <w:i/>
          <w:sz w:val="24"/>
          <w:szCs w:val="24"/>
        </w:rPr>
        <w:t>of</w:t>
      </w:r>
      <w:proofErr w:type="spellEnd"/>
      <w:r w:rsidRPr="00760756">
        <w:rPr>
          <w:rFonts w:ascii="Times New Roman" w:hAnsi="Times New Roman" w:cs="Times New Roman"/>
          <w:i/>
          <w:sz w:val="24"/>
          <w:szCs w:val="24"/>
        </w:rPr>
        <w:t xml:space="preserve"> </w:t>
      </w:r>
      <w:proofErr w:type="spellStart"/>
      <w:r w:rsidRPr="00760756">
        <w:rPr>
          <w:rFonts w:ascii="Times New Roman" w:hAnsi="Times New Roman" w:cs="Times New Roman"/>
          <w:i/>
          <w:sz w:val="24"/>
          <w:szCs w:val="24"/>
        </w:rPr>
        <w:t>Common</w:t>
      </w:r>
      <w:proofErr w:type="spellEnd"/>
      <w:r w:rsidRPr="00760756">
        <w:rPr>
          <w:rFonts w:ascii="Times New Roman" w:hAnsi="Times New Roman" w:cs="Times New Roman"/>
          <w:i/>
          <w:sz w:val="24"/>
          <w:szCs w:val="24"/>
        </w:rPr>
        <w:t xml:space="preserve"> Market </w:t>
      </w:r>
      <w:proofErr w:type="spellStart"/>
      <w:r w:rsidRPr="00760756">
        <w:rPr>
          <w:rFonts w:ascii="Times New Roman" w:hAnsi="Times New Roman" w:cs="Times New Roman"/>
          <w:i/>
          <w:sz w:val="24"/>
          <w:szCs w:val="24"/>
        </w:rPr>
        <w:t>Studies</w:t>
      </w:r>
      <w:proofErr w:type="spellEnd"/>
      <w:r>
        <w:rPr>
          <w:rFonts w:ascii="Times New Roman" w:hAnsi="Times New Roman" w:cs="Times New Roman"/>
          <w:sz w:val="24"/>
          <w:szCs w:val="24"/>
        </w:rPr>
        <w:t>, 2012, vol. 50, no. 2, s. 267-282</w:t>
      </w:r>
      <w:r w:rsidRPr="00760756">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Pr>
          <w:rFonts w:ascii="Times New Roman" w:hAnsi="Times New Roman" w:cs="Times New Roman"/>
          <w:sz w:val="24"/>
          <w:szCs w:val="24"/>
        </w:rPr>
        <w:t>HOUSE OF LORDS</w:t>
      </w:r>
      <w:r w:rsidRPr="005D62D3">
        <w:rPr>
          <w:rFonts w:ascii="Times New Roman" w:hAnsi="Times New Roman" w:cs="Times New Roman"/>
          <w:sz w:val="24"/>
          <w:szCs w:val="24"/>
        </w:rPr>
        <w:t xml:space="preserve">. </w:t>
      </w:r>
      <w:proofErr w:type="spellStart"/>
      <w:r w:rsidRPr="005D62D3">
        <w:rPr>
          <w:rFonts w:ascii="Times New Roman" w:hAnsi="Times New Roman" w:cs="Times New Roman"/>
          <w:i/>
          <w:sz w:val="24"/>
          <w:szCs w:val="24"/>
        </w:rPr>
        <w:t>The</w:t>
      </w:r>
      <w:proofErr w:type="spellEnd"/>
      <w:r w:rsidRPr="005D62D3">
        <w:rPr>
          <w:rFonts w:ascii="Times New Roman" w:hAnsi="Times New Roman" w:cs="Times New Roman"/>
          <w:i/>
          <w:sz w:val="24"/>
          <w:szCs w:val="24"/>
        </w:rPr>
        <w:t xml:space="preserve"> Role </w:t>
      </w:r>
      <w:proofErr w:type="spellStart"/>
      <w:r w:rsidRPr="005D62D3">
        <w:rPr>
          <w:rFonts w:ascii="Times New Roman" w:hAnsi="Times New Roman" w:cs="Times New Roman"/>
          <w:i/>
          <w:sz w:val="24"/>
          <w:szCs w:val="24"/>
        </w:rPr>
        <w:t>of</w:t>
      </w:r>
      <w:proofErr w:type="spellEnd"/>
      <w:r w:rsidRPr="005D62D3">
        <w:rPr>
          <w:rFonts w:ascii="Times New Roman" w:hAnsi="Times New Roman" w:cs="Times New Roman"/>
          <w:i/>
          <w:sz w:val="24"/>
          <w:szCs w:val="24"/>
        </w:rPr>
        <w:t xml:space="preserve"> </w:t>
      </w:r>
      <w:proofErr w:type="spellStart"/>
      <w:r w:rsidRPr="005D62D3">
        <w:rPr>
          <w:rFonts w:ascii="Times New Roman" w:hAnsi="Times New Roman" w:cs="Times New Roman"/>
          <w:i/>
          <w:sz w:val="24"/>
          <w:szCs w:val="24"/>
        </w:rPr>
        <w:t>National</w:t>
      </w:r>
      <w:proofErr w:type="spellEnd"/>
      <w:r w:rsidRPr="005D62D3">
        <w:rPr>
          <w:rFonts w:ascii="Times New Roman" w:hAnsi="Times New Roman" w:cs="Times New Roman"/>
          <w:i/>
          <w:sz w:val="24"/>
          <w:szCs w:val="24"/>
        </w:rPr>
        <w:t xml:space="preserve"> </w:t>
      </w:r>
      <w:proofErr w:type="spellStart"/>
      <w:r w:rsidRPr="005D62D3">
        <w:rPr>
          <w:rFonts w:ascii="Times New Roman" w:hAnsi="Times New Roman" w:cs="Times New Roman"/>
          <w:i/>
          <w:sz w:val="24"/>
          <w:szCs w:val="24"/>
        </w:rPr>
        <w:t>Parliaments</w:t>
      </w:r>
      <w:proofErr w:type="spellEnd"/>
      <w:r w:rsidRPr="005D62D3">
        <w:rPr>
          <w:rFonts w:ascii="Times New Roman" w:hAnsi="Times New Roman" w:cs="Times New Roman"/>
          <w:i/>
          <w:sz w:val="24"/>
          <w:szCs w:val="24"/>
        </w:rPr>
        <w:t xml:space="preserve"> in </w:t>
      </w:r>
      <w:proofErr w:type="spellStart"/>
      <w:r w:rsidRPr="005D62D3">
        <w:rPr>
          <w:rFonts w:ascii="Times New Roman" w:hAnsi="Times New Roman" w:cs="Times New Roman"/>
          <w:i/>
          <w:sz w:val="24"/>
          <w:szCs w:val="24"/>
        </w:rPr>
        <w:t>the</w:t>
      </w:r>
      <w:proofErr w:type="spellEnd"/>
      <w:r w:rsidRPr="005D62D3">
        <w:rPr>
          <w:rFonts w:ascii="Times New Roman" w:hAnsi="Times New Roman" w:cs="Times New Roman"/>
          <w:i/>
          <w:sz w:val="24"/>
          <w:szCs w:val="24"/>
        </w:rPr>
        <w:t xml:space="preserve"> </w:t>
      </w:r>
      <w:proofErr w:type="spellStart"/>
      <w:r w:rsidRPr="005D62D3">
        <w:rPr>
          <w:rFonts w:ascii="Times New Roman" w:hAnsi="Times New Roman" w:cs="Times New Roman"/>
          <w:i/>
          <w:sz w:val="24"/>
          <w:szCs w:val="24"/>
        </w:rPr>
        <w:t>European</w:t>
      </w:r>
      <w:proofErr w:type="spellEnd"/>
      <w:r w:rsidRPr="005D62D3">
        <w:rPr>
          <w:rFonts w:ascii="Times New Roman" w:hAnsi="Times New Roman" w:cs="Times New Roman"/>
          <w:i/>
          <w:sz w:val="24"/>
          <w:szCs w:val="24"/>
        </w:rPr>
        <w:t xml:space="preserve"> Union</w:t>
      </w:r>
      <w:r w:rsidRPr="005D62D3">
        <w:rPr>
          <w:rFonts w:ascii="Times New Roman" w:hAnsi="Times New Roman" w:cs="Times New Roman"/>
          <w:sz w:val="24"/>
          <w:szCs w:val="24"/>
        </w:rPr>
        <w:t xml:space="preserve"> [online]. UK </w:t>
      </w:r>
      <w:proofErr w:type="spellStart"/>
      <w:r w:rsidRPr="005D62D3">
        <w:rPr>
          <w:rFonts w:ascii="Times New Roman" w:hAnsi="Times New Roman" w:cs="Times New Roman"/>
          <w:sz w:val="24"/>
          <w:szCs w:val="24"/>
        </w:rPr>
        <w:t>Parliament</w:t>
      </w:r>
      <w:proofErr w:type="spellEnd"/>
      <w:r w:rsidRPr="005D62D3">
        <w:rPr>
          <w:rFonts w:ascii="Times New Roman" w:hAnsi="Times New Roman" w:cs="Times New Roman"/>
          <w:sz w:val="24"/>
          <w:szCs w:val="24"/>
        </w:rPr>
        <w:t>, 24</w:t>
      </w:r>
      <w:r>
        <w:rPr>
          <w:rFonts w:ascii="Times New Roman" w:hAnsi="Times New Roman" w:cs="Times New Roman"/>
          <w:sz w:val="24"/>
          <w:szCs w:val="24"/>
        </w:rPr>
        <w:t>.</w:t>
      </w:r>
      <w:r w:rsidRPr="005D62D3">
        <w:rPr>
          <w:rFonts w:ascii="Times New Roman" w:hAnsi="Times New Roman" w:cs="Times New Roman"/>
          <w:sz w:val="24"/>
          <w:szCs w:val="24"/>
        </w:rPr>
        <w:t xml:space="preserve"> března 2014 [cit. 29. února 2016]. Dostupné na &lt;http://www.parliament.uk</w:t>
      </w:r>
      <w:r>
        <w:rPr>
          <w:rFonts w:ascii="Times New Roman" w:hAnsi="Times New Roman" w:cs="Times New Roman"/>
          <w:sz w:val="24"/>
          <w:szCs w:val="24"/>
        </w:rPr>
        <w:t xml:space="preserve"> </w:t>
      </w:r>
      <w:r w:rsidRPr="005D62D3">
        <w:rPr>
          <w:rFonts w:ascii="Times New Roman" w:hAnsi="Times New Roman" w:cs="Times New Roman"/>
          <w:sz w:val="24"/>
          <w:szCs w:val="24"/>
        </w:rPr>
        <w:t>/</w:t>
      </w:r>
      <w:proofErr w:type="spellStart"/>
      <w:r w:rsidRPr="005D62D3">
        <w:rPr>
          <w:rFonts w:ascii="Times New Roman" w:hAnsi="Times New Roman" w:cs="Times New Roman"/>
          <w:sz w:val="24"/>
          <w:szCs w:val="24"/>
        </w:rPr>
        <w:t>documents</w:t>
      </w:r>
      <w:proofErr w:type="spellEnd"/>
      <w:r w:rsidRPr="005D62D3">
        <w:rPr>
          <w:rFonts w:ascii="Times New Roman" w:hAnsi="Times New Roman" w:cs="Times New Roman"/>
          <w:sz w:val="24"/>
          <w:szCs w:val="24"/>
        </w:rPr>
        <w:t>/Role-of-National-Parliaments.pdf&gt;.</w:t>
      </w:r>
    </w:p>
    <w:p w:rsidR="00191B9E" w:rsidRDefault="00191B9E" w:rsidP="00191B9E">
      <w:pPr>
        <w:spacing w:line="360" w:lineRule="auto"/>
        <w:jc w:val="both"/>
        <w:rPr>
          <w:rFonts w:ascii="Times New Roman" w:hAnsi="Times New Roman" w:cs="Times New Roman"/>
          <w:sz w:val="24"/>
          <w:szCs w:val="24"/>
        </w:rPr>
      </w:pPr>
      <w:r w:rsidRPr="004C3CAB">
        <w:rPr>
          <w:rFonts w:ascii="Times New Roman" w:hAnsi="Times New Roman" w:cs="Times New Roman"/>
          <w:sz w:val="24"/>
          <w:szCs w:val="24"/>
        </w:rPr>
        <w:t xml:space="preserve">JANČIC, </w:t>
      </w:r>
      <w:proofErr w:type="spellStart"/>
      <w:r w:rsidRPr="004C3CAB">
        <w:rPr>
          <w:rFonts w:ascii="Times New Roman" w:hAnsi="Times New Roman" w:cs="Times New Roman"/>
          <w:sz w:val="24"/>
          <w:szCs w:val="24"/>
        </w:rPr>
        <w:t>Davor</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The</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Barroso</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Initiative</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Window</w:t>
      </w:r>
      <w:proofErr w:type="spellEnd"/>
      <w:r w:rsidRPr="004C3CAB">
        <w:rPr>
          <w:rFonts w:ascii="Times New Roman" w:hAnsi="Times New Roman" w:cs="Times New Roman"/>
          <w:sz w:val="24"/>
          <w:szCs w:val="24"/>
        </w:rPr>
        <w:t xml:space="preserve"> Dressing </w:t>
      </w:r>
      <w:proofErr w:type="spellStart"/>
      <w:r w:rsidRPr="004C3CAB">
        <w:rPr>
          <w:rFonts w:ascii="Times New Roman" w:hAnsi="Times New Roman" w:cs="Times New Roman"/>
          <w:sz w:val="24"/>
          <w:szCs w:val="24"/>
        </w:rPr>
        <w:t>or</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Democracy</w:t>
      </w:r>
      <w:proofErr w:type="spellEnd"/>
      <w:r w:rsidRPr="004C3CAB">
        <w:rPr>
          <w:rFonts w:ascii="Times New Roman" w:hAnsi="Times New Roman" w:cs="Times New Roman"/>
          <w:sz w:val="24"/>
          <w:szCs w:val="24"/>
        </w:rPr>
        <w:t xml:space="preserve"> </w:t>
      </w:r>
      <w:proofErr w:type="spellStart"/>
      <w:r w:rsidRPr="004C3CAB">
        <w:rPr>
          <w:rFonts w:ascii="Times New Roman" w:hAnsi="Times New Roman" w:cs="Times New Roman"/>
          <w:sz w:val="24"/>
          <w:szCs w:val="24"/>
        </w:rPr>
        <w:t>Boost</w:t>
      </w:r>
      <w:proofErr w:type="spellEnd"/>
      <w:r w:rsidRPr="004C3CAB">
        <w:rPr>
          <w:rFonts w:ascii="Times New Roman" w:hAnsi="Times New Roman" w:cs="Times New Roman"/>
          <w:sz w:val="24"/>
          <w:szCs w:val="24"/>
        </w:rPr>
        <w:t xml:space="preserve">? </w:t>
      </w:r>
      <w:r w:rsidRPr="004C3CAB">
        <w:rPr>
          <w:rFonts w:ascii="Times New Roman" w:hAnsi="Times New Roman" w:cs="Times New Roman"/>
          <w:i/>
          <w:sz w:val="24"/>
          <w:szCs w:val="24"/>
        </w:rPr>
        <w:t xml:space="preserve">Utrecht </w:t>
      </w:r>
      <w:proofErr w:type="spellStart"/>
      <w:r w:rsidRPr="004C3CAB">
        <w:rPr>
          <w:rFonts w:ascii="Times New Roman" w:hAnsi="Times New Roman" w:cs="Times New Roman"/>
          <w:i/>
          <w:sz w:val="24"/>
          <w:szCs w:val="24"/>
        </w:rPr>
        <w:t>Law</w:t>
      </w:r>
      <w:proofErr w:type="spellEnd"/>
      <w:r w:rsidRPr="004C3CAB">
        <w:rPr>
          <w:rFonts w:ascii="Times New Roman" w:hAnsi="Times New Roman" w:cs="Times New Roman"/>
          <w:i/>
          <w:sz w:val="24"/>
          <w:szCs w:val="24"/>
        </w:rPr>
        <w:t xml:space="preserve"> </w:t>
      </w:r>
      <w:proofErr w:type="spellStart"/>
      <w:r w:rsidRPr="004C3CAB">
        <w:rPr>
          <w:rFonts w:ascii="Times New Roman" w:hAnsi="Times New Roman" w:cs="Times New Roman"/>
          <w:i/>
          <w:sz w:val="24"/>
          <w:szCs w:val="24"/>
        </w:rPr>
        <w:t>Review</w:t>
      </w:r>
      <w:proofErr w:type="spellEnd"/>
      <w:r>
        <w:rPr>
          <w:rFonts w:ascii="Times New Roman" w:hAnsi="Times New Roman" w:cs="Times New Roman"/>
          <w:sz w:val="24"/>
          <w:szCs w:val="24"/>
        </w:rPr>
        <w:t xml:space="preserve">, 2012, vol. 8,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1, s. 78-91</w:t>
      </w:r>
      <w:r w:rsidRPr="004C3CAB">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rPr>
      </w:pPr>
      <w:r w:rsidRPr="00BD3FBE">
        <w:rPr>
          <w:rFonts w:ascii="Times New Roman" w:hAnsi="Times New Roman" w:cs="Times New Roman"/>
          <w:sz w:val="24"/>
        </w:rPr>
        <w:t xml:space="preserve">JANČIČ, </w:t>
      </w:r>
      <w:proofErr w:type="spellStart"/>
      <w:r w:rsidRPr="00BD3FBE">
        <w:rPr>
          <w:rFonts w:ascii="Times New Roman" w:hAnsi="Times New Roman" w:cs="Times New Roman"/>
          <w:sz w:val="24"/>
        </w:rPr>
        <w:t>Davor</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The</w:t>
      </w:r>
      <w:proofErr w:type="spellEnd"/>
      <w:r w:rsidRPr="00BD3FBE">
        <w:rPr>
          <w:rFonts w:ascii="Times New Roman" w:hAnsi="Times New Roman" w:cs="Times New Roman"/>
          <w:sz w:val="24"/>
        </w:rPr>
        <w:t xml:space="preserve"> game </w:t>
      </w:r>
      <w:proofErr w:type="spellStart"/>
      <w:r w:rsidRPr="00BD3FBE">
        <w:rPr>
          <w:rFonts w:ascii="Times New Roman" w:hAnsi="Times New Roman" w:cs="Times New Roman"/>
          <w:sz w:val="24"/>
        </w:rPr>
        <w:t>of</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cards</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National</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parliaments</w:t>
      </w:r>
      <w:proofErr w:type="spellEnd"/>
      <w:r w:rsidRPr="00BD3FBE">
        <w:rPr>
          <w:rFonts w:ascii="Times New Roman" w:hAnsi="Times New Roman" w:cs="Times New Roman"/>
          <w:sz w:val="24"/>
        </w:rPr>
        <w:t xml:space="preserve"> in </w:t>
      </w:r>
      <w:proofErr w:type="spellStart"/>
      <w:r w:rsidRPr="00BD3FBE">
        <w:rPr>
          <w:rFonts w:ascii="Times New Roman" w:hAnsi="Times New Roman" w:cs="Times New Roman"/>
          <w:sz w:val="24"/>
        </w:rPr>
        <w:t>the</w:t>
      </w:r>
      <w:proofErr w:type="spellEnd"/>
      <w:r w:rsidRPr="00BD3FBE">
        <w:rPr>
          <w:rFonts w:ascii="Times New Roman" w:hAnsi="Times New Roman" w:cs="Times New Roman"/>
          <w:sz w:val="24"/>
        </w:rPr>
        <w:t xml:space="preserve"> EU and </w:t>
      </w:r>
      <w:proofErr w:type="spellStart"/>
      <w:r w:rsidRPr="00BD3FBE">
        <w:rPr>
          <w:rFonts w:ascii="Times New Roman" w:hAnsi="Times New Roman" w:cs="Times New Roman"/>
          <w:sz w:val="24"/>
        </w:rPr>
        <w:t>the</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future</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of</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the</w:t>
      </w:r>
      <w:proofErr w:type="spellEnd"/>
      <w:r w:rsidRPr="00BD3FBE">
        <w:rPr>
          <w:rFonts w:ascii="Times New Roman" w:hAnsi="Times New Roman" w:cs="Times New Roman"/>
          <w:sz w:val="24"/>
        </w:rPr>
        <w:t xml:space="preserve"> early </w:t>
      </w:r>
      <w:proofErr w:type="spellStart"/>
      <w:r w:rsidRPr="00BD3FBE">
        <w:rPr>
          <w:rFonts w:ascii="Times New Roman" w:hAnsi="Times New Roman" w:cs="Times New Roman"/>
          <w:sz w:val="24"/>
        </w:rPr>
        <w:t>warning</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mechanism</w:t>
      </w:r>
      <w:proofErr w:type="spellEnd"/>
      <w:r w:rsidRPr="00BD3FBE">
        <w:rPr>
          <w:rFonts w:ascii="Times New Roman" w:hAnsi="Times New Roman" w:cs="Times New Roman"/>
          <w:sz w:val="24"/>
        </w:rPr>
        <w:t xml:space="preserve"> and </w:t>
      </w:r>
      <w:proofErr w:type="spellStart"/>
      <w:r w:rsidRPr="00BD3FBE">
        <w:rPr>
          <w:rFonts w:ascii="Times New Roman" w:hAnsi="Times New Roman" w:cs="Times New Roman"/>
          <w:sz w:val="24"/>
        </w:rPr>
        <w:t>the</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political</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sz w:val="24"/>
        </w:rPr>
        <w:t>dialogue</w:t>
      </w:r>
      <w:proofErr w:type="spellEnd"/>
      <w:r w:rsidRPr="00BD3FBE">
        <w:rPr>
          <w:rFonts w:ascii="Times New Roman" w:hAnsi="Times New Roman" w:cs="Times New Roman"/>
          <w:sz w:val="24"/>
        </w:rPr>
        <w:t xml:space="preserve">. </w:t>
      </w:r>
      <w:proofErr w:type="spellStart"/>
      <w:r w:rsidRPr="00BD3FBE">
        <w:rPr>
          <w:rFonts w:ascii="Times New Roman" w:hAnsi="Times New Roman" w:cs="Times New Roman"/>
          <w:i/>
          <w:sz w:val="24"/>
        </w:rPr>
        <w:t>Common</w:t>
      </w:r>
      <w:proofErr w:type="spellEnd"/>
      <w:r w:rsidRPr="00BD3FBE">
        <w:rPr>
          <w:rFonts w:ascii="Times New Roman" w:hAnsi="Times New Roman" w:cs="Times New Roman"/>
          <w:i/>
          <w:sz w:val="24"/>
        </w:rPr>
        <w:t xml:space="preserve"> Market </w:t>
      </w:r>
      <w:proofErr w:type="spellStart"/>
      <w:r w:rsidRPr="00BD3FBE">
        <w:rPr>
          <w:rFonts w:ascii="Times New Roman" w:hAnsi="Times New Roman" w:cs="Times New Roman"/>
          <w:i/>
          <w:sz w:val="24"/>
        </w:rPr>
        <w:t>Law</w:t>
      </w:r>
      <w:proofErr w:type="spellEnd"/>
      <w:r w:rsidRPr="00BD3FBE">
        <w:rPr>
          <w:rFonts w:ascii="Times New Roman" w:hAnsi="Times New Roman" w:cs="Times New Roman"/>
          <w:i/>
          <w:sz w:val="24"/>
        </w:rPr>
        <w:t xml:space="preserve"> </w:t>
      </w:r>
      <w:proofErr w:type="spellStart"/>
      <w:r w:rsidRPr="00BD3FBE">
        <w:rPr>
          <w:rFonts w:ascii="Times New Roman" w:hAnsi="Times New Roman" w:cs="Times New Roman"/>
          <w:i/>
          <w:sz w:val="24"/>
        </w:rPr>
        <w:t>Review</w:t>
      </w:r>
      <w:proofErr w:type="spellEnd"/>
      <w:r>
        <w:rPr>
          <w:rFonts w:ascii="Times New Roman" w:hAnsi="Times New Roman" w:cs="Times New Roman"/>
          <w:sz w:val="24"/>
        </w:rPr>
        <w:t xml:space="preserve">, 2015, vol. 52, </w:t>
      </w:r>
      <w:proofErr w:type="spellStart"/>
      <w:r>
        <w:rPr>
          <w:rFonts w:ascii="Times New Roman" w:hAnsi="Times New Roman" w:cs="Times New Roman"/>
          <w:sz w:val="24"/>
        </w:rPr>
        <w:t>issue</w:t>
      </w:r>
      <w:proofErr w:type="spellEnd"/>
      <w:r>
        <w:rPr>
          <w:rFonts w:ascii="Times New Roman" w:hAnsi="Times New Roman" w:cs="Times New Roman"/>
          <w:sz w:val="24"/>
        </w:rPr>
        <w:t xml:space="preserve"> 4, s. 939-976</w:t>
      </w:r>
      <w:r w:rsidRPr="00BD3FBE">
        <w:rPr>
          <w:rFonts w:ascii="Times New Roman" w:hAnsi="Times New Roman" w:cs="Times New Roman"/>
          <w:sz w:val="24"/>
        </w:rPr>
        <w:t>.</w:t>
      </w:r>
    </w:p>
    <w:p w:rsidR="00191B9E" w:rsidRPr="003A5FC5" w:rsidRDefault="00191B9E" w:rsidP="00191B9E">
      <w:pPr>
        <w:spacing w:line="360" w:lineRule="auto"/>
        <w:jc w:val="both"/>
        <w:rPr>
          <w:rFonts w:ascii="Times New Roman" w:hAnsi="Times New Roman" w:cs="Times New Roman"/>
          <w:sz w:val="32"/>
          <w:szCs w:val="24"/>
        </w:rPr>
      </w:pPr>
      <w:r w:rsidRPr="003A5FC5">
        <w:rPr>
          <w:rFonts w:ascii="Times New Roman" w:hAnsi="Times New Roman" w:cs="Times New Roman"/>
          <w:sz w:val="24"/>
        </w:rPr>
        <w:t xml:space="preserve">JANČIČ, </w:t>
      </w:r>
      <w:proofErr w:type="spellStart"/>
      <w:r w:rsidRPr="003A5FC5">
        <w:rPr>
          <w:rFonts w:ascii="Times New Roman" w:hAnsi="Times New Roman" w:cs="Times New Roman"/>
          <w:sz w:val="24"/>
        </w:rPr>
        <w:t>Davor</w:t>
      </w:r>
      <w:proofErr w:type="spellEnd"/>
      <w:r w:rsidRPr="003A5FC5">
        <w:rPr>
          <w:rFonts w:ascii="Times New Roman" w:hAnsi="Times New Roman" w:cs="Times New Roman"/>
          <w:sz w:val="24"/>
        </w:rPr>
        <w:t xml:space="preserve">. </w:t>
      </w:r>
      <w:proofErr w:type="spellStart"/>
      <w:r w:rsidRPr="00A55BE5">
        <w:rPr>
          <w:rFonts w:ascii="Times New Roman" w:hAnsi="Times New Roman" w:cs="Times New Roman"/>
          <w:sz w:val="24"/>
        </w:rPr>
        <w:t>The</w:t>
      </w:r>
      <w:proofErr w:type="spellEnd"/>
      <w:r w:rsidRPr="00A55BE5">
        <w:rPr>
          <w:rFonts w:ascii="Times New Roman" w:hAnsi="Times New Roman" w:cs="Times New Roman"/>
          <w:sz w:val="24"/>
        </w:rPr>
        <w:t xml:space="preserve"> </w:t>
      </w:r>
      <w:proofErr w:type="spellStart"/>
      <w:r w:rsidRPr="00A55BE5">
        <w:rPr>
          <w:rFonts w:ascii="Times New Roman" w:hAnsi="Times New Roman" w:cs="Times New Roman"/>
          <w:sz w:val="24"/>
        </w:rPr>
        <w:t>Third</w:t>
      </w:r>
      <w:proofErr w:type="spellEnd"/>
      <w:r w:rsidRPr="00A55BE5">
        <w:rPr>
          <w:rFonts w:ascii="Times New Roman" w:hAnsi="Times New Roman" w:cs="Times New Roman"/>
          <w:sz w:val="24"/>
        </w:rPr>
        <w:t xml:space="preserve"> </w:t>
      </w:r>
      <w:proofErr w:type="spellStart"/>
      <w:r w:rsidRPr="00A55BE5">
        <w:rPr>
          <w:rFonts w:ascii="Times New Roman" w:hAnsi="Times New Roman" w:cs="Times New Roman"/>
          <w:sz w:val="24"/>
        </w:rPr>
        <w:t>Yellow</w:t>
      </w:r>
      <w:proofErr w:type="spellEnd"/>
      <w:r w:rsidRPr="00A55BE5">
        <w:rPr>
          <w:rFonts w:ascii="Times New Roman" w:hAnsi="Times New Roman" w:cs="Times New Roman"/>
          <w:sz w:val="24"/>
        </w:rPr>
        <w:t xml:space="preserve"> </w:t>
      </w:r>
      <w:proofErr w:type="spellStart"/>
      <w:r w:rsidRPr="00A55BE5">
        <w:rPr>
          <w:rFonts w:ascii="Times New Roman" w:hAnsi="Times New Roman" w:cs="Times New Roman"/>
          <w:sz w:val="24"/>
        </w:rPr>
        <w:t>Card</w:t>
      </w:r>
      <w:proofErr w:type="spellEnd"/>
      <w:r w:rsidRPr="00A55BE5">
        <w:rPr>
          <w:rFonts w:ascii="Times New Roman" w:hAnsi="Times New Roman" w:cs="Times New Roman"/>
          <w:sz w:val="24"/>
        </w:rPr>
        <w:t xml:space="preserve"> on </w:t>
      </w:r>
      <w:proofErr w:type="spellStart"/>
      <w:r w:rsidRPr="00A55BE5">
        <w:rPr>
          <w:rFonts w:ascii="Times New Roman" w:hAnsi="Times New Roman" w:cs="Times New Roman"/>
          <w:sz w:val="24"/>
        </w:rPr>
        <w:t>Posted</w:t>
      </w:r>
      <w:proofErr w:type="spellEnd"/>
      <w:r w:rsidRPr="00A55BE5">
        <w:rPr>
          <w:rFonts w:ascii="Times New Roman" w:hAnsi="Times New Roman" w:cs="Times New Roman"/>
          <w:sz w:val="24"/>
        </w:rPr>
        <w:t xml:space="preserve"> </w:t>
      </w:r>
      <w:proofErr w:type="spellStart"/>
      <w:r w:rsidRPr="00A55BE5">
        <w:rPr>
          <w:rFonts w:ascii="Times New Roman" w:hAnsi="Times New Roman" w:cs="Times New Roman"/>
          <w:sz w:val="24"/>
        </w:rPr>
        <w:t>Workers</w:t>
      </w:r>
      <w:proofErr w:type="spellEnd"/>
      <w:r w:rsidRPr="00A55BE5">
        <w:rPr>
          <w:rFonts w:ascii="Times New Roman" w:hAnsi="Times New Roman" w:cs="Times New Roman"/>
          <w:sz w:val="24"/>
        </w:rPr>
        <w:t xml:space="preserve"> and </w:t>
      </w:r>
      <w:proofErr w:type="spellStart"/>
      <w:r w:rsidRPr="00A55BE5">
        <w:rPr>
          <w:rFonts w:ascii="Times New Roman" w:hAnsi="Times New Roman" w:cs="Times New Roman"/>
          <w:sz w:val="24"/>
        </w:rPr>
        <w:t>the</w:t>
      </w:r>
      <w:proofErr w:type="spellEnd"/>
      <w:r w:rsidRPr="00A55BE5">
        <w:rPr>
          <w:rFonts w:ascii="Times New Roman" w:hAnsi="Times New Roman" w:cs="Times New Roman"/>
          <w:sz w:val="24"/>
        </w:rPr>
        <w:t xml:space="preserve"> </w:t>
      </w:r>
      <w:proofErr w:type="spellStart"/>
      <w:r w:rsidRPr="00A55BE5">
        <w:rPr>
          <w:rFonts w:ascii="Times New Roman" w:hAnsi="Times New Roman" w:cs="Times New Roman"/>
          <w:sz w:val="24"/>
        </w:rPr>
        <w:t>Way</w:t>
      </w:r>
      <w:proofErr w:type="spellEnd"/>
      <w:r w:rsidRPr="00A55BE5">
        <w:rPr>
          <w:rFonts w:ascii="Times New Roman" w:hAnsi="Times New Roman" w:cs="Times New Roman"/>
          <w:sz w:val="24"/>
        </w:rPr>
        <w:t xml:space="preserve"> Forward</w:t>
      </w:r>
      <w:r w:rsidRPr="003A5FC5">
        <w:rPr>
          <w:rFonts w:ascii="Times New Roman" w:hAnsi="Times New Roman" w:cs="Times New Roman"/>
          <w:sz w:val="24"/>
        </w:rPr>
        <w:t xml:space="preserve">. In: JANČIČ, </w:t>
      </w:r>
      <w:proofErr w:type="spellStart"/>
      <w:r w:rsidRPr="003A5FC5">
        <w:rPr>
          <w:rFonts w:ascii="Times New Roman" w:hAnsi="Times New Roman" w:cs="Times New Roman"/>
          <w:sz w:val="24"/>
        </w:rPr>
        <w:t>Davor</w:t>
      </w:r>
      <w:proofErr w:type="spellEnd"/>
      <w:r w:rsidRPr="003A5FC5">
        <w:rPr>
          <w:rFonts w:ascii="Times New Roman" w:hAnsi="Times New Roman" w:cs="Times New Roman"/>
          <w:sz w:val="24"/>
        </w:rPr>
        <w:t xml:space="preserve">. </w:t>
      </w:r>
      <w:proofErr w:type="spellStart"/>
      <w:r w:rsidRPr="003A5FC5">
        <w:rPr>
          <w:rFonts w:ascii="Times New Roman" w:hAnsi="Times New Roman" w:cs="Times New Roman"/>
          <w:i/>
          <w:sz w:val="24"/>
        </w:rPr>
        <w:t>National</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Parliaments</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after</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the</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Lisbon</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Treaty</w:t>
      </w:r>
      <w:proofErr w:type="spellEnd"/>
      <w:r w:rsidRPr="003A5FC5">
        <w:rPr>
          <w:rFonts w:ascii="Times New Roman" w:hAnsi="Times New Roman" w:cs="Times New Roman"/>
          <w:i/>
          <w:sz w:val="24"/>
        </w:rPr>
        <w:t xml:space="preserve"> and </w:t>
      </w:r>
      <w:proofErr w:type="spellStart"/>
      <w:r w:rsidRPr="003A5FC5">
        <w:rPr>
          <w:rFonts w:ascii="Times New Roman" w:hAnsi="Times New Roman" w:cs="Times New Roman"/>
          <w:i/>
          <w:sz w:val="24"/>
        </w:rPr>
        <w:t>the</w:t>
      </w:r>
      <w:proofErr w:type="spellEnd"/>
      <w:r w:rsidRPr="003A5FC5">
        <w:rPr>
          <w:rFonts w:ascii="Times New Roman" w:hAnsi="Times New Roman" w:cs="Times New Roman"/>
          <w:i/>
          <w:sz w:val="24"/>
        </w:rPr>
        <w:t xml:space="preserve"> </w:t>
      </w:r>
      <w:proofErr w:type="gramStart"/>
      <w:r w:rsidRPr="003A5FC5">
        <w:rPr>
          <w:rFonts w:ascii="Times New Roman" w:hAnsi="Times New Roman" w:cs="Times New Roman"/>
          <w:i/>
          <w:sz w:val="24"/>
        </w:rPr>
        <w:t>Euro</w:t>
      </w:r>
      <w:proofErr w:type="gram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Crisis</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Resilience</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or</w:t>
      </w:r>
      <w:proofErr w:type="spellEnd"/>
      <w:r w:rsidRPr="003A5FC5">
        <w:rPr>
          <w:rFonts w:ascii="Times New Roman" w:hAnsi="Times New Roman" w:cs="Times New Roman"/>
          <w:i/>
          <w:sz w:val="24"/>
        </w:rPr>
        <w:t xml:space="preserve"> </w:t>
      </w:r>
      <w:proofErr w:type="spellStart"/>
      <w:r w:rsidRPr="003A5FC5">
        <w:rPr>
          <w:rFonts w:ascii="Times New Roman" w:hAnsi="Times New Roman" w:cs="Times New Roman"/>
          <w:i/>
          <w:sz w:val="24"/>
        </w:rPr>
        <w:t>Resignation</w:t>
      </w:r>
      <w:proofErr w:type="spellEnd"/>
      <w:r w:rsidRPr="003A5FC5">
        <w:rPr>
          <w:rFonts w:ascii="Times New Roman" w:hAnsi="Times New Roman" w:cs="Times New Roman"/>
          <w:i/>
          <w:sz w:val="24"/>
        </w:rPr>
        <w:t>?</w:t>
      </w:r>
      <w:r w:rsidRPr="003A5FC5">
        <w:rPr>
          <w:rFonts w:ascii="Times New Roman" w:hAnsi="Times New Roman" w:cs="Times New Roman"/>
          <w:sz w:val="24"/>
        </w:rPr>
        <w:t xml:space="preserve"> Oxford</w:t>
      </w:r>
      <w:r>
        <w:rPr>
          <w:rFonts w:ascii="Times New Roman" w:hAnsi="Times New Roman" w:cs="Times New Roman"/>
          <w:sz w:val="24"/>
        </w:rPr>
        <w:t xml:space="preserve">: Oxford University </w:t>
      </w:r>
      <w:proofErr w:type="spellStart"/>
      <w:r>
        <w:rPr>
          <w:rFonts w:ascii="Times New Roman" w:hAnsi="Times New Roman" w:cs="Times New Roman"/>
          <w:sz w:val="24"/>
        </w:rPr>
        <w:t>Press</w:t>
      </w:r>
      <w:proofErr w:type="spellEnd"/>
      <w:r>
        <w:rPr>
          <w:rFonts w:ascii="Times New Roman" w:hAnsi="Times New Roman" w:cs="Times New Roman"/>
          <w:sz w:val="24"/>
        </w:rPr>
        <w:t>, 2017. 335 s</w:t>
      </w:r>
      <w:r w:rsidRPr="003A5FC5">
        <w:rPr>
          <w:rFonts w:ascii="Times New Roman" w:hAnsi="Times New Roman" w:cs="Times New Roman"/>
          <w:sz w:val="24"/>
        </w:rPr>
        <w:t>.</w:t>
      </w:r>
    </w:p>
    <w:p w:rsidR="00191B9E" w:rsidRDefault="00191B9E" w:rsidP="00191B9E">
      <w:pPr>
        <w:spacing w:line="360" w:lineRule="auto"/>
        <w:jc w:val="both"/>
        <w:rPr>
          <w:rFonts w:ascii="Times New Roman" w:hAnsi="Times New Roman" w:cs="Times New Roman"/>
          <w:sz w:val="24"/>
          <w:szCs w:val="24"/>
        </w:rPr>
      </w:pPr>
      <w:r w:rsidRPr="00EA196F">
        <w:rPr>
          <w:rFonts w:ascii="Times New Roman" w:hAnsi="Times New Roman" w:cs="Times New Roman"/>
          <w:sz w:val="24"/>
          <w:szCs w:val="24"/>
        </w:rPr>
        <w:t xml:space="preserve">JENSEN, </w:t>
      </w:r>
      <w:proofErr w:type="spellStart"/>
      <w:r w:rsidRPr="00EA196F">
        <w:rPr>
          <w:rFonts w:ascii="Times New Roman" w:hAnsi="Times New Roman" w:cs="Times New Roman"/>
          <w:sz w:val="24"/>
          <w:szCs w:val="24"/>
        </w:rPr>
        <w:t>Mads</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Dagnis</w:t>
      </w:r>
      <w:proofErr w:type="spellEnd"/>
      <w:r w:rsidRPr="00EA196F">
        <w:rPr>
          <w:rFonts w:ascii="Times New Roman" w:hAnsi="Times New Roman" w:cs="Times New Roman"/>
          <w:sz w:val="24"/>
          <w:szCs w:val="24"/>
        </w:rPr>
        <w:t xml:space="preserve">, MARTINSEN, Dorte </w:t>
      </w:r>
      <w:proofErr w:type="spellStart"/>
      <w:r w:rsidRPr="00EA196F">
        <w:rPr>
          <w:rFonts w:ascii="Times New Roman" w:hAnsi="Times New Roman" w:cs="Times New Roman"/>
          <w:sz w:val="24"/>
          <w:szCs w:val="24"/>
        </w:rPr>
        <w:t>Sindbjerg</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Out</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of</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time</w:t>
      </w:r>
      <w:proofErr w:type="spellEnd"/>
      <w:r w:rsidRPr="00EA196F">
        <w:rPr>
          <w:rFonts w:ascii="Times New Roman" w:hAnsi="Times New Roman" w:cs="Times New Roman"/>
          <w:sz w:val="24"/>
          <w:szCs w:val="24"/>
        </w:rPr>
        <w:t xml:space="preserve">? – </w:t>
      </w:r>
      <w:proofErr w:type="spellStart"/>
      <w:r w:rsidRPr="00EA196F">
        <w:rPr>
          <w:rFonts w:ascii="Times New Roman" w:hAnsi="Times New Roman" w:cs="Times New Roman"/>
          <w:sz w:val="24"/>
          <w:szCs w:val="24"/>
        </w:rPr>
        <w:t>National</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parliaments</w:t>
      </w:r>
      <w:proofErr w:type="spellEnd"/>
      <w:r w:rsidRPr="00EA196F">
        <w:rPr>
          <w:rFonts w:ascii="Times New Roman" w:hAnsi="Times New Roman" w:cs="Times New Roman"/>
          <w:sz w:val="24"/>
          <w:szCs w:val="24"/>
        </w:rPr>
        <w:t xml:space="preserve"> and early </w:t>
      </w:r>
      <w:proofErr w:type="spellStart"/>
      <w:r w:rsidRPr="00EA196F">
        <w:rPr>
          <w:rFonts w:ascii="Times New Roman" w:hAnsi="Times New Roman" w:cs="Times New Roman"/>
          <w:sz w:val="24"/>
          <w:szCs w:val="24"/>
        </w:rPr>
        <w:t>decision</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making</w:t>
      </w:r>
      <w:proofErr w:type="spellEnd"/>
      <w:r w:rsidRPr="00EA196F">
        <w:rPr>
          <w:rFonts w:ascii="Times New Roman" w:hAnsi="Times New Roman" w:cs="Times New Roman"/>
          <w:sz w:val="24"/>
          <w:szCs w:val="24"/>
        </w:rPr>
        <w:t xml:space="preserve"> in </w:t>
      </w:r>
      <w:proofErr w:type="spellStart"/>
      <w:r w:rsidRPr="00EA196F">
        <w:rPr>
          <w:rFonts w:ascii="Times New Roman" w:hAnsi="Times New Roman" w:cs="Times New Roman"/>
          <w:sz w:val="24"/>
          <w:szCs w:val="24"/>
        </w:rPr>
        <w:t>the</w:t>
      </w:r>
      <w:proofErr w:type="spellEnd"/>
      <w:r w:rsidRPr="00EA196F">
        <w:rPr>
          <w:rFonts w:ascii="Times New Roman" w:hAnsi="Times New Roman" w:cs="Times New Roman"/>
          <w:sz w:val="24"/>
          <w:szCs w:val="24"/>
        </w:rPr>
        <w:t xml:space="preserve"> </w:t>
      </w:r>
      <w:proofErr w:type="spellStart"/>
      <w:r w:rsidRPr="00EA196F">
        <w:rPr>
          <w:rFonts w:ascii="Times New Roman" w:hAnsi="Times New Roman" w:cs="Times New Roman"/>
          <w:sz w:val="24"/>
          <w:szCs w:val="24"/>
        </w:rPr>
        <w:t>European</w:t>
      </w:r>
      <w:proofErr w:type="spellEnd"/>
      <w:r w:rsidRPr="00EA196F">
        <w:rPr>
          <w:rFonts w:ascii="Times New Roman" w:hAnsi="Times New Roman" w:cs="Times New Roman"/>
          <w:sz w:val="24"/>
          <w:szCs w:val="24"/>
        </w:rPr>
        <w:t xml:space="preserve"> Union</w:t>
      </w:r>
      <w:r w:rsidRPr="00EA196F">
        <w:rPr>
          <w:rFonts w:ascii="Times New Roman" w:hAnsi="Times New Roman" w:cs="Times New Roman"/>
          <w:i/>
          <w:sz w:val="24"/>
          <w:szCs w:val="24"/>
        </w:rPr>
        <w:t>. OPAL</w:t>
      </w:r>
      <w:r w:rsidRPr="00EA196F">
        <w:rPr>
          <w:rFonts w:ascii="Times New Roman" w:hAnsi="Times New Roman" w:cs="Times New Roman"/>
          <w:sz w:val="24"/>
          <w:szCs w:val="24"/>
        </w:rPr>
        <w:t>, 2012, no. 8, s. 1-29.</w:t>
      </w:r>
    </w:p>
    <w:p w:rsidR="00191B9E" w:rsidRDefault="00191B9E" w:rsidP="00191B9E">
      <w:pPr>
        <w:spacing w:line="360" w:lineRule="auto"/>
        <w:jc w:val="both"/>
        <w:rPr>
          <w:rFonts w:ascii="Times New Roman" w:hAnsi="Times New Roman" w:cs="Times New Roman"/>
          <w:sz w:val="24"/>
          <w:szCs w:val="24"/>
        </w:rPr>
      </w:pPr>
      <w:r w:rsidRPr="003B09AB">
        <w:rPr>
          <w:rFonts w:ascii="Times New Roman" w:hAnsi="Times New Roman" w:cs="Times New Roman"/>
          <w:sz w:val="24"/>
          <w:szCs w:val="24"/>
        </w:rPr>
        <w:t xml:space="preserve">KANIOK, Petr. </w:t>
      </w:r>
      <w:r w:rsidRPr="003B09AB">
        <w:rPr>
          <w:rFonts w:ascii="Times New Roman" w:hAnsi="Times New Roman" w:cs="Times New Roman"/>
          <w:i/>
          <w:sz w:val="24"/>
          <w:szCs w:val="24"/>
        </w:rPr>
        <w:t xml:space="preserve">Národní parlamenty a evropská integrace: kolektivní aktér politického systému </w:t>
      </w:r>
      <w:proofErr w:type="gramStart"/>
      <w:r w:rsidRPr="003B09AB">
        <w:rPr>
          <w:rFonts w:ascii="Times New Roman" w:hAnsi="Times New Roman" w:cs="Times New Roman"/>
          <w:i/>
          <w:sz w:val="24"/>
          <w:szCs w:val="24"/>
        </w:rPr>
        <w:t>EU?</w:t>
      </w:r>
      <w:r>
        <w:rPr>
          <w:rFonts w:ascii="Times New Roman" w:hAnsi="Times New Roman" w:cs="Times New Roman"/>
          <w:sz w:val="24"/>
          <w:szCs w:val="24"/>
        </w:rPr>
        <w:t>.</w:t>
      </w:r>
      <w:proofErr w:type="gramEnd"/>
      <w:r>
        <w:rPr>
          <w:rFonts w:ascii="Times New Roman" w:hAnsi="Times New Roman" w:cs="Times New Roman"/>
          <w:sz w:val="24"/>
          <w:szCs w:val="24"/>
        </w:rPr>
        <w:t xml:space="preserve"> Brno, 2015</w:t>
      </w:r>
      <w:r w:rsidRPr="003B09AB">
        <w:rPr>
          <w:rFonts w:ascii="Times New Roman" w:hAnsi="Times New Roman" w:cs="Times New Roman"/>
          <w:sz w:val="24"/>
          <w:szCs w:val="24"/>
        </w:rPr>
        <w:t>. Habilitační práce. Masarykova univerzita, Fakulta sociálních studií, Katedra mezinárodních vztahů a evropských studií.</w:t>
      </w:r>
    </w:p>
    <w:p w:rsidR="00191B9E" w:rsidRDefault="00191B9E" w:rsidP="00191B9E">
      <w:pPr>
        <w:spacing w:line="360" w:lineRule="auto"/>
        <w:jc w:val="both"/>
        <w:rPr>
          <w:rFonts w:ascii="Times New Roman" w:hAnsi="Times New Roman" w:cs="Times New Roman"/>
          <w:sz w:val="24"/>
          <w:szCs w:val="24"/>
        </w:rPr>
      </w:pPr>
      <w:r w:rsidRPr="00EF7859">
        <w:rPr>
          <w:rFonts w:ascii="Times New Roman" w:hAnsi="Times New Roman" w:cs="Times New Roman"/>
          <w:sz w:val="24"/>
          <w:szCs w:val="24"/>
        </w:rPr>
        <w:t xml:space="preserve">KARLAS, Jan. </w:t>
      </w:r>
      <w:r w:rsidRPr="00EF7859">
        <w:rPr>
          <w:rFonts w:ascii="Times New Roman" w:hAnsi="Times New Roman" w:cs="Times New Roman"/>
          <w:i/>
          <w:sz w:val="24"/>
          <w:szCs w:val="24"/>
        </w:rPr>
        <w:t>Národní parlamenty a kontrola evropských záležitostí: komparativní analýza</w:t>
      </w:r>
      <w:r>
        <w:rPr>
          <w:rFonts w:ascii="Times New Roman" w:hAnsi="Times New Roman" w:cs="Times New Roman"/>
          <w:sz w:val="24"/>
          <w:szCs w:val="24"/>
        </w:rPr>
        <w:t>. Praha: Karolinum, 2011. 220 s.</w:t>
      </w:r>
    </w:p>
    <w:p w:rsidR="00191B9E" w:rsidRDefault="00191B9E" w:rsidP="00191B9E">
      <w:pPr>
        <w:spacing w:line="360" w:lineRule="auto"/>
        <w:jc w:val="both"/>
        <w:rPr>
          <w:rFonts w:ascii="Times New Roman" w:hAnsi="Times New Roman" w:cs="Times New Roman"/>
          <w:sz w:val="24"/>
          <w:szCs w:val="24"/>
        </w:rPr>
      </w:pPr>
      <w:r w:rsidRPr="00151BAB">
        <w:rPr>
          <w:rFonts w:ascii="Times New Roman" w:hAnsi="Times New Roman" w:cs="Times New Roman"/>
          <w:sz w:val="24"/>
          <w:szCs w:val="24"/>
        </w:rPr>
        <w:t xml:space="preserve">KIIVER, Philipp. </w:t>
      </w:r>
      <w:proofErr w:type="spellStart"/>
      <w:r w:rsidRPr="00192082">
        <w:rPr>
          <w:rFonts w:ascii="Times New Roman" w:hAnsi="Times New Roman" w:cs="Times New Roman"/>
          <w:i/>
          <w:sz w:val="24"/>
          <w:szCs w:val="24"/>
        </w:rPr>
        <w:t>The</w:t>
      </w:r>
      <w:proofErr w:type="spellEnd"/>
      <w:r w:rsidRPr="00192082">
        <w:rPr>
          <w:rFonts w:ascii="Times New Roman" w:hAnsi="Times New Roman" w:cs="Times New Roman"/>
          <w:i/>
          <w:sz w:val="24"/>
          <w:szCs w:val="24"/>
        </w:rPr>
        <w:t xml:space="preserve"> Early </w:t>
      </w:r>
      <w:proofErr w:type="spellStart"/>
      <w:r w:rsidRPr="00192082">
        <w:rPr>
          <w:rFonts w:ascii="Times New Roman" w:hAnsi="Times New Roman" w:cs="Times New Roman"/>
          <w:i/>
          <w:sz w:val="24"/>
          <w:szCs w:val="24"/>
        </w:rPr>
        <w:t>Warning</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System</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for</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the</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Principle</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of</w:t>
      </w:r>
      <w:proofErr w:type="spellEnd"/>
      <w:r w:rsidRPr="00192082">
        <w:rPr>
          <w:rFonts w:ascii="Times New Roman" w:hAnsi="Times New Roman" w:cs="Times New Roman"/>
          <w:i/>
          <w:sz w:val="24"/>
          <w:szCs w:val="24"/>
        </w:rPr>
        <w:t xml:space="preserve"> Subsidiarity, </w:t>
      </w:r>
      <w:proofErr w:type="spellStart"/>
      <w:r w:rsidRPr="00192082">
        <w:rPr>
          <w:rFonts w:ascii="Times New Roman" w:hAnsi="Times New Roman" w:cs="Times New Roman"/>
          <w:i/>
          <w:sz w:val="24"/>
          <w:szCs w:val="24"/>
        </w:rPr>
        <w:t>Constitutional</w:t>
      </w:r>
      <w:proofErr w:type="spellEnd"/>
      <w:r w:rsidRPr="00192082">
        <w:rPr>
          <w:rFonts w:ascii="Times New Roman" w:hAnsi="Times New Roman" w:cs="Times New Roman"/>
          <w:i/>
          <w:sz w:val="24"/>
          <w:szCs w:val="24"/>
        </w:rPr>
        <w:t xml:space="preserve"> </w:t>
      </w:r>
      <w:proofErr w:type="spellStart"/>
      <w:r w:rsidRPr="00192082">
        <w:rPr>
          <w:rFonts w:ascii="Times New Roman" w:hAnsi="Times New Roman" w:cs="Times New Roman"/>
          <w:i/>
          <w:sz w:val="24"/>
          <w:szCs w:val="24"/>
        </w:rPr>
        <w:t>theory</w:t>
      </w:r>
      <w:proofErr w:type="spellEnd"/>
      <w:r w:rsidRPr="00192082">
        <w:rPr>
          <w:rFonts w:ascii="Times New Roman" w:hAnsi="Times New Roman" w:cs="Times New Roman"/>
          <w:i/>
          <w:sz w:val="24"/>
          <w:szCs w:val="24"/>
        </w:rPr>
        <w:t xml:space="preserve"> and </w:t>
      </w:r>
      <w:proofErr w:type="spellStart"/>
      <w:r w:rsidRPr="00192082">
        <w:rPr>
          <w:rFonts w:ascii="Times New Roman" w:hAnsi="Times New Roman" w:cs="Times New Roman"/>
          <w:i/>
          <w:sz w:val="24"/>
          <w:szCs w:val="24"/>
        </w:rPr>
        <w:t>empirical</w:t>
      </w:r>
      <w:proofErr w:type="spellEnd"/>
      <w:r w:rsidRPr="00192082">
        <w:rPr>
          <w:rFonts w:ascii="Times New Roman" w:hAnsi="Times New Roman" w:cs="Times New Roman"/>
          <w:i/>
          <w:sz w:val="24"/>
          <w:szCs w:val="24"/>
        </w:rPr>
        <w:t xml:space="preserve"> reality</w:t>
      </w:r>
      <w:r w:rsidRPr="00151BAB">
        <w:rPr>
          <w:rFonts w:ascii="Times New Roman" w:hAnsi="Times New Roman" w:cs="Times New Roman"/>
          <w:sz w:val="24"/>
          <w:szCs w:val="24"/>
        </w:rPr>
        <w:t xml:space="preserve">. </w:t>
      </w:r>
      <w:proofErr w:type="spellStart"/>
      <w:r w:rsidRPr="00151BAB">
        <w:rPr>
          <w:rFonts w:ascii="Times New Roman" w:hAnsi="Times New Roman" w:cs="Times New Roman"/>
          <w:sz w:val="24"/>
          <w:szCs w:val="24"/>
        </w:rPr>
        <w:t>A</w:t>
      </w:r>
      <w:r>
        <w:rPr>
          <w:rFonts w:ascii="Times New Roman" w:hAnsi="Times New Roman" w:cs="Times New Roman"/>
          <w:sz w:val="24"/>
          <w:szCs w:val="24"/>
        </w:rPr>
        <w:t>bingdon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2012. 184 s.</w:t>
      </w:r>
    </w:p>
    <w:p w:rsidR="00191B9E" w:rsidRDefault="00191B9E" w:rsidP="00191B9E">
      <w:pPr>
        <w:spacing w:line="360" w:lineRule="auto"/>
        <w:jc w:val="both"/>
        <w:rPr>
          <w:rFonts w:ascii="Times New Roman" w:hAnsi="Times New Roman" w:cs="Times New Roman"/>
          <w:sz w:val="24"/>
          <w:szCs w:val="24"/>
        </w:rPr>
      </w:pPr>
      <w:r w:rsidRPr="006303BA">
        <w:rPr>
          <w:rFonts w:ascii="Times New Roman" w:hAnsi="Times New Roman" w:cs="Times New Roman"/>
          <w:sz w:val="24"/>
          <w:szCs w:val="24"/>
        </w:rPr>
        <w:t xml:space="preserve">KIIVER, Philipp. </w:t>
      </w:r>
      <w:proofErr w:type="spellStart"/>
      <w:r w:rsidRPr="006303BA">
        <w:rPr>
          <w:rFonts w:ascii="Times New Roman" w:hAnsi="Times New Roman" w:cs="Times New Roman"/>
          <w:sz w:val="24"/>
          <w:szCs w:val="24"/>
        </w:rPr>
        <w:t>The</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Treaty</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of</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Lisbon</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the</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National</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Parliaments</w:t>
      </w:r>
      <w:proofErr w:type="spellEnd"/>
      <w:r w:rsidRPr="006303BA">
        <w:rPr>
          <w:rFonts w:ascii="Times New Roman" w:hAnsi="Times New Roman" w:cs="Times New Roman"/>
          <w:sz w:val="24"/>
          <w:szCs w:val="24"/>
        </w:rPr>
        <w:t xml:space="preserve"> and </w:t>
      </w:r>
      <w:proofErr w:type="spellStart"/>
      <w:r w:rsidRPr="006303BA">
        <w:rPr>
          <w:rFonts w:ascii="Times New Roman" w:hAnsi="Times New Roman" w:cs="Times New Roman"/>
          <w:sz w:val="24"/>
          <w:szCs w:val="24"/>
        </w:rPr>
        <w:t>the</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Principle</w:t>
      </w:r>
      <w:proofErr w:type="spellEnd"/>
      <w:r w:rsidRPr="006303BA">
        <w:rPr>
          <w:rFonts w:ascii="Times New Roman" w:hAnsi="Times New Roman" w:cs="Times New Roman"/>
          <w:sz w:val="24"/>
          <w:szCs w:val="24"/>
        </w:rPr>
        <w:t xml:space="preserve"> </w:t>
      </w:r>
      <w:proofErr w:type="spellStart"/>
      <w:r w:rsidRPr="006303BA">
        <w:rPr>
          <w:rFonts w:ascii="Times New Roman" w:hAnsi="Times New Roman" w:cs="Times New Roman"/>
          <w:sz w:val="24"/>
          <w:szCs w:val="24"/>
        </w:rPr>
        <w:t>of</w:t>
      </w:r>
      <w:proofErr w:type="spellEnd"/>
      <w:r w:rsidRPr="006303BA">
        <w:rPr>
          <w:rFonts w:ascii="Times New Roman" w:hAnsi="Times New Roman" w:cs="Times New Roman"/>
          <w:sz w:val="24"/>
          <w:szCs w:val="24"/>
        </w:rPr>
        <w:t xml:space="preserve"> Subsidiarity. </w:t>
      </w:r>
      <w:r w:rsidRPr="006303BA">
        <w:rPr>
          <w:rFonts w:ascii="Times New Roman" w:hAnsi="Times New Roman" w:cs="Times New Roman"/>
          <w:i/>
          <w:sz w:val="24"/>
          <w:szCs w:val="24"/>
        </w:rPr>
        <w:t xml:space="preserve">Maastricht </w:t>
      </w:r>
      <w:proofErr w:type="spellStart"/>
      <w:r w:rsidRPr="006303BA">
        <w:rPr>
          <w:rFonts w:ascii="Times New Roman" w:hAnsi="Times New Roman" w:cs="Times New Roman"/>
          <w:i/>
          <w:sz w:val="24"/>
          <w:szCs w:val="24"/>
        </w:rPr>
        <w:t>Journal</w:t>
      </w:r>
      <w:proofErr w:type="spellEnd"/>
      <w:r w:rsidRPr="006303BA">
        <w:rPr>
          <w:rFonts w:ascii="Times New Roman" w:hAnsi="Times New Roman" w:cs="Times New Roman"/>
          <w:i/>
          <w:sz w:val="24"/>
          <w:szCs w:val="24"/>
        </w:rPr>
        <w:t xml:space="preserve"> </w:t>
      </w:r>
      <w:proofErr w:type="spellStart"/>
      <w:r w:rsidRPr="006303BA">
        <w:rPr>
          <w:rFonts w:ascii="Times New Roman" w:hAnsi="Times New Roman" w:cs="Times New Roman"/>
          <w:i/>
          <w:sz w:val="24"/>
          <w:szCs w:val="24"/>
        </w:rPr>
        <w:t>of</w:t>
      </w:r>
      <w:proofErr w:type="spellEnd"/>
      <w:r w:rsidRPr="006303BA">
        <w:rPr>
          <w:rFonts w:ascii="Times New Roman" w:hAnsi="Times New Roman" w:cs="Times New Roman"/>
          <w:i/>
          <w:sz w:val="24"/>
          <w:szCs w:val="24"/>
        </w:rPr>
        <w:t xml:space="preserve"> </w:t>
      </w:r>
      <w:proofErr w:type="spellStart"/>
      <w:r w:rsidRPr="006303BA">
        <w:rPr>
          <w:rFonts w:ascii="Times New Roman" w:hAnsi="Times New Roman" w:cs="Times New Roman"/>
          <w:i/>
          <w:sz w:val="24"/>
          <w:szCs w:val="24"/>
        </w:rPr>
        <w:t>European</w:t>
      </w:r>
      <w:proofErr w:type="spellEnd"/>
      <w:r w:rsidRPr="006303BA">
        <w:rPr>
          <w:rFonts w:ascii="Times New Roman" w:hAnsi="Times New Roman" w:cs="Times New Roman"/>
          <w:i/>
          <w:sz w:val="24"/>
          <w:szCs w:val="24"/>
        </w:rPr>
        <w:t xml:space="preserve"> and </w:t>
      </w:r>
      <w:proofErr w:type="spellStart"/>
      <w:r w:rsidRPr="006303BA">
        <w:rPr>
          <w:rFonts w:ascii="Times New Roman" w:hAnsi="Times New Roman" w:cs="Times New Roman"/>
          <w:i/>
          <w:sz w:val="24"/>
          <w:szCs w:val="24"/>
        </w:rPr>
        <w:t>Comparative</w:t>
      </w:r>
      <w:proofErr w:type="spellEnd"/>
      <w:r w:rsidRPr="006303BA">
        <w:rPr>
          <w:rFonts w:ascii="Times New Roman" w:hAnsi="Times New Roman" w:cs="Times New Roman"/>
          <w:i/>
          <w:sz w:val="24"/>
          <w:szCs w:val="24"/>
        </w:rPr>
        <w:t xml:space="preserve"> </w:t>
      </w:r>
      <w:proofErr w:type="spellStart"/>
      <w:r w:rsidRPr="006303BA">
        <w:rPr>
          <w:rFonts w:ascii="Times New Roman" w:hAnsi="Times New Roman" w:cs="Times New Roman"/>
          <w:i/>
          <w:sz w:val="24"/>
          <w:szCs w:val="24"/>
        </w:rPr>
        <w:t>Law</w:t>
      </w:r>
      <w:proofErr w:type="spellEnd"/>
      <w:r>
        <w:rPr>
          <w:rFonts w:ascii="Times New Roman" w:hAnsi="Times New Roman" w:cs="Times New Roman"/>
          <w:sz w:val="24"/>
          <w:szCs w:val="24"/>
        </w:rPr>
        <w:t>, 2008, vol. 15, s. 77-83</w:t>
      </w:r>
      <w:r w:rsidRPr="006303BA">
        <w:rPr>
          <w:rFonts w:ascii="Times New Roman" w:hAnsi="Times New Roman" w:cs="Times New Roman"/>
          <w:sz w:val="24"/>
          <w:szCs w:val="24"/>
        </w:rPr>
        <w:t>.</w:t>
      </w:r>
    </w:p>
    <w:p w:rsidR="00191B9E" w:rsidRPr="00460051" w:rsidRDefault="00191B9E" w:rsidP="00191B9E">
      <w:pPr>
        <w:spacing w:line="360" w:lineRule="auto"/>
        <w:jc w:val="both"/>
        <w:rPr>
          <w:rFonts w:ascii="Times New Roman" w:hAnsi="Times New Roman" w:cs="Times New Roman"/>
          <w:sz w:val="28"/>
          <w:szCs w:val="24"/>
        </w:rPr>
      </w:pPr>
      <w:r w:rsidRPr="00460051">
        <w:rPr>
          <w:rFonts w:ascii="Times New Roman" w:hAnsi="Times New Roman" w:cs="Times New Roman"/>
          <w:sz w:val="24"/>
        </w:rPr>
        <w:lastRenderedPageBreak/>
        <w:t xml:space="preserve">KOSTORIS, Roberto. A </w:t>
      </w:r>
      <w:proofErr w:type="spellStart"/>
      <w:r w:rsidRPr="00460051">
        <w:rPr>
          <w:rFonts w:ascii="Times New Roman" w:hAnsi="Times New Roman" w:cs="Times New Roman"/>
          <w:sz w:val="24"/>
        </w:rPr>
        <w:t>European</w:t>
      </w:r>
      <w:proofErr w:type="spellEnd"/>
      <w:r w:rsidRPr="00460051">
        <w:rPr>
          <w:rFonts w:ascii="Times New Roman" w:hAnsi="Times New Roman" w:cs="Times New Roman"/>
          <w:sz w:val="24"/>
        </w:rPr>
        <w:t xml:space="preserve"> Public </w:t>
      </w:r>
      <w:proofErr w:type="spellStart"/>
      <w:r w:rsidRPr="00460051">
        <w:rPr>
          <w:rFonts w:ascii="Times New Roman" w:hAnsi="Times New Roman" w:cs="Times New Roman"/>
          <w:sz w:val="24"/>
        </w:rPr>
        <w:t>Prosecutor</w:t>
      </w:r>
      <w:proofErr w:type="spellEnd"/>
      <w:r w:rsidRPr="00460051">
        <w:rPr>
          <w:rFonts w:ascii="Times New Roman" w:hAnsi="Times New Roman" w:cs="Times New Roman"/>
          <w:sz w:val="24"/>
        </w:rPr>
        <w:t xml:space="preserve"> Office </w:t>
      </w:r>
      <w:proofErr w:type="spellStart"/>
      <w:r w:rsidRPr="00460051">
        <w:rPr>
          <w:rFonts w:ascii="Times New Roman" w:hAnsi="Times New Roman" w:cs="Times New Roman"/>
          <w:sz w:val="24"/>
        </w:rPr>
        <w:t>against</w:t>
      </w:r>
      <w:proofErr w:type="spellEnd"/>
      <w:r w:rsidRPr="00460051">
        <w:rPr>
          <w:rFonts w:ascii="Times New Roman" w:hAnsi="Times New Roman" w:cs="Times New Roman"/>
          <w:sz w:val="24"/>
        </w:rPr>
        <w:t xml:space="preserve"> </w:t>
      </w:r>
      <w:proofErr w:type="gramStart"/>
      <w:r w:rsidRPr="00460051">
        <w:rPr>
          <w:rFonts w:ascii="Times New Roman" w:hAnsi="Times New Roman" w:cs="Times New Roman"/>
          <w:sz w:val="24"/>
        </w:rPr>
        <w:t>Euro</w:t>
      </w:r>
      <w:proofErr w:type="gramEnd"/>
      <w:r w:rsidRPr="00460051">
        <w:rPr>
          <w:rFonts w:ascii="Times New Roman" w:hAnsi="Times New Roman" w:cs="Times New Roman"/>
          <w:sz w:val="24"/>
        </w:rPr>
        <w:t>-</w:t>
      </w:r>
      <w:proofErr w:type="spellStart"/>
      <w:r w:rsidRPr="00460051">
        <w:rPr>
          <w:rFonts w:ascii="Times New Roman" w:hAnsi="Times New Roman" w:cs="Times New Roman"/>
          <w:sz w:val="24"/>
        </w:rPr>
        <w:t>financial</w:t>
      </w:r>
      <w:proofErr w:type="spellEnd"/>
      <w:r w:rsidRPr="00460051">
        <w:rPr>
          <w:rFonts w:ascii="Times New Roman" w:hAnsi="Times New Roman" w:cs="Times New Roman"/>
          <w:sz w:val="24"/>
        </w:rPr>
        <w:t xml:space="preserve"> </w:t>
      </w:r>
      <w:proofErr w:type="spellStart"/>
      <w:r w:rsidRPr="00460051">
        <w:rPr>
          <w:rFonts w:ascii="Times New Roman" w:hAnsi="Times New Roman" w:cs="Times New Roman"/>
          <w:sz w:val="24"/>
        </w:rPr>
        <w:t>Crimes</w:t>
      </w:r>
      <w:proofErr w:type="spellEnd"/>
      <w:r w:rsidRPr="00460051">
        <w:rPr>
          <w:rFonts w:ascii="Times New Roman" w:hAnsi="Times New Roman" w:cs="Times New Roman"/>
          <w:sz w:val="24"/>
        </w:rPr>
        <w:t xml:space="preserve">: </w:t>
      </w:r>
      <w:proofErr w:type="spellStart"/>
      <w:r w:rsidRPr="00460051">
        <w:rPr>
          <w:rFonts w:ascii="Times New Roman" w:hAnsi="Times New Roman" w:cs="Times New Roman"/>
          <w:sz w:val="24"/>
        </w:rPr>
        <w:t>Wich</w:t>
      </w:r>
      <w:proofErr w:type="spellEnd"/>
      <w:r w:rsidRPr="00460051">
        <w:rPr>
          <w:rFonts w:ascii="Times New Roman" w:hAnsi="Times New Roman" w:cs="Times New Roman"/>
          <w:sz w:val="24"/>
        </w:rPr>
        <w:t xml:space="preserve"> </w:t>
      </w:r>
      <w:proofErr w:type="spellStart"/>
      <w:r w:rsidRPr="00460051">
        <w:rPr>
          <w:rFonts w:ascii="Times New Roman" w:hAnsi="Times New Roman" w:cs="Times New Roman"/>
          <w:sz w:val="24"/>
        </w:rPr>
        <w:t>Future</w:t>
      </w:r>
      <w:proofErr w:type="spellEnd"/>
      <w:r w:rsidRPr="00460051">
        <w:rPr>
          <w:rFonts w:ascii="Times New Roman" w:hAnsi="Times New Roman" w:cs="Times New Roman"/>
          <w:sz w:val="24"/>
        </w:rPr>
        <w:t xml:space="preserve">? </w:t>
      </w:r>
      <w:proofErr w:type="spellStart"/>
      <w:r w:rsidRPr="00460051">
        <w:rPr>
          <w:rFonts w:ascii="Times New Roman" w:hAnsi="Times New Roman" w:cs="Times New Roman"/>
          <w:i/>
          <w:sz w:val="24"/>
        </w:rPr>
        <w:t>Journal</w:t>
      </w:r>
      <w:proofErr w:type="spellEnd"/>
      <w:r w:rsidRPr="00460051">
        <w:rPr>
          <w:rFonts w:ascii="Times New Roman" w:hAnsi="Times New Roman" w:cs="Times New Roman"/>
          <w:i/>
          <w:sz w:val="24"/>
        </w:rPr>
        <w:t xml:space="preserve"> </w:t>
      </w:r>
      <w:proofErr w:type="spellStart"/>
      <w:r w:rsidRPr="00460051">
        <w:rPr>
          <w:rFonts w:ascii="Times New Roman" w:hAnsi="Times New Roman" w:cs="Times New Roman"/>
          <w:i/>
          <w:sz w:val="24"/>
        </w:rPr>
        <w:t>Of</w:t>
      </w:r>
      <w:proofErr w:type="spellEnd"/>
      <w:r w:rsidRPr="00460051">
        <w:rPr>
          <w:rFonts w:ascii="Times New Roman" w:hAnsi="Times New Roman" w:cs="Times New Roman"/>
          <w:i/>
          <w:sz w:val="24"/>
        </w:rPr>
        <w:t xml:space="preserve"> </w:t>
      </w:r>
      <w:proofErr w:type="spellStart"/>
      <w:r w:rsidRPr="00460051">
        <w:rPr>
          <w:rFonts w:ascii="Times New Roman" w:hAnsi="Times New Roman" w:cs="Times New Roman"/>
          <w:i/>
          <w:sz w:val="24"/>
        </w:rPr>
        <w:t>Eastern</w:t>
      </w:r>
      <w:proofErr w:type="spellEnd"/>
      <w:r w:rsidRPr="00460051">
        <w:rPr>
          <w:rFonts w:ascii="Times New Roman" w:hAnsi="Times New Roman" w:cs="Times New Roman"/>
          <w:i/>
          <w:sz w:val="24"/>
        </w:rPr>
        <w:t xml:space="preserve"> </w:t>
      </w:r>
      <w:proofErr w:type="spellStart"/>
      <w:r w:rsidRPr="00460051">
        <w:rPr>
          <w:rFonts w:ascii="Times New Roman" w:hAnsi="Times New Roman" w:cs="Times New Roman"/>
          <w:i/>
          <w:sz w:val="24"/>
        </w:rPr>
        <w:t>European</w:t>
      </w:r>
      <w:proofErr w:type="spellEnd"/>
      <w:r w:rsidRPr="00460051">
        <w:rPr>
          <w:rFonts w:ascii="Times New Roman" w:hAnsi="Times New Roman" w:cs="Times New Roman"/>
          <w:i/>
          <w:sz w:val="24"/>
        </w:rPr>
        <w:t xml:space="preserve"> </w:t>
      </w:r>
      <w:proofErr w:type="spellStart"/>
      <w:r w:rsidRPr="00460051">
        <w:rPr>
          <w:rFonts w:ascii="Times New Roman" w:hAnsi="Times New Roman" w:cs="Times New Roman"/>
          <w:i/>
          <w:sz w:val="24"/>
        </w:rPr>
        <w:t>Criminal</w:t>
      </w:r>
      <w:proofErr w:type="spellEnd"/>
      <w:r w:rsidRPr="00460051">
        <w:rPr>
          <w:rFonts w:ascii="Times New Roman" w:hAnsi="Times New Roman" w:cs="Times New Roman"/>
          <w:i/>
          <w:sz w:val="24"/>
        </w:rPr>
        <w:t xml:space="preserve"> </w:t>
      </w:r>
      <w:proofErr w:type="spellStart"/>
      <w:r w:rsidRPr="00460051">
        <w:rPr>
          <w:rFonts w:ascii="Times New Roman" w:hAnsi="Times New Roman" w:cs="Times New Roman"/>
          <w:i/>
          <w:sz w:val="24"/>
        </w:rPr>
        <w:t>Law</w:t>
      </w:r>
      <w:proofErr w:type="spellEnd"/>
      <w:r>
        <w:rPr>
          <w:rFonts w:ascii="Times New Roman" w:hAnsi="Times New Roman" w:cs="Times New Roman"/>
          <w:sz w:val="24"/>
        </w:rPr>
        <w:t>, 2015, no. 2, s. 27-32</w:t>
      </w:r>
      <w:r w:rsidRPr="00460051">
        <w:rPr>
          <w:rFonts w:ascii="Times New Roman" w:hAnsi="Times New Roman" w:cs="Times New Roman"/>
          <w:sz w:val="24"/>
        </w:rPr>
        <w:t>.</w:t>
      </w:r>
    </w:p>
    <w:p w:rsidR="00191B9E" w:rsidRDefault="00191B9E" w:rsidP="00191B9E">
      <w:pPr>
        <w:spacing w:line="360" w:lineRule="auto"/>
        <w:jc w:val="both"/>
        <w:rPr>
          <w:rFonts w:ascii="Times New Roman" w:hAnsi="Times New Roman" w:cs="Times New Roman"/>
          <w:sz w:val="24"/>
          <w:szCs w:val="24"/>
        </w:rPr>
      </w:pPr>
      <w:r w:rsidRPr="00441F71">
        <w:rPr>
          <w:rFonts w:ascii="Times New Roman" w:hAnsi="Times New Roman" w:cs="Times New Roman"/>
          <w:sz w:val="24"/>
          <w:szCs w:val="24"/>
        </w:rPr>
        <w:t xml:space="preserve">KOVÁŘ, Jan, RAFFAJ, Ivan. </w:t>
      </w:r>
      <w:r w:rsidRPr="000219FE">
        <w:rPr>
          <w:rFonts w:ascii="Times New Roman" w:hAnsi="Times New Roman" w:cs="Times New Roman"/>
          <w:i/>
          <w:sz w:val="24"/>
          <w:szCs w:val="24"/>
        </w:rPr>
        <w:t>Využívání principu subsidiarity národními parlamenty a jejich zapojení do rozhodovacího procesu EU</w:t>
      </w:r>
      <w:r w:rsidRPr="00441F71">
        <w:rPr>
          <w:rFonts w:ascii="Times New Roman" w:hAnsi="Times New Roman" w:cs="Times New Roman"/>
          <w:sz w:val="24"/>
          <w:szCs w:val="24"/>
        </w:rPr>
        <w:t xml:space="preserve"> [online]. Evropské hodnoty, 2. února 2016 [cit. 3. ledna 2017]. Dostupné na &lt;h</w:t>
      </w:r>
      <w:r>
        <w:rPr>
          <w:rFonts w:ascii="Times New Roman" w:hAnsi="Times New Roman" w:cs="Times New Roman"/>
          <w:sz w:val="24"/>
          <w:szCs w:val="24"/>
        </w:rPr>
        <w:t>ttp://www.evropskehodnoty.cz/wp-</w:t>
      </w:r>
      <w:r w:rsidRPr="00441F71">
        <w:rPr>
          <w:rFonts w:ascii="Times New Roman" w:hAnsi="Times New Roman" w:cs="Times New Roman"/>
          <w:sz w:val="24"/>
          <w:szCs w:val="24"/>
        </w:rPr>
        <w:t>content</w:t>
      </w:r>
      <w:r>
        <w:rPr>
          <w:rFonts w:ascii="Times New Roman" w:hAnsi="Times New Roman" w:cs="Times New Roman"/>
          <w:sz w:val="24"/>
          <w:szCs w:val="24"/>
        </w:rPr>
        <w:t>/uploads/2016/02/Vyu% C5%BE%C3%A</w:t>
      </w:r>
      <w:r w:rsidRPr="00441F71">
        <w:rPr>
          <w:rFonts w:ascii="Times New Roman" w:hAnsi="Times New Roman" w:cs="Times New Roman"/>
          <w:sz w:val="24"/>
          <w:szCs w:val="24"/>
        </w:rPr>
        <w:t>Dv%C3%A1n%C3%AD-principu-</w:t>
      </w:r>
      <w:r>
        <w:rPr>
          <w:rFonts w:ascii="Times New Roman" w:hAnsi="Times New Roman" w:cs="Times New Roman"/>
          <w:sz w:val="24"/>
          <w:szCs w:val="24"/>
        </w:rPr>
        <w:t>subsidiarity-</w:t>
      </w:r>
      <w:r w:rsidRPr="00441F71">
        <w:rPr>
          <w:rFonts w:ascii="Times New Roman" w:hAnsi="Times New Roman" w:cs="Times New Roman"/>
          <w:sz w:val="24"/>
          <w:szCs w:val="24"/>
        </w:rPr>
        <w:t>n%C3%A1rodn%C3%ADmi</w:t>
      </w:r>
      <w:r>
        <w:rPr>
          <w:rFonts w:ascii="Times New Roman" w:hAnsi="Times New Roman" w:cs="Times New Roman"/>
          <w:sz w:val="24"/>
          <w:szCs w:val="24"/>
        </w:rPr>
        <w:t xml:space="preserve"> </w:t>
      </w:r>
      <w:r w:rsidRPr="00441F71">
        <w:rPr>
          <w:rFonts w:ascii="Times New Roman" w:hAnsi="Times New Roman" w:cs="Times New Roman"/>
          <w:sz w:val="24"/>
          <w:szCs w:val="24"/>
        </w:rPr>
        <w:t>-parlamenty-a-jejich-zapojen%C</w:t>
      </w:r>
      <w:r>
        <w:rPr>
          <w:rFonts w:ascii="Times New Roman" w:hAnsi="Times New Roman" w:cs="Times New Roman"/>
          <w:sz w:val="24"/>
          <w:szCs w:val="24"/>
        </w:rPr>
        <w:t>3%AD-do-rozhodovac%C3</w:t>
      </w:r>
      <w:r w:rsidRPr="00441F71">
        <w:rPr>
          <w:rFonts w:ascii="Times New Roman" w:hAnsi="Times New Roman" w:cs="Times New Roman"/>
          <w:sz w:val="24"/>
          <w:szCs w:val="24"/>
        </w:rPr>
        <w:t>%ADho-procesu-EU1.pdf&gt;.</w:t>
      </w:r>
    </w:p>
    <w:p w:rsidR="00191B9E" w:rsidRDefault="00191B9E" w:rsidP="00191B9E">
      <w:pPr>
        <w:spacing w:line="360" w:lineRule="auto"/>
        <w:jc w:val="both"/>
        <w:rPr>
          <w:rFonts w:ascii="Times New Roman" w:hAnsi="Times New Roman" w:cs="Times New Roman"/>
          <w:sz w:val="24"/>
          <w:szCs w:val="24"/>
        </w:rPr>
      </w:pPr>
      <w:r w:rsidRPr="001F1114">
        <w:rPr>
          <w:rFonts w:ascii="Times New Roman" w:hAnsi="Times New Roman" w:cs="Times New Roman"/>
          <w:sz w:val="24"/>
          <w:szCs w:val="24"/>
        </w:rPr>
        <w:t xml:space="preserve">KRÁL, David, BARTOVIC, Vladimír. </w:t>
      </w:r>
      <w:r w:rsidRPr="001F1114">
        <w:rPr>
          <w:rFonts w:ascii="Times New Roman" w:hAnsi="Times New Roman" w:cs="Times New Roman"/>
          <w:i/>
          <w:sz w:val="24"/>
          <w:szCs w:val="24"/>
        </w:rPr>
        <w:t>Český a slovenský parlament po Lisabonské smlouvě</w:t>
      </w:r>
      <w:r w:rsidRPr="001F1114">
        <w:rPr>
          <w:rFonts w:ascii="Times New Roman" w:hAnsi="Times New Roman" w:cs="Times New Roman"/>
          <w:sz w:val="24"/>
          <w:szCs w:val="24"/>
        </w:rPr>
        <w:t>. Praha: Institut pro evropskou</w:t>
      </w:r>
      <w:r>
        <w:rPr>
          <w:rFonts w:ascii="Times New Roman" w:hAnsi="Times New Roman" w:cs="Times New Roman"/>
          <w:sz w:val="24"/>
          <w:szCs w:val="24"/>
        </w:rPr>
        <w:t xml:space="preserve"> politiku EUROPEUM, 2010. 73 s.</w:t>
      </w:r>
    </w:p>
    <w:p w:rsidR="00191B9E" w:rsidRDefault="00191B9E" w:rsidP="00191B9E">
      <w:pPr>
        <w:spacing w:line="360" w:lineRule="auto"/>
        <w:jc w:val="both"/>
        <w:rPr>
          <w:rFonts w:ascii="Times New Roman" w:hAnsi="Times New Roman" w:cs="Times New Roman"/>
          <w:sz w:val="24"/>
          <w:szCs w:val="24"/>
        </w:rPr>
      </w:pPr>
      <w:r w:rsidRPr="00C00343">
        <w:rPr>
          <w:rFonts w:ascii="Times New Roman" w:hAnsi="Times New Roman" w:cs="Times New Roman"/>
          <w:sz w:val="24"/>
          <w:szCs w:val="24"/>
        </w:rPr>
        <w:t>KYSELA, Jan. P</w:t>
      </w:r>
      <w:r>
        <w:rPr>
          <w:rFonts w:ascii="Times New Roman" w:hAnsi="Times New Roman" w:cs="Times New Roman"/>
          <w:sz w:val="24"/>
          <w:szCs w:val="24"/>
        </w:rPr>
        <w:t>arlament a parlamentarismus. In</w:t>
      </w:r>
      <w:r w:rsidRPr="00C00343">
        <w:rPr>
          <w:rFonts w:ascii="Times New Roman" w:hAnsi="Times New Roman" w:cs="Times New Roman"/>
          <w:sz w:val="24"/>
          <w:szCs w:val="24"/>
        </w:rPr>
        <w:t xml:space="preserve"> SYLLOVÁ, Jindřiška a kol. </w:t>
      </w:r>
      <w:r w:rsidRPr="007674C8">
        <w:rPr>
          <w:rFonts w:ascii="Times New Roman" w:hAnsi="Times New Roman" w:cs="Times New Roman"/>
          <w:i/>
          <w:sz w:val="24"/>
          <w:szCs w:val="24"/>
        </w:rPr>
        <w:t>Parlament České republiky</w:t>
      </w:r>
      <w:r w:rsidRPr="00C00343">
        <w:rPr>
          <w:rFonts w:ascii="Times New Roman" w:hAnsi="Times New Roman" w:cs="Times New Roman"/>
          <w:sz w:val="24"/>
          <w:szCs w:val="24"/>
        </w:rPr>
        <w:t>. 2. vydání. Praha:</w:t>
      </w:r>
      <w:r>
        <w:rPr>
          <w:rFonts w:ascii="Times New Roman" w:hAnsi="Times New Roman" w:cs="Times New Roman"/>
          <w:sz w:val="24"/>
          <w:szCs w:val="24"/>
        </w:rPr>
        <w:t xml:space="preserve"> Linde Praha a. s., 2008, s. 16-49.</w:t>
      </w:r>
    </w:p>
    <w:p w:rsidR="00191B9E" w:rsidRDefault="00191B9E" w:rsidP="00191B9E">
      <w:pPr>
        <w:spacing w:line="360" w:lineRule="auto"/>
        <w:jc w:val="both"/>
        <w:rPr>
          <w:rFonts w:ascii="Times New Roman" w:hAnsi="Times New Roman" w:cs="Times New Roman"/>
          <w:sz w:val="24"/>
          <w:szCs w:val="24"/>
        </w:rPr>
      </w:pPr>
      <w:r w:rsidRPr="00BE4655">
        <w:rPr>
          <w:rFonts w:ascii="Times New Roman" w:hAnsi="Times New Roman" w:cs="Times New Roman"/>
          <w:sz w:val="24"/>
          <w:szCs w:val="24"/>
        </w:rPr>
        <w:t xml:space="preserve">KYSELA, Jan. </w:t>
      </w:r>
      <w:r w:rsidRPr="00BE4655">
        <w:rPr>
          <w:rFonts w:ascii="Times New Roman" w:hAnsi="Times New Roman" w:cs="Times New Roman"/>
          <w:i/>
          <w:sz w:val="24"/>
          <w:szCs w:val="24"/>
        </w:rPr>
        <w:t>Zákonodárství bez parlamentů</w:t>
      </w:r>
      <w:r w:rsidRPr="00BE4655">
        <w:rPr>
          <w:rFonts w:ascii="Times New Roman" w:hAnsi="Times New Roman" w:cs="Times New Roman"/>
          <w:sz w:val="24"/>
          <w:szCs w:val="24"/>
        </w:rPr>
        <w:t xml:space="preserve">. Praha: Univerzita Karlova v Praze, </w:t>
      </w:r>
      <w:r>
        <w:rPr>
          <w:rFonts w:ascii="Times New Roman" w:hAnsi="Times New Roman" w:cs="Times New Roman"/>
          <w:sz w:val="24"/>
          <w:szCs w:val="24"/>
        </w:rPr>
        <w:t>Právnická fakulta, 2006. 170 s.</w:t>
      </w:r>
    </w:p>
    <w:p w:rsidR="00191B9E" w:rsidRPr="00E53167" w:rsidRDefault="00191B9E" w:rsidP="00191B9E">
      <w:pPr>
        <w:pStyle w:val="Textpoznpodarou"/>
        <w:spacing w:line="360" w:lineRule="auto"/>
        <w:jc w:val="both"/>
        <w:rPr>
          <w:rFonts w:ascii="Times New Roman" w:hAnsi="Times New Roman" w:cs="Times New Roman"/>
          <w:sz w:val="24"/>
        </w:rPr>
      </w:pPr>
      <w:r w:rsidRPr="00E53167">
        <w:rPr>
          <w:rFonts w:ascii="Times New Roman" w:hAnsi="Times New Roman" w:cs="Times New Roman"/>
          <w:sz w:val="24"/>
        </w:rPr>
        <w:t xml:space="preserve">LOUIS, Jean-Victor. </w:t>
      </w:r>
      <w:proofErr w:type="spellStart"/>
      <w:r w:rsidRPr="00E53167">
        <w:rPr>
          <w:rFonts w:ascii="Times New Roman" w:hAnsi="Times New Roman" w:cs="Times New Roman"/>
          <w:sz w:val="24"/>
        </w:rPr>
        <w:t>The</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Lisbon</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Treaty</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The</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Irish</w:t>
      </w:r>
      <w:proofErr w:type="spellEnd"/>
      <w:r w:rsidRPr="00E53167">
        <w:rPr>
          <w:rFonts w:ascii="Times New Roman" w:hAnsi="Times New Roman" w:cs="Times New Roman"/>
          <w:sz w:val="24"/>
        </w:rPr>
        <w:t xml:space="preserve"> ‘No’.: </w:t>
      </w:r>
      <w:proofErr w:type="spellStart"/>
      <w:r w:rsidRPr="00E53167">
        <w:rPr>
          <w:rFonts w:ascii="Times New Roman" w:hAnsi="Times New Roman" w:cs="Times New Roman"/>
          <w:sz w:val="24"/>
        </w:rPr>
        <w:t>National</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Parliaments</w:t>
      </w:r>
      <w:proofErr w:type="spellEnd"/>
      <w:r w:rsidRPr="00E53167">
        <w:rPr>
          <w:rFonts w:ascii="Times New Roman" w:hAnsi="Times New Roman" w:cs="Times New Roman"/>
          <w:sz w:val="24"/>
        </w:rPr>
        <w:t xml:space="preserve"> and </w:t>
      </w:r>
      <w:proofErr w:type="spellStart"/>
      <w:r w:rsidRPr="00E53167">
        <w:rPr>
          <w:rFonts w:ascii="Times New Roman" w:hAnsi="Times New Roman" w:cs="Times New Roman"/>
          <w:sz w:val="24"/>
        </w:rPr>
        <w:t>the</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Principle</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of</w:t>
      </w:r>
      <w:proofErr w:type="spellEnd"/>
      <w:r w:rsidRPr="00E53167">
        <w:rPr>
          <w:rFonts w:ascii="Times New Roman" w:hAnsi="Times New Roman" w:cs="Times New Roman"/>
          <w:sz w:val="24"/>
        </w:rPr>
        <w:t xml:space="preserve"> Subsidiarity – </w:t>
      </w:r>
      <w:proofErr w:type="spellStart"/>
      <w:r w:rsidRPr="00E53167">
        <w:rPr>
          <w:rFonts w:ascii="Times New Roman" w:hAnsi="Times New Roman" w:cs="Times New Roman"/>
          <w:sz w:val="24"/>
        </w:rPr>
        <w:t>Legal</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Options</w:t>
      </w:r>
      <w:proofErr w:type="spellEnd"/>
      <w:r w:rsidRPr="00E53167">
        <w:rPr>
          <w:rFonts w:ascii="Times New Roman" w:hAnsi="Times New Roman" w:cs="Times New Roman"/>
          <w:sz w:val="24"/>
        </w:rPr>
        <w:t xml:space="preserve"> and </w:t>
      </w:r>
      <w:proofErr w:type="spellStart"/>
      <w:r w:rsidRPr="00E53167">
        <w:rPr>
          <w:rFonts w:ascii="Times New Roman" w:hAnsi="Times New Roman" w:cs="Times New Roman"/>
          <w:sz w:val="24"/>
        </w:rPr>
        <w:t>Practical</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sz w:val="24"/>
        </w:rPr>
        <w:t>Limits</w:t>
      </w:r>
      <w:proofErr w:type="spellEnd"/>
      <w:r w:rsidRPr="00E53167">
        <w:rPr>
          <w:rFonts w:ascii="Times New Roman" w:hAnsi="Times New Roman" w:cs="Times New Roman"/>
          <w:sz w:val="24"/>
        </w:rPr>
        <w:t xml:space="preserve">. </w:t>
      </w:r>
      <w:proofErr w:type="spellStart"/>
      <w:r w:rsidRPr="00E53167">
        <w:rPr>
          <w:rFonts w:ascii="Times New Roman" w:hAnsi="Times New Roman" w:cs="Times New Roman"/>
          <w:i/>
          <w:sz w:val="24"/>
        </w:rPr>
        <w:t>European</w:t>
      </w:r>
      <w:proofErr w:type="spellEnd"/>
      <w:r w:rsidRPr="00E53167">
        <w:rPr>
          <w:rFonts w:ascii="Times New Roman" w:hAnsi="Times New Roman" w:cs="Times New Roman"/>
          <w:i/>
          <w:sz w:val="24"/>
        </w:rPr>
        <w:t xml:space="preserve"> </w:t>
      </w:r>
      <w:proofErr w:type="spellStart"/>
      <w:r w:rsidRPr="00E53167">
        <w:rPr>
          <w:rFonts w:ascii="Times New Roman" w:hAnsi="Times New Roman" w:cs="Times New Roman"/>
          <w:i/>
          <w:sz w:val="24"/>
        </w:rPr>
        <w:t>Constitutional</w:t>
      </w:r>
      <w:proofErr w:type="spellEnd"/>
      <w:r w:rsidRPr="00E53167">
        <w:rPr>
          <w:rFonts w:ascii="Times New Roman" w:hAnsi="Times New Roman" w:cs="Times New Roman"/>
          <w:i/>
          <w:sz w:val="24"/>
        </w:rPr>
        <w:t xml:space="preserve"> </w:t>
      </w:r>
      <w:proofErr w:type="spellStart"/>
      <w:r w:rsidRPr="00E53167">
        <w:rPr>
          <w:rFonts w:ascii="Times New Roman" w:hAnsi="Times New Roman" w:cs="Times New Roman"/>
          <w:i/>
          <w:sz w:val="24"/>
        </w:rPr>
        <w:t>Law</w:t>
      </w:r>
      <w:proofErr w:type="spellEnd"/>
      <w:r w:rsidRPr="00E53167">
        <w:rPr>
          <w:rFonts w:ascii="Times New Roman" w:hAnsi="Times New Roman" w:cs="Times New Roman"/>
          <w:i/>
          <w:sz w:val="24"/>
        </w:rPr>
        <w:t xml:space="preserve"> </w:t>
      </w:r>
      <w:proofErr w:type="spellStart"/>
      <w:r w:rsidRPr="00E53167">
        <w:rPr>
          <w:rFonts w:ascii="Times New Roman" w:hAnsi="Times New Roman" w:cs="Times New Roman"/>
          <w:i/>
          <w:sz w:val="24"/>
        </w:rPr>
        <w:t>Review</w:t>
      </w:r>
      <w:proofErr w:type="spellEnd"/>
      <w:r>
        <w:rPr>
          <w:rFonts w:ascii="Times New Roman" w:hAnsi="Times New Roman" w:cs="Times New Roman"/>
          <w:sz w:val="24"/>
        </w:rPr>
        <w:t xml:space="preserve">, 2008, vol. 4, </w:t>
      </w:r>
      <w:proofErr w:type="spellStart"/>
      <w:r>
        <w:rPr>
          <w:rFonts w:ascii="Times New Roman" w:hAnsi="Times New Roman" w:cs="Times New Roman"/>
          <w:sz w:val="24"/>
        </w:rPr>
        <w:t>iss</w:t>
      </w:r>
      <w:proofErr w:type="spellEnd"/>
      <w:r>
        <w:rPr>
          <w:rFonts w:ascii="Times New Roman" w:hAnsi="Times New Roman" w:cs="Times New Roman"/>
          <w:sz w:val="24"/>
        </w:rPr>
        <w:t>. 3, s. 429-452</w:t>
      </w:r>
      <w:r w:rsidRPr="00E53167">
        <w:rPr>
          <w:rFonts w:ascii="Times New Roman" w:hAnsi="Times New Roman" w:cs="Times New Roman"/>
          <w:sz w:val="24"/>
        </w:rPr>
        <w:t>.</w:t>
      </w:r>
    </w:p>
    <w:p w:rsidR="00191B9E" w:rsidRPr="00E53167" w:rsidRDefault="00191B9E" w:rsidP="00191B9E">
      <w:pPr>
        <w:pStyle w:val="Textpoznpodarou"/>
        <w:spacing w:line="360" w:lineRule="auto"/>
        <w:jc w:val="both"/>
        <w:rPr>
          <w:rFonts w:ascii="Times New Roman" w:hAnsi="Times New Roman" w:cs="Times New Roman"/>
        </w:rPr>
      </w:pPr>
    </w:p>
    <w:p w:rsidR="00191B9E" w:rsidRDefault="00191B9E" w:rsidP="00191B9E">
      <w:pPr>
        <w:spacing w:line="360" w:lineRule="auto"/>
        <w:jc w:val="both"/>
        <w:rPr>
          <w:rFonts w:ascii="Times New Roman" w:hAnsi="Times New Roman" w:cs="Times New Roman"/>
          <w:sz w:val="24"/>
          <w:szCs w:val="24"/>
        </w:rPr>
      </w:pPr>
      <w:r w:rsidRPr="007E6BEA">
        <w:rPr>
          <w:rFonts w:ascii="Times New Roman" w:hAnsi="Times New Roman" w:cs="Times New Roman"/>
          <w:sz w:val="24"/>
          <w:szCs w:val="24"/>
        </w:rPr>
        <w:t xml:space="preserve">JANS, Theo, PIEDRAFITA, Sonia. </w:t>
      </w:r>
      <w:proofErr w:type="spellStart"/>
      <w:r w:rsidRPr="007E6BEA">
        <w:rPr>
          <w:rFonts w:ascii="Times New Roman" w:hAnsi="Times New Roman" w:cs="Times New Roman"/>
          <w:sz w:val="24"/>
          <w:szCs w:val="24"/>
        </w:rPr>
        <w:t>The</w:t>
      </w:r>
      <w:proofErr w:type="spellEnd"/>
      <w:r w:rsidRPr="007E6BEA">
        <w:rPr>
          <w:rFonts w:ascii="Times New Roman" w:hAnsi="Times New Roman" w:cs="Times New Roman"/>
          <w:sz w:val="24"/>
          <w:szCs w:val="24"/>
        </w:rPr>
        <w:t xml:space="preserve"> Role </w:t>
      </w:r>
      <w:proofErr w:type="spellStart"/>
      <w:r w:rsidRPr="007E6BEA">
        <w:rPr>
          <w:rFonts w:ascii="Times New Roman" w:hAnsi="Times New Roman" w:cs="Times New Roman"/>
          <w:sz w:val="24"/>
          <w:szCs w:val="24"/>
        </w:rPr>
        <w:t>of</w:t>
      </w:r>
      <w:proofErr w:type="spellEnd"/>
      <w:r w:rsidRPr="007E6BEA">
        <w:rPr>
          <w:rFonts w:ascii="Times New Roman" w:hAnsi="Times New Roman" w:cs="Times New Roman"/>
          <w:sz w:val="24"/>
          <w:szCs w:val="24"/>
        </w:rPr>
        <w:t xml:space="preserve"> </w:t>
      </w:r>
      <w:proofErr w:type="spellStart"/>
      <w:r w:rsidRPr="007E6BEA">
        <w:rPr>
          <w:rFonts w:ascii="Times New Roman" w:hAnsi="Times New Roman" w:cs="Times New Roman"/>
          <w:sz w:val="24"/>
          <w:szCs w:val="24"/>
        </w:rPr>
        <w:t>National</w:t>
      </w:r>
      <w:proofErr w:type="spellEnd"/>
      <w:r w:rsidRPr="007E6BEA">
        <w:rPr>
          <w:rFonts w:ascii="Times New Roman" w:hAnsi="Times New Roman" w:cs="Times New Roman"/>
          <w:sz w:val="24"/>
          <w:szCs w:val="24"/>
        </w:rPr>
        <w:t xml:space="preserve"> </w:t>
      </w:r>
      <w:proofErr w:type="spellStart"/>
      <w:r w:rsidRPr="007E6BEA">
        <w:rPr>
          <w:rFonts w:ascii="Times New Roman" w:hAnsi="Times New Roman" w:cs="Times New Roman"/>
          <w:sz w:val="24"/>
          <w:szCs w:val="24"/>
        </w:rPr>
        <w:t>Parliaments</w:t>
      </w:r>
      <w:proofErr w:type="spellEnd"/>
      <w:r w:rsidRPr="007E6BEA">
        <w:rPr>
          <w:rFonts w:ascii="Times New Roman" w:hAnsi="Times New Roman" w:cs="Times New Roman"/>
          <w:sz w:val="24"/>
          <w:szCs w:val="24"/>
        </w:rPr>
        <w:t xml:space="preserve"> in </w:t>
      </w:r>
      <w:proofErr w:type="spellStart"/>
      <w:r w:rsidRPr="007E6BEA">
        <w:rPr>
          <w:rFonts w:ascii="Times New Roman" w:hAnsi="Times New Roman" w:cs="Times New Roman"/>
          <w:sz w:val="24"/>
          <w:szCs w:val="24"/>
        </w:rPr>
        <w:t>European</w:t>
      </w:r>
      <w:proofErr w:type="spellEnd"/>
      <w:r w:rsidRPr="007E6BEA">
        <w:rPr>
          <w:rFonts w:ascii="Times New Roman" w:hAnsi="Times New Roman" w:cs="Times New Roman"/>
          <w:sz w:val="24"/>
          <w:szCs w:val="24"/>
        </w:rPr>
        <w:t xml:space="preserve"> </w:t>
      </w:r>
      <w:proofErr w:type="spellStart"/>
      <w:r w:rsidRPr="007E6BEA">
        <w:rPr>
          <w:rFonts w:ascii="Times New Roman" w:hAnsi="Times New Roman" w:cs="Times New Roman"/>
          <w:sz w:val="24"/>
          <w:szCs w:val="24"/>
        </w:rPr>
        <w:t>Decision-Making</w:t>
      </w:r>
      <w:proofErr w:type="spellEnd"/>
      <w:r w:rsidRPr="007E6BEA">
        <w:rPr>
          <w:rFonts w:ascii="Times New Roman" w:hAnsi="Times New Roman" w:cs="Times New Roman"/>
          <w:sz w:val="24"/>
          <w:szCs w:val="24"/>
        </w:rPr>
        <w:t xml:space="preserve">. </w:t>
      </w:r>
      <w:proofErr w:type="spellStart"/>
      <w:r w:rsidRPr="007E6BEA">
        <w:rPr>
          <w:rFonts w:ascii="Times New Roman" w:hAnsi="Times New Roman" w:cs="Times New Roman"/>
          <w:i/>
          <w:sz w:val="24"/>
          <w:szCs w:val="24"/>
        </w:rPr>
        <w:t>Eipascope</w:t>
      </w:r>
      <w:proofErr w:type="spellEnd"/>
      <w:r w:rsidRPr="007E6BEA">
        <w:rPr>
          <w:rFonts w:ascii="Times New Roman" w:hAnsi="Times New Roman" w:cs="Times New Roman"/>
          <w:sz w:val="24"/>
          <w:szCs w:val="24"/>
        </w:rPr>
        <w:t>, 2009, no. 1, s. 19</w:t>
      </w:r>
      <w:r>
        <w:rPr>
          <w:rFonts w:ascii="Times New Roman" w:hAnsi="Times New Roman" w:cs="Times New Roman"/>
          <w:sz w:val="24"/>
          <w:szCs w:val="24"/>
        </w:rPr>
        <w:t>-26</w:t>
      </w:r>
      <w:r w:rsidRPr="007E6BEA">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BC4BBD">
        <w:rPr>
          <w:rFonts w:ascii="Times New Roman" w:hAnsi="Times New Roman" w:cs="Times New Roman"/>
          <w:sz w:val="24"/>
          <w:szCs w:val="24"/>
        </w:rPr>
        <w:t xml:space="preserve">LAZAR, Carmen. Subsidiarity in </w:t>
      </w:r>
      <w:proofErr w:type="spellStart"/>
      <w:r w:rsidRPr="00BC4BBD">
        <w:rPr>
          <w:rFonts w:ascii="Times New Roman" w:hAnsi="Times New Roman" w:cs="Times New Roman"/>
          <w:sz w:val="24"/>
          <w:szCs w:val="24"/>
        </w:rPr>
        <w:t>the</w:t>
      </w:r>
      <w:proofErr w:type="spellEnd"/>
      <w:r w:rsidRPr="00BC4BBD">
        <w:rPr>
          <w:rFonts w:ascii="Times New Roman" w:hAnsi="Times New Roman" w:cs="Times New Roman"/>
          <w:sz w:val="24"/>
          <w:szCs w:val="24"/>
        </w:rPr>
        <w:t xml:space="preserve"> union </w:t>
      </w:r>
      <w:proofErr w:type="spellStart"/>
      <w:r w:rsidRPr="00BC4BBD">
        <w:rPr>
          <w:rFonts w:ascii="Times New Roman" w:hAnsi="Times New Roman" w:cs="Times New Roman"/>
          <w:sz w:val="24"/>
          <w:szCs w:val="24"/>
        </w:rPr>
        <w:t>law</w:t>
      </w:r>
      <w:proofErr w:type="spellEnd"/>
      <w:r w:rsidRPr="00BC4BBD">
        <w:rPr>
          <w:rFonts w:ascii="Times New Roman" w:hAnsi="Times New Roman" w:cs="Times New Roman"/>
          <w:sz w:val="24"/>
          <w:szCs w:val="24"/>
        </w:rPr>
        <w:t xml:space="preserve">: a </w:t>
      </w:r>
      <w:proofErr w:type="spellStart"/>
      <w:r w:rsidRPr="00BC4BBD">
        <w:rPr>
          <w:rFonts w:ascii="Times New Roman" w:hAnsi="Times New Roman" w:cs="Times New Roman"/>
          <w:sz w:val="24"/>
          <w:szCs w:val="24"/>
        </w:rPr>
        <w:t>success</w:t>
      </w:r>
      <w:proofErr w:type="spellEnd"/>
      <w:r w:rsidRPr="00BC4BBD">
        <w:rPr>
          <w:rFonts w:ascii="Times New Roman" w:hAnsi="Times New Roman" w:cs="Times New Roman"/>
          <w:sz w:val="24"/>
          <w:szCs w:val="24"/>
        </w:rPr>
        <w:t xml:space="preserve"> </w:t>
      </w:r>
      <w:proofErr w:type="spellStart"/>
      <w:r w:rsidRPr="00BC4BBD">
        <w:rPr>
          <w:rFonts w:ascii="Times New Roman" w:hAnsi="Times New Roman" w:cs="Times New Roman"/>
          <w:sz w:val="24"/>
          <w:szCs w:val="24"/>
        </w:rPr>
        <w:t>or</w:t>
      </w:r>
      <w:proofErr w:type="spellEnd"/>
      <w:r w:rsidRPr="00BC4BBD">
        <w:rPr>
          <w:rFonts w:ascii="Times New Roman" w:hAnsi="Times New Roman" w:cs="Times New Roman"/>
          <w:sz w:val="24"/>
          <w:szCs w:val="24"/>
        </w:rPr>
        <w:t xml:space="preserve"> a </w:t>
      </w:r>
      <w:proofErr w:type="spellStart"/>
      <w:r w:rsidRPr="00BC4BBD">
        <w:rPr>
          <w:rFonts w:ascii="Times New Roman" w:hAnsi="Times New Roman" w:cs="Times New Roman"/>
          <w:sz w:val="24"/>
          <w:szCs w:val="24"/>
        </w:rPr>
        <w:t>failure</w:t>
      </w:r>
      <w:proofErr w:type="spellEnd"/>
      <w:r w:rsidRPr="00BC4BBD">
        <w:rPr>
          <w:rFonts w:ascii="Times New Roman" w:hAnsi="Times New Roman" w:cs="Times New Roman"/>
          <w:sz w:val="24"/>
          <w:szCs w:val="24"/>
        </w:rPr>
        <w:t xml:space="preserve">? </w:t>
      </w:r>
      <w:r w:rsidRPr="00BC4BBD">
        <w:rPr>
          <w:rFonts w:ascii="Times New Roman" w:hAnsi="Times New Roman" w:cs="Times New Roman"/>
          <w:i/>
          <w:sz w:val="24"/>
          <w:szCs w:val="24"/>
        </w:rPr>
        <w:t xml:space="preserve">Agora International </w:t>
      </w:r>
      <w:proofErr w:type="spellStart"/>
      <w:r w:rsidRPr="00BC4BBD">
        <w:rPr>
          <w:rFonts w:ascii="Times New Roman" w:hAnsi="Times New Roman" w:cs="Times New Roman"/>
          <w:i/>
          <w:sz w:val="24"/>
          <w:szCs w:val="24"/>
        </w:rPr>
        <w:t>Journal</w:t>
      </w:r>
      <w:proofErr w:type="spellEnd"/>
      <w:r w:rsidRPr="00BC4BBD">
        <w:rPr>
          <w:rFonts w:ascii="Times New Roman" w:hAnsi="Times New Roman" w:cs="Times New Roman"/>
          <w:i/>
          <w:sz w:val="24"/>
          <w:szCs w:val="24"/>
        </w:rPr>
        <w:t xml:space="preserve"> </w:t>
      </w:r>
      <w:proofErr w:type="spellStart"/>
      <w:r w:rsidRPr="00BC4BBD">
        <w:rPr>
          <w:rFonts w:ascii="Times New Roman" w:hAnsi="Times New Roman" w:cs="Times New Roman"/>
          <w:i/>
          <w:sz w:val="24"/>
          <w:szCs w:val="24"/>
        </w:rPr>
        <w:t>of</w:t>
      </w:r>
      <w:proofErr w:type="spellEnd"/>
      <w:r w:rsidRPr="00BC4BBD">
        <w:rPr>
          <w:rFonts w:ascii="Times New Roman" w:hAnsi="Times New Roman" w:cs="Times New Roman"/>
          <w:i/>
          <w:sz w:val="24"/>
          <w:szCs w:val="24"/>
        </w:rPr>
        <w:t xml:space="preserve"> </w:t>
      </w:r>
      <w:proofErr w:type="spellStart"/>
      <w:r w:rsidRPr="00BC4BBD">
        <w:rPr>
          <w:rFonts w:ascii="Times New Roman" w:hAnsi="Times New Roman" w:cs="Times New Roman"/>
          <w:i/>
          <w:sz w:val="24"/>
          <w:szCs w:val="24"/>
        </w:rPr>
        <w:t>Juridical</w:t>
      </w:r>
      <w:proofErr w:type="spellEnd"/>
      <w:r w:rsidRPr="00BC4BBD">
        <w:rPr>
          <w:rFonts w:ascii="Times New Roman" w:hAnsi="Times New Roman" w:cs="Times New Roman"/>
          <w:i/>
          <w:sz w:val="24"/>
          <w:szCs w:val="24"/>
        </w:rPr>
        <w:t xml:space="preserve"> </w:t>
      </w:r>
      <w:proofErr w:type="spellStart"/>
      <w:r w:rsidRPr="00BC4BBD">
        <w:rPr>
          <w:rFonts w:ascii="Times New Roman" w:hAnsi="Times New Roman" w:cs="Times New Roman"/>
          <w:i/>
          <w:sz w:val="24"/>
          <w:szCs w:val="24"/>
        </w:rPr>
        <w:t>Sciences</w:t>
      </w:r>
      <w:proofErr w:type="spellEnd"/>
      <w:r>
        <w:rPr>
          <w:rFonts w:ascii="Times New Roman" w:hAnsi="Times New Roman" w:cs="Times New Roman"/>
          <w:sz w:val="24"/>
          <w:szCs w:val="24"/>
        </w:rPr>
        <w:t>, 2014, no. 1, s. 71-81</w:t>
      </w:r>
      <w:r w:rsidRPr="00BC4BBD">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1F0C39">
        <w:rPr>
          <w:rFonts w:ascii="Times New Roman" w:hAnsi="Times New Roman" w:cs="Times New Roman"/>
          <w:sz w:val="24"/>
          <w:szCs w:val="24"/>
        </w:rPr>
        <w:t xml:space="preserve">MAURER, Andreas, WESSELS, Wolfgang. </w:t>
      </w:r>
      <w:proofErr w:type="spellStart"/>
      <w:r w:rsidRPr="001F0C39">
        <w:rPr>
          <w:rFonts w:ascii="Times New Roman" w:hAnsi="Times New Roman" w:cs="Times New Roman"/>
          <w:i/>
          <w:sz w:val="24"/>
          <w:szCs w:val="24"/>
        </w:rPr>
        <w:t>National</w:t>
      </w:r>
      <w:proofErr w:type="spellEnd"/>
      <w:r w:rsidRPr="001F0C39">
        <w:rPr>
          <w:rFonts w:ascii="Times New Roman" w:hAnsi="Times New Roman" w:cs="Times New Roman"/>
          <w:i/>
          <w:sz w:val="24"/>
          <w:szCs w:val="24"/>
        </w:rPr>
        <w:t xml:space="preserve"> </w:t>
      </w:r>
      <w:proofErr w:type="spellStart"/>
      <w:r w:rsidRPr="001F0C39">
        <w:rPr>
          <w:rFonts w:ascii="Times New Roman" w:hAnsi="Times New Roman" w:cs="Times New Roman"/>
          <w:i/>
          <w:sz w:val="24"/>
          <w:szCs w:val="24"/>
        </w:rPr>
        <w:t>parliaments</w:t>
      </w:r>
      <w:proofErr w:type="spellEnd"/>
      <w:r w:rsidRPr="001F0C39">
        <w:rPr>
          <w:rFonts w:ascii="Times New Roman" w:hAnsi="Times New Roman" w:cs="Times New Roman"/>
          <w:i/>
          <w:sz w:val="24"/>
          <w:szCs w:val="24"/>
        </w:rPr>
        <w:t xml:space="preserve"> on </w:t>
      </w:r>
      <w:proofErr w:type="spellStart"/>
      <w:r w:rsidRPr="001F0C39">
        <w:rPr>
          <w:rFonts w:ascii="Times New Roman" w:hAnsi="Times New Roman" w:cs="Times New Roman"/>
          <w:i/>
          <w:sz w:val="24"/>
          <w:szCs w:val="24"/>
        </w:rPr>
        <w:t>their</w:t>
      </w:r>
      <w:proofErr w:type="spellEnd"/>
      <w:r w:rsidRPr="001F0C39">
        <w:rPr>
          <w:rFonts w:ascii="Times New Roman" w:hAnsi="Times New Roman" w:cs="Times New Roman"/>
          <w:i/>
          <w:sz w:val="24"/>
          <w:szCs w:val="24"/>
        </w:rPr>
        <w:t xml:space="preserve"> </w:t>
      </w:r>
      <w:proofErr w:type="spellStart"/>
      <w:r w:rsidRPr="001F0C39">
        <w:rPr>
          <w:rFonts w:ascii="Times New Roman" w:hAnsi="Times New Roman" w:cs="Times New Roman"/>
          <w:i/>
          <w:sz w:val="24"/>
          <w:szCs w:val="24"/>
        </w:rPr>
        <w:t>Ways</w:t>
      </w:r>
      <w:proofErr w:type="spellEnd"/>
      <w:r w:rsidRPr="001F0C39">
        <w:rPr>
          <w:rFonts w:ascii="Times New Roman" w:hAnsi="Times New Roman" w:cs="Times New Roman"/>
          <w:i/>
          <w:sz w:val="24"/>
          <w:szCs w:val="24"/>
        </w:rPr>
        <w:t xml:space="preserve"> to </w:t>
      </w:r>
      <w:proofErr w:type="spellStart"/>
      <w:r w:rsidRPr="001F0C39">
        <w:rPr>
          <w:rFonts w:ascii="Times New Roman" w:hAnsi="Times New Roman" w:cs="Times New Roman"/>
          <w:i/>
          <w:sz w:val="24"/>
          <w:szCs w:val="24"/>
        </w:rPr>
        <w:t>Europe</w:t>
      </w:r>
      <w:proofErr w:type="spellEnd"/>
      <w:r w:rsidRPr="001F0C39">
        <w:rPr>
          <w:rFonts w:ascii="Times New Roman" w:hAnsi="Times New Roman" w:cs="Times New Roman"/>
          <w:i/>
          <w:sz w:val="24"/>
          <w:szCs w:val="24"/>
        </w:rPr>
        <w:t xml:space="preserve">: </w:t>
      </w:r>
      <w:proofErr w:type="spellStart"/>
      <w:r w:rsidRPr="001F0C39">
        <w:rPr>
          <w:rFonts w:ascii="Times New Roman" w:hAnsi="Times New Roman" w:cs="Times New Roman"/>
          <w:i/>
          <w:sz w:val="24"/>
          <w:szCs w:val="24"/>
        </w:rPr>
        <w:t>Losers</w:t>
      </w:r>
      <w:proofErr w:type="spellEnd"/>
      <w:r w:rsidRPr="001F0C39">
        <w:rPr>
          <w:rFonts w:ascii="Times New Roman" w:hAnsi="Times New Roman" w:cs="Times New Roman"/>
          <w:i/>
          <w:sz w:val="24"/>
          <w:szCs w:val="24"/>
        </w:rPr>
        <w:t xml:space="preserve"> </w:t>
      </w:r>
      <w:proofErr w:type="spellStart"/>
      <w:r w:rsidRPr="001F0C39">
        <w:rPr>
          <w:rFonts w:ascii="Times New Roman" w:hAnsi="Times New Roman" w:cs="Times New Roman"/>
          <w:i/>
          <w:sz w:val="24"/>
          <w:szCs w:val="24"/>
        </w:rPr>
        <w:t>or</w:t>
      </w:r>
      <w:proofErr w:type="spellEnd"/>
      <w:r w:rsidRPr="001F0C39">
        <w:rPr>
          <w:rFonts w:ascii="Times New Roman" w:hAnsi="Times New Roman" w:cs="Times New Roman"/>
          <w:i/>
          <w:sz w:val="24"/>
          <w:szCs w:val="24"/>
        </w:rPr>
        <w:t xml:space="preserve"> </w:t>
      </w:r>
      <w:proofErr w:type="spellStart"/>
      <w:r w:rsidRPr="001F0C39">
        <w:rPr>
          <w:rFonts w:ascii="Times New Roman" w:hAnsi="Times New Roman" w:cs="Times New Roman"/>
          <w:i/>
          <w:sz w:val="24"/>
          <w:szCs w:val="24"/>
        </w:rPr>
        <w:t>Latecomers</w:t>
      </w:r>
      <w:proofErr w:type="spellEnd"/>
      <w:r w:rsidRPr="001F0C39">
        <w:rPr>
          <w:rFonts w:ascii="Times New Roman" w:hAnsi="Times New Roman" w:cs="Times New Roman"/>
          <w:i/>
          <w:sz w:val="24"/>
          <w:szCs w:val="24"/>
        </w:rPr>
        <w:t>?</w:t>
      </w:r>
      <w:r w:rsidRPr="001F0C39">
        <w:rPr>
          <w:rFonts w:ascii="Times New Roman" w:hAnsi="Times New Roman" w:cs="Times New Roman"/>
          <w:sz w:val="24"/>
          <w:szCs w:val="24"/>
        </w:rPr>
        <w:t xml:space="preserve"> Baden-Baden: </w:t>
      </w:r>
      <w:r>
        <w:rPr>
          <w:rFonts w:ascii="Times New Roman" w:hAnsi="Times New Roman" w:cs="Times New Roman"/>
          <w:sz w:val="24"/>
          <w:szCs w:val="24"/>
        </w:rPr>
        <w:t xml:space="preserve">Nomos </w:t>
      </w:r>
      <w:proofErr w:type="spellStart"/>
      <w:r>
        <w:rPr>
          <w:rFonts w:ascii="Times New Roman" w:hAnsi="Times New Roman" w:cs="Times New Roman"/>
          <w:sz w:val="24"/>
          <w:szCs w:val="24"/>
        </w:rPr>
        <w:t>Verlagsgesellschaft</w:t>
      </w:r>
      <w:proofErr w:type="spellEnd"/>
      <w:r>
        <w:rPr>
          <w:rFonts w:ascii="Times New Roman" w:hAnsi="Times New Roman" w:cs="Times New Roman"/>
          <w:sz w:val="24"/>
          <w:szCs w:val="24"/>
        </w:rPr>
        <w:t>, 2001. 521 s.</w:t>
      </w:r>
    </w:p>
    <w:p w:rsidR="00191B9E" w:rsidRDefault="00191B9E" w:rsidP="00191B9E">
      <w:pPr>
        <w:spacing w:line="360" w:lineRule="auto"/>
        <w:jc w:val="both"/>
        <w:rPr>
          <w:rFonts w:ascii="Times New Roman" w:hAnsi="Times New Roman" w:cs="Times New Roman"/>
          <w:sz w:val="24"/>
          <w:szCs w:val="24"/>
        </w:rPr>
      </w:pPr>
      <w:r w:rsidRPr="00B07537">
        <w:rPr>
          <w:rFonts w:ascii="Times New Roman" w:hAnsi="Times New Roman" w:cs="Times New Roman"/>
          <w:sz w:val="24"/>
          <w:szCs w:val="24"/>
        </w:rPr>
        <w:t xml:space="preserve">MOENS, Gabriel, TRONE, John. </w:t>
      </w:r>
      <w:proofErr w:type="spellStart"/>
      <w:r w:rsidRPr="00B07537">
        <w:rPr>
          <w:rFonts w:ascii="Times New Roman" w:hAnsi="Times New Roman" w:cs="Times New Roman"/>
          <w:sz w:val="24"/>
          <w:szCs w:val="24"/>
        </w:rPr>
        <w:t>The</w:t>
      </w:r>
      <w:proofErr w:type="spellEnd"/>
      <w:r w:rsidRPr="00B07537">
        <w:rPr>
          <w:rFonts w:ascii="Times New Roman" w:hAnsi="Times New Roman" w:cs="Times New Roman"/>
          <w:sz w:val="24"/>
          <w:szCs w:val="24"/>
        </w:rPr>
        <w:t xml:space="preserve"> </w:t>
      </w:r>
      <w:proofErr w:type="spellStart"/>
      <w:r w:rsidRPr="00B07537">
        <w:rPr>
          <w:rFonts w:ascii="Times New Roman" w:hAnsi="Times New Roman" w:cs="Times New Roman"/>
          <w:sz w:val="24"/>
          <w:szCs w:val="24"/>
        </w:rPr>
        <w:t>Principle</w:t>
      </w:r>
      <w:proofErr w:type="spellEnd"/>
      <w:r w:rsidRPr="00B07537">
        <w:rPr>
          <w:rFonts w:ascii="Times New Roman" w:hAnsi="Times New Roman" w:cs="Times New Roman"/>
          <w:sz w:val="24"/>
          <w:szCs w:val="24"/>
        </w:rPr>
        <w:t xml:space="preserve"> </w:t>
      </w:r>
      <w:proofErr w:type="spellStart"/>
      <w:r w:rsidRPr="00B07537">
        <w:rPr>
          <w:rFonts w:ascii="Times New Roman" w:hAnsi="Times New Roman" w:cs="Times New Roman"/>
          <w:sz w:val="24"/>
          <w:szCs w:val="24"/>
        </w:rPr>
        <w:t>Of</w:t>
      </w:r>
      <w:proofErr w:type="spellEnd"/>
      <w:r w:rsidRPr="00B07537">
        <w:rPr>
          <w:rFonts w:ascii="Times New Roman" w:hAnsi="Times New Roman" w:cs="Times New Roman"/>
          <w:sz w:val="24"/>
          <w:szCs w:val="24"/>
        </w:rPr>
        <w:t xml:space="preserve"> Subsidiarity In EU </w:t>
      </w:r>
      <w:proofErr w:type="spellStart"/>
      <w:r w:rsidRPr="00B07537">
        <w:rPr>
          <w:rFonts w:ascii="Times New Roman" w:hAnsi="Times New Roman" w:cs="Times New Roman"/>
          <w:sz w:val="24"/>
          <w:szCs w:val="24"/>
        </w:rPr>
        <w:t>Judicial</w:t>
      </w:r>
      <w:proofErr w:type="spellEnd"/>
      <w:r w:rsidRPr="00B07537">
        <w:rPr>
          <w:rFonts w:ascii="Times New Roman" w:hAnsi="Times New Roman" w:cs="Times New Roman"/>
          <w:sz w:val="24"/>
          <w:szCs w:val="24"/>
        </w:rPr>
        <w:t xml:space="preserve"> And </w:t>
      </w:r>
      <w:proofErr w:type="spellStart"/>
      <w:r w:rsidRPr="00B07537">
        <w:rPr>
          <w:rFonts w:ascii="Times New Roman" w:hAnsi="Times New Roman" w:cs="Times New Roman"/>
          <w:sz w:val="24"/>
          <w:szCs w:val="24"/>
        </w:rPr>
        <w:t>Legislative</w:t>
      </w:r>
      <w:proofErr w:type="spellEnd"/>
      <w:r w:rsidRPr="00B07537">
        <w:rPr>
          <w:rFonts w:ascii="Times New Roman" w:hAnsi="Times New Roman" w:cs="Times New Roman"/>
          <w:sz w:val="24"/>
          <w:szCs w:val="24"/>
        </w:rPr>
        <w:t xml:space="preserve"> </w:t>
      </w:r>
      <w:proofErr w:type="spellStart"/>
      <w:r w:rsidRPr="00B07537">
        <w:rPr>
          <w:rFonts w:ascii="Times New Roman" w:hAnsi="Times New Roman" w:cs="Times New Roman"/>
          <w:sz w:val="24"/>
          <w:szCs w:val="24"/>
        </w:rPr>
        <w:t>Practice</w:t>
      </w:r>
      <w:proofErr w:type="spellEnd"/>
      <w:r w:rsidRPr="00B07537">
        <w:rPr>
          <w:rFonts w:ascii="Times New Roman" w:hAnsi="Times New Roman" w:cs="Times New Roman"/>
          <w:sz w:val="24"/>
          <w:szCs w:val="24"/>
        </w:rPr>
        <w:t xml:space="preserve">: </w:t>
      </w:r>
      <w:proofErr w:type="spellStart"/>
      <w:r w:rsidRPr="00B07537">
        <w:rPr>
          <w:rFonts w:ascii="Times New Roman" w:hAnsi="Times New Roman" w:cs="Times New Roman"/>
          <w:sz w:val="24"/>
          <w:szCs w:val="24"/>
        </w:rPr>
        <w:t>Panacea</w:t>
      </w:r>
      <w:proofErr w:type="spellEnd"/>
      <w:r w:rsidRPr="00B07537">
        <w:rPr>
          <w:rFonts w:ascii="Times New Roman" w:hAnsi="Times New Roman" w:cs="Times New Roman"/>
          <w:sz w:val="24"/>
          <w:szCs w:val="24"/>
        </w:rPr>
        <w:t xml:space="preserve"> Or Placebo? </w:t>
      </w:r>
      <w:proofErr w:type="spellStart"/>
      <w:r w:rsidRPr="00B07537">
        <w:rPr>
          <w:rFonts w:ascii="Times New Roman" w:hAnsi="Times New Roman" w:cs="Times New Roman"/>
          <w:i/>
          <w:sz w:val="24"/>
          <w:szCs w:val="24"/>
        </w:rPr>
        <w:t>Journal</w:t>
      </w:r>
      <w:proofErr w:type="spellEnd"/>
      <w:r w:rsidRPr="00B07537">
        <w:rPr>
          <w:rFonts w:ascii="Times New Roman" w:hAnsi="Times New Roman" w:cs="Times New Roman"/>
          <w:i/>
          <w:sz w:val="24"/>
          <w:szCs w:val="24"/>
        </w:rPr>
        <w:t xml:space="preserve"> </w:t>
      </w:r>
      <w:proofErr w:type="spellStart"/>
      <w:r w:rsidRPr="00B07537">
        <w:rPr>
          <w:rFonts w:ascii="Times New Roman" w:hAnsi="Times New Roman" w:cs="Times New Roman"/>
          <w:i/>
          <w:sz w:val="24"/>
          <w:szCs w:val="24"/>
        </w:rPr>
        <w:t>of</w:t>
      </w:r>
      <w:proofErr w:type="spellEnd"/>
      <w:r w:rsidRPr="00B07537">
        <w:rPr>
          <w:rFonts w:ascii="Times New Roman" w:hAnsi="Times New Roman" w:cs="Times New Roman"/>
          <w:i/>
          <w:sz w:val="24"/>
          <w:szCs w:val="24"/>
        </w:rPr>
        <w:t xml:space="preserve"> </w:t>
      </w:r>
      <w:proofErr w:type="spellStart"/>
      <w:r w:rsidRPr="00B07537">
        <w:rPr>
          <w:rFonts w:ascii="Times New Roman" w:hAnsi="Times New Roman" w:cs="Times New Roman"/>
          <w:i/>
          <w:sz w:val="24"/>
          <w:szCs w:val="24"/>
        </w:rPr>
        <w:t>Legislation</w:t>
      </w:r>
      <w:proofErr w:type="spellEnd"/>
      <w:r>
        <w:rPr>
          <w:rFonts w:ascii="Times New Roman" w:hAnsi="Times New Roman" w:cs="Times New Roman"/>
          <w:sz w:val="24"/>
          <w:szCs w:val="24"/>
        </w:rPr>
        <w:t xml:space="preserve">, 2015, vol. 41, </w:t>
      </w:r>
      <w:proofErr w:type="spellStart"/>
      <w:r>
        <w:rPr>
          <w:rFonts w:ascii="Times New Roman" w:hAnsi="Times New Roman" w:cs="Times New Roman"/>
          <w:sz w:val="24"/>
          <w:szCs w:val="24"/>
        </w:rPr>
        <w:t>iss</w:t>
      </w:r>
      <w:proofErr w:type="spellEnd"/>
      <w:r>
        <w:rPr>
          <w:rFonts w:ascii="Times New Roman" w:hAnsi="Times New Roman" w:cs="Times New Roman"/>
          <w:sz w:val="24"/>
          <w:szCs w:val="24"/>
        </w:rPr>
        <w:t>. 1, s. 65-102</w:t>
      </w:r>
      <w:r w:rsidRPr="00B07537">
        <w:rPr>
          <w:rFonts w:ascii="Times New Roman" w:hAnsi="Times New Roman" w:cs="Times New Roman"/>
          <w:sz w:val="24"/>
          <w:szCs w:val="24"/>
        </w:rPr>
        <w:t>.</w:t>
      </w:r>
    </w:p>
    <w:p w:rsidR="00C115B8" w:rsidRPr="00C115B8" w:rsidRDefault="00C115B8" w:rsidP="00191B9E">
      <w:pPr>
        <w:spacing w:line="360" w:lineRule="auto"/>
        <w:jc w:val="both"/>
        <w:rPr>
          <w:rFonts w:ascii="Times New Roman" w:hAnsi="Times New Roman" w:cs="Times New Roman"/>
          <w:sz w:val="28"/>
          <w:szCs w:val="24"/>
        </w:rPr>
      </w:pPr>
      <w:r w:rsidRPr="00C115B8">
        <w:rPr>
          <w:rFonts w:ascii="Times New Roman" w:hAnsi="Times New Roman" w:cs="Times New Roman"/>
          <w:sz w:val="24"/>
        </w:rPr>
        <w:t xml:space="preserve">MONTESQUIEU, Charles. </w:t>
      </w:r>
      <w:r w:rsidRPr="00C115B8">
        <w:rPr>
          <w:rFonts w:ascii="Times New Roman" w:hAnsi="Times New Roman" w:cs="Times New Roman"/>
          <w:i/>
          <w:sz w:val="24"/>
        </w:rPr>
        <w:t>O duchu zákonů</w:t>
      </w:r>
      <w:r>
        <w:rPr>
          <w:rFonts w:ascii="Times New Roman" w:hAnsi="Times New Roman" w:cs="Times New Roman"/>
          <w:sz w:val="24"/>
        </w:rPr>
        <w:t>. Dobrá voda: Aleš Čeněk, 2003. 366 s</w:t>
      </w:r>
      <w:r w:rsidRPr="00C115B8">
        <w:rPr>
          <w:rFonts w:ascii="Times New Roman" w:hAnsi="Times New Roman" w:cs="Times New Roman"/>
          <w:sz w:val="24"/>
        </w:rPr>
        <w:t>.</w:t>
      </w:r>
    </w:p>
    <w:p w:rsidR="00191B9E" w:rsidRPr="00AA6E11" w:rsidRDefault="00191B9E" w:rsidP="00191B9E">
      <w:pPr>
        <w:spacing w:line="360" w:lineRule="auto"/>
        <w:jc w:val="both"/>
        <w:rPr>
          <w:rFonts w:ascii="Times New Roman" w:hAnsi="Times New Roman" w:cs="Times New Roman"/>
          <w:sz w:val="28"/>
          <w:szCs w:val="24"/>
        </w:rPr>
      </w:pPr>
      <w:r w:rsidRPr="00AA6E11">
        <w:rPr>
          <w:rFonts w:ascii="Times New Roman" w:hAnsi="Times New Roman" w:cs="Times New Roman"/>
          <w:sz w:val="24"/>
        </w:rPr>
        <w:t xml:space="preserve">NIELSEN, Nikolaj. </w:t>
      </w:r>
      <w:r w:rsidRPr="00AA6E11">
        <w:rPr>
          <w:rFonts w:ascii="Times New Roman" w:hAnsi="Times New Roman" w:cs="Times New Roman"/>
          <w:i/>
          <w:sz w:val="24"/>
        </w:rPr>
        <w:t xml:space="preserve">EU </w:t>
      </w:r>
      <w:proofErr w:type="spellStart"/>
      <w:r w:rsidRPr="00AA6E11">
        <w:rPr>
          <w:rFonts w:ascii="Times New Roman" w:hAnsi="Times New Roman" w:cs="Times New Roman"/>
          <w:i/>
          <w:sz w:val="24"/>
        </w:rPr>
        <w:t>backs</w:t>
      </w:r>
      <w:proofErr w:type="spellEnd"/>
      <w:r w:rsidRPr="00AA6E11">
        <w:rPr>
          <w:rFonts w:ascii="Times New Roman" w:hAnsi="Times New Roman" w:cs="Times New Roman"/>
          <w:i/>
          <w:sz w:val="24"/>
        </w:rPr>
        <w:t xml:space="preserve"> </w:t>
      </w:r>
      <w:proofErr w:type="spellStart"/>
      <w:r w:rsidRPr="00AA6E11">
        <w:rPr>
          <w:rFonts w:ascii="Times New Roman" w:hAnsi="Times New Roman" w:cs="Times New Roman"/>
          <w:i/>
          <w:sz w:val="24"/>
        </w:rPr>
        <w:t>setting</w:t>
      </w:r>
      <w:proofErr w:type="spellEnd"/>
      <w:r w:rsidRPr="00AA6E11">
        <w:rPr>
          <w:rFonts w:ascii="Times New Roman" w:hAnsi="Times New Roman" w:cs="Times New Roman"/>
          <w:i/>
          <w:sz w:val="24"/>
        </w:rPr>
        <w:t xml:space="preserve"> up </w:t>
      </w:r>
      <w:proofErr w:type="spellStart"/>
      <w:r w:rsidRPr="00AA6E11">
        <w:rPr>
          <w:rFonts w:ascii="Times New Roman" w:hAnsi="Times New Roman" w:cs="Times New Roman"/>
          <w:i/>
          <w:sz w:val="24"/>
        </w:rPr>
        <w:t>prosecutor's</w:t>
      </w:r>
      <w:proofErr w:type="spellEnd"/>
      <w:r w:rsidRPr="00AA6E11">
        <w:rPr>
          <w:rFonts w:ascii="Times New Roman" w:hAnsi="Times New Roman" w:cs="Times New Roman"/>
          <w:i/>
          <w:sz w:val="24"/>
        </w:rPr>
        <w:t xml:space="preserve"> </w:t>
      </w:r>
      <w:proofErr w:type="spellStart"/>
      <w:r w:rsidRPr="00AA6E11">
        <w:rPr>
          <w:rFonts w:ascii="Times New Roman" w:hAnsi="Times New Roman" w:cs="Times New Roman"/>
          <w:i/>
          <w:sz w:val="24"/>
        </w:rPr>
        <w:t>office</w:t>
      </w:r>
      <w:proofErr w:type="spellEnd"/>
      <w:r w:rsidRPr="00AA6E11">
        <w:rPr>
          <w:rFonts w:ascii="Times New Roman" w:hAnsi="Times New Roman" w:cs="Times New Roman"/>
          <w:sz w:val="24"/>
        </w:rPr>
        <w:t xml:space="preserve">. [online]. </w:t>
      </w:r>
      <w:proofErr w:type="spellStart"/>
      <w:r w:rsidRPr="00AA6E11">
        <w:rPr>
          <w:rFonts w:ascii="Times New Roman" w:hAnsi="Times New Roman" w:cs="Times New Roman"/>
          <w:sz w:val="24"/>
        </w:rPr>
        <w:t>EUobserver</w:t>
      </w:r>
      <w:proofErr w:type="spellEnd"/>
      <w:r w:rsidRPr="00AA6E11">
        <w:rPr>
          <w:rFonts w:ascii="Times New Roman" w:hAnsi="Times New Roman" w:cs="Times New Roman"/>
          <w:sz w:val="24"/>
        </w:rPr>
        <w:t>, 10. března 2017 [cit. 11. března 2017]. Dostupné na &lt;https://euobserver.com/justice/137188&gt;.</w:t>
      </w:r>
    </w:p>
    <w:p w:rsidR="00191B9E" w:rsidRPr="00AA59BF" w:rsidRDefault="00191B9E" w:rsidP="00191B9E">
      <w:pPr>
        <w:spacing w:line="360" w:lineRule="auto"/>
        <w:jc w:val="both"/>
        <w:rPr>
          <w:rFonts w:ascii="Times New Roman" w:hAnsi="Times New Roman" w:cs="Times New Roman"/>
          <w:sz w:val="28"/>
          <w:szCs w:val="24"/>
        </w:rPr>
      </w:pPr>
      <w:r w:rsidRPr="00AA59BF">
        <w:rPr>
          <w:rFonts w:ascii="Times New Roman" w:hAnsi="Times New Roman" w:cs="Times New Roman"/>
          <w:sz w:val="24"/>
        </w:rPr>
        <w:lastRenderedPageBreak/>
        <w:t xml:space="preserve">OZLEM, </w:t>
      </w:r>
      <w:proofErr w:type="spellStart"/>
      <w:r w:rsidRPr="00AA59BF">
        <w:rPr>
          <w:rFonts w:ascii="Times New Roman" w:hAnsi="Times New Roman" w:cs="Times New Roman"/>
          <w:sz w:val="24"/>
        </w:rPr>
        <w:t>Ulgen</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Strengthening</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European</w:t>
      </w:r>
      <w:proofErr w:type="spellEnd"/>
      <w:r w:rsidRPr="00AA59BF">
        <w:rPr>
          <w:rFonts w:ascii="Times New Roman" w:hAnsi="Times New Roman" w:cs="Times New Roman"/>
          <w:sz w:val="24"/>
        </w:rPr>
        <w:t xml:space="preserve"> Union </w:t>
      </w:r>
      <w:proofErr w:type="spellStart"/>
      <w:r w:rsidRPr="00AA59BF">
        <w:rPr>
          <w:rFonts w:ascii="Times New Roman" w:hAnsi="Times New Roman" w:cs="Times New Roman"/>
          <w:sz w:val="24"/>
        </w:rPr>
        <w:t>Democratic</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Accountability</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Through</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National</w:t>
      </w:r>
      <w:proofErr w:type="spellEnd"/>
      <w:r w:rsidRPr="00AA59BF">
        <w:rPr>
          <w:rFonts w:ascii="Times New Roman" w:hAnsi="Times New Roman" w:cs="Times New Roman"/>
          <w:sz w:val="24"/>
        </w:rPr>
        <w:t xml:space="preserve"> and </w:t>
      </w:r>
      <w:proofErr w:type="spellStart"/>
      <w:r w:rsidRPr="00AA59BF">
        <w:rPr>
          <w:rFonts w:ascii="Times New Roman" w:hAnsi="Times New Roman" w:cs="Times New Roman"/>
          <w:sz w:val="24"/>
        </w:rPr>
        <w:t>Treaty-Based</w:t>
      </w:r>
      <w:proofErr w:type="spellEnd"/>
      <w:r w:rsidRPr="00AA59BF">
        <w:rPr>
          <w:rFonts w:ascii="Times New Roman" w:hAnsi="Times New Roman" w:cs="Times New Roman"/>
          <w:sz w:val="24"/>
        </w:rPr>
        <w:t xml:space="preserve"> </w:t>
      </w:r>
      <w:proofErr w:type="spellStart"/>
      <w:r w:rsidRPr="00AA59BF">
        <w:rPr>
          <w:rFonts w:ascii="Times New Roman" w:hAnsi="Times New Roman" w:cs="Times New Roman"/>
          <w:sz w:val="24"/>
        </w:rPr>
        <w:t>Pre-Legislative</w:t>
      </w:r>
      <w:proofErr w:type="spellEnd"/>
      <w:r w:rsidRPr="00AA59BF">
        <w:rPr>
          <w:rFonts w:ascii="Times New Roman" w:hAnsi="Times New Roman" w:cs="Times New Roman"/>
          <w:sz w:val="24"/>
        </w:rPr>
        <w:t xml:space="preserve"> Controls. </w:t>
      </w:r>
      <w:r w:rsidRPr="00AA59BF">
        <w:rPr>
          <w:rFonts w:ascii="Times New Roman" w:hAnsi="Times New Roman" w:cs="Times New Roman"/>
          <w:i/>
          <w:sz w:val="24"/>
        </w:rPr>
        <w:t xml:space="preserve">German </w:t>
      </w:r>
      <w:proofErr w:type="spellStart"/>
      <w:r w:rsidRPr="00AA59BF">
        <w:rPr>
          <w:rFonts w:ascii="Times New Roman" w:hAnsi="Times New Roman" w:cs="Times New Roman"/>
          <w:i/>
          <w:sz w:val="24"/>
        </w:rPr>
        <w:t>Law</w:t>
      </w:r>
      <w:proofErr w:type="spellEnd"/>
      <w:r w:rsidRPr="00AA59BF">
        <w:rPr>
          <w:rFonts w:ascii="Times New Roman" w:hAnsi="Times New Roman" w:cs="Times New Roman"/>
          <w:i/>
          <w:sz w:val="24"/>
        </w:rPr>
        <w:t xml:space="preserve"> </w:t>
      </w:r>
      <w:proofErr w:type="spellStart"/>
      <w:r w:rsidRPr="00AA59BF">
        <w:rPr>
          <w:rFonts w:ascii="Times New Roman" w:hAnsi="Times New Roman" w:cs="Times New Roman"/>
          <w:i/>
          <w:sz w:val="24"/>
        </w:rPr>
        <w:t>Journal</w:t>
      </w:r>
      <w:proofErr w:type="spellEnd"/>
      <w:r>
        <w:rPr>
          <w:rFonts w:ascii="Times New Roman" w:hAnsi="Times New Roman" w:cs="Times New Roman"/>
          <w:sz w:val="24"/>
        </w:rPr>
        <w:t>, 2015, vol. 16, no. 4, s. 741-780</w:t>
      </w:r>
      <w:r w:rsidRPr="00AA59BF">
        <w:rPr>
          <w:rFonts w:ascii="Times New Roman" w:hAnsi="Times New Roman" w:cs="Times New Roman"/>
          <w:sz w:val="24"/>
        </w:rPr>
        <w:t>.</w:t>
      </w:r>
    </w:p>
    <w:p w:rsidR="00191B9E" w:rsidRDefault="00191B9E" w:rsidP="00191B9E">
      <w:pPr>
        <w:spacing w:line="360" w:lineRule="auto"/>
        <w:jc w:val="both"/>
        <w:rPr>
          <w:rFonts w:ascii="Times New Roman" w:hAnsi="Times New Roman" w:cs="Times New Roman"/>
          <w:sz w:val="24"/>
          <w:szCs w:val="24"/>
        </w:rPr>
      </w:pPr>
      <w:r w:rsidRPr="00F14DAE">
        <w:rPr>
          <w:rFonts w:ascii="Times New Roman" w:hAnsi="Times New Roman" w:cs="Times New Roman"/>
          <w:sz w:val="24"/>
          <w:szCs w:val="24"/>
        </w:rPr>
        <w:t xml:space="preserve">PALSSON, Anne-Marie. </w:t>
      </w:r>
      <w:proofErr w:type="spellStart"/>
      <w:r w:rsidRPr="0007629F">
        <w:rPr>
          <w:rFonts w:ascii="Times New Roman" w:hAnsi="Times New Roman" w:cs="Times New Roman"/>
          <w:i/>
          <w:sz w:val="24"/>
          <w:szCs w:val="24"/>
        </w:rPr>
        <w:t>The</w:t>
      </w:r>
      <w:proofErr w:type="spellEnd"/>
      <w:r w:rsidRPr="0007629F">
        <w:rPr>
          <w:rFonts w:ascii="Times New Roman" w:hAnsi="Times New Roman" w:cs="Times New Roman"/>
          <w:i/>
          <w:sz w:val="24"/>
          <w:szCs w:val="24"/>
        </w:rPr>
        <w:t xml:space="preserve"> </w:t>
      </w:r>
      <w:proofErr w:type="spellStart"/>
      <w:r w:rsidRPr="0007629F">
        <w:rPr>
          <w:rFonts w:ascii="Times New Roman" w:hAnsi="Times New Roman" w:cs="Times New Roman"/>
          <w:i/>
          <w:sz w:val="24"/>
          <w:szCs w:val="24"/>
        </w:rPr>
        <w:t>EU’s</w:t>
      </w:r>
      <w:proofErr w:type="spellEnd"/>
      <w:r w:rsidRPr="0007629F">
        <w:rPr>
          <w:rFonts w:ascii="Times New Roman" w:hAnsi="Times New Roman" w:cs="Times New Roman"/>
          <w:i/>
          <w:sz w:val="24"/>
          <w:szCs w:val="24"/>
        </w:rPr>
        <w:t xml:space="preserve"> </w:t>
      </w:r>
      <w:proofErr w:type="spellStart"/>
      <w:r w:rsidRPr="0007629F">
        <w:rPr>
          <w:rFonts w:ascii="Times New Roman" w:hAnsi="Times New Roman" w:cs="Times New Roman"/>
          <w:i/>
          <w:sz w:val="24"/>
          <w:szCs w:val="24"/>
        </w:rPr>
        <w:t>principle</w:t>
      </w:r>
      <w:proofErr w:type="spellEnd"/>
      <w:r w:rsidRPr="0007629F">
        <w:rPr>
          <w:rFonts w:ascii="Times New Roman" w:hAnsi="Times New Roman" w:cs="Times New Roman"/>
          <w:i/>
          <w:sz w:val="24"/>
          <w:szCs w:val="24"/>
        </w:rPr>
        <w:t xml:space="preserve"> </w:t>
      </w:r>
      <w:proofErr w:type="spellStart"/>
      <w:r w:rsidRPr="0007629F">
        <w:rPr>
          <w:rFonts w:ascii="Times New Roman" w:hAnsi="Times New Roman" w:cs="Times New Roman"/>
          <w:i/>
          <w:sz w:val="24"/>
          <w:szCs w:val="24"/>
        </w:rPr>
        <w:t>of</w:t>
      </w:r>
      <w:proofErr w:type="spellEnd"/>
      <w:r w:rsidRPr="0007629F">
        <w:rPr>
          <w:rFonts w:ascii="Times New Roman" w:hAnsi="Times New Roman" w:cs="Times New Roman"/>
          <w:i/>
          <w:sz w:val="24"/>
          <w:szCs w:val="24"/>
        </w:rPr>
        <w:t xml:space="preserve"> subsidiarity </w:t>
      </w:r>
      <w:proofErr w:type="spellStart"/>
      <w:r w:rsidRPr="0007629F">
        <w:rPr>
          <w:rFonts w:ascii="Times New Roman" w:hAnsi="Times New Roman" w:cs="Times New Roman"/>
          <w:i/>
          <w:sz w:val="24"/>
          <w:szCs w:val="24"/>
        </w:rPr>
        <w:t>an</w:t>
      </w:r>
      <w:proofErr w:type="spellEnd"/>
      <w:r w:rsidRPr="0007629F">
        <w:rPr>
          <w:rFonts w:ascii="Times New Roman" w:hAnsi="Times New Roman" w:cs="Times New Roman"/>
          <w:i/>
          <w:sz w:val="24"/>
          <w:szCs w:val="24"/>
        </w:rPr>
        <w:t xml:space="preserve"> </w:t>
      </w:r>
      <w:proofErr w:type="spellStart"/>
      <w:r w:rsidRPr="0007629F">
        <w:rPr>
          <w:rFonts w:ascii="Times New Roman" w:hAnsi="Times New Roman" w:cs="Times New Roman"/>
          <w:i/>
          <w:sz w:val="24"/>
          <w:szCs w:val="24"/>
        </w:rPr>
        <w:t>empty</w:t>
      </w:r>
      <w:proofErr w:type="spellEnd"/>
      <w:r w:rsidRPr="0007629F">
        <w:rPr>
          <w:rFonts w:ascii="Times New Roman" w:hAnsi="Times New Roman" w:cs="Times New Roman"/>
          <w:i/>
          <w:sz w:val="24"/>
          <w:szCs w:val="24"/>
        </w:rPr>
        <w:t xml:space="preserve"> </w:t>
      </w:r>
      <w:proofErr w:type="spellStart"/>
      <w:r w:rsidRPr="0007629F">
        <w:rPr>
          <w:rFonts w:ascii="Times New Roman" w:hAnsi="Times New Roman" w:cs="Times New Roman"/>
          <w:i/>
          <w:sz w:val="24"/>
          <w:szCs w:val="24"/>
        </w:rPr>
        <w:t>promise</w:t>
      </w:r>
      <w:proofErr w:type="spellEnd"/>
      <w:r>
        <w:rPr>
          <w:rFonts w:ascii="Times New Roman" w:hAnsi="Times New Roman" w:cs="Times New Roman"/>
          <w:sz w:val="24"/>
          <w:szCs w:val="24"/>
        </w:rPr>
        <w:t xml:space="preserve"> [online]. EUD</w:t>
      </w:r>
      <w:r w:rsidRPr="00F14DAE">
        <w:rPr>
          <w:rFonts w:ascii="Times New Roman" w:hAnsi="Times New Roman" w:cs="Times New Roman"/>
          <w:sz w:val="24"/>
          <w:szCs w:val="24"/>
        </w:rPr>
        <w:t>, 16. ledna 2013 [cit. 27. prosince 2016]. Dostupné na &lt;http://www.eudemocrats.org/</w:t>
      </w:r>
      <w:r>
        <w:rPr>
          <w:rFonts w:ascii="Times New Roman" w:hAnsi="Times New Roman" w:cs="Times New Roman"/>
          <w:sz w:val="24"/>
          <w:szCs w:val="24"/>
        </w:rPr>
        <w:t xml:space="preserve"> </w:t>
      </w:r>
      <w:proofErr w:type="spellStart"/>
      <w:r w:rsidRPr="00F14DAE">
        <w:rPr>
          <w:rFonts w:ascii="Times New Roman" w:hAnsi="Times New Roman" w:cs="Times New Roman"/>
          <w:sz w:val="24"/>
          <w:szCs w:val="24"/>
        </w:rPr>
        <w:t>eud</w:t>
      </w:r>
      <w:proofErr w:type="spellEnd"/>
      <w:r w:rsidRPr="00F14DAE">
        <w:rPr>
          <w:rFonts w:ascii="Times New Roman" w:hAnsi="Times New Roman" w:cs="Times New Roman"/>
          <w:sz w:val="24"/>
          <w:szCs w:val="24"/>
        </w:rPr>
        <w:t>/</w:t>
      </w:r>
      <w:proofErr w:type="spellStart"/>
      <w:r w:rsidRPr="00F14DAE">
        <w:rPr>
          <w:rFonts w:ascii="Times New Roman" w:hAnsi="Times New Roman" w:cs="Times New Roman"/>
          <w:sz w:val="24"/>
          <w:szCs w:val="24"/>
        </w:rPr>
        <w:t>uploads</w:t>
      </w:r>
      <w:proofErr w:type="spellEnd"/>
      <w:r w:rsidRPr="00F14DAE">
        <w:rPr>
          <w:rFonts w:ascii="Times New Roman" w:hAnsi="Times New Roman" w:cs="Times New Roman"/>
          <w:sz w:val="24"/>
          <w:szCs w:val="24"/>
        </w:rPr>
        <w:t>/AMP_Subsidiarity_an_empty_promise_2013.pdf&gt;.</w:t>
      </w:r>
    </w:p>
    <w:p w:rsidR="00191B9E" w:rsidRDefault="00191B9E" w:rsidP="00191B9E">
      <w:pPr>
        <w:spacing w:line="360" w:lineRule="auto"/>
        <w:jc w:val="both"/>
        <w:rPr>
          <w:rFonts w:ascii="Times New Roman" w:hAnsi="Times New Roman" w:cs="Times New Roman"/>
          <w:sz w:val="24"/>
          <w:szCs w:val="24"/>
        </w:rPr>
      </w:pPr>
      <w:r w:rsidRPr="00ED6DC2">
        <w:rPr>
          <w:rFonts w:ascii="Times New Roman" w:hAnsi="Times New Roman" w:cs="Times New Roman"/>
          <w:sz w:val="24"/>
          <w:szCs w:val="24"/>
        </w:rPr>
        <w:t xml:space="preserve">PARRY, Philip. </w:t>
      </w:r>
      <w:proofErr w:type="spellStart"/>
      <w:r w:rsidRPr="00ED6DC2">
        <w:rPr>
          <w:rFonts w:ascii="Times New Roman" w:hAnsi="Times New Roman" w:cs="Times New Roman"/>
          <w:sz w:val="24"/>
          <w:szCs w:val="24"/>
        </w:rPr>
        <w:t>The</w:t>
      </w:r>
      <w:proofErr w:type="spellEnd"/>
      <w:r w:rsidRPr="00ED6DC2">
        <w:rPr>
          <w:rFonts w:ascii="Times New Roman" w:hAnsi="Times New Roman" w:cs="Times New Roman"/>
          <w:sz w:val="24"/>
          <w:szCs w:val="24"/>
        </w:rPr>
        <w:t xml:space="preserve"> </w:t>
      </w:r>
      <w:proofErr w:type="spellStart"/>
      <w:r w:rsidRPr="00ED6DC2">
        <w:rPr>
          <w:rFonts w:ascii="Times New Roman" w:hAnsi="Times New Roman" w:cs="Times New Roman"/>
          <w:sz w:val="24"/>
          <w:szCs w:val="24"/>
        </w:rPr>
        <w:t>Democratic</w:t>
      </w:r>
      <w:proofErr w:type="spellEnd"/>
      <w:r w:rsidRPr="00ED6DC2">
        <w:rPr>
          <w:rFonts w:ascii="Times New Roman" w:hAnsi="Times New Roman" w:cs="Times New Roman"/>
          <w:sz w:val="24"/>
          <w:szCs w:val="24"/>
        </w:rPr>
        <w:t xml:space="preserve"> Deficit </w:t>
      </w:r>
      <w:proofErr w:type="spellStart"/>
      <w:r w:rsidRPr="00ED6DC2">
        <w:rPr>
          <w:rFonts w:ascii="Times New Roman" w:hAnsi="Times New Roman" w:cs="Times New Roman"/>
          <w:sz w:val="24"/>
          <w:szCs w:val="24"/>
        </w:rPr>
        <w:t>of</w:t>
      </w:r>
      <w:proofErr w:type="spellEnd"/>
      <w:r w:rsidRPr="00ED6DC2">
        <w:rPr>
          <w:rFonts w:ascii="Times New Roman" w:hAnsi="Times New Roman" w:cs="Times New Roman"/>
          <w:sz w:val="24"/>
          <w:szCs w:val="24"/>
        </w:rPr>
        <w:t xml:space="preserve"> </w:t>
      </w:r>
      <w:proofErr w:type="spellStart"/>
      <w:r w:rsidRPr="00ED6DC2">
        <w:rPr>
          <w:rFonts w:ascii="Times New Roman" w:hAnsi="Times New Roman" w:cs="Times New Roman"/>
          <w:sz w:val="24"/>
          <w:szCs w:val="24"/>
        </w:rPr>
        <w:t>the</w:t>
      </w:r>
      <w:proofErr w:type="spellEnd"/>
      <w:r w:rsidRPr="00ED6DC2">
        <w:rPr>
          <w:rFonts w:ascii="Times New Roman" w:hAnsi="Times New Roman" w:cs="Times New Roman"/>
          <w:sz w:val="24"/>
          <w:szCs w:val="24"/>
        </w:rPr>
        <w:t xml:space="preserve"> EU. </w:t>
      </w:r>
      <w:proofErr w:type="spellStart"/>
      <w:r w:rsidRPr="00ED6DC2">
        <w:rPr>
          <w:rFonts w:ascii="Times New Roman" w:hAnsi="Times New Roman" w:cs="Times New Roman"/>
          <w:i/>
          <w:sz w:val="24"/>
          <w:szCs w:val="24"/>
        </w:rPr>
        <w:t>North</w:t>
      </w:r>
      <w:proofErr w:type="spellEnd"/>
      <w:r w:rsidRPr="00ED6DC2">
        <w:rPr>
          <w:rFonts w:ascii="Times New Roman" w:hAnsi="Times New Roman" w:cs="Times New Roman"/>
          <w:i/>
          <w:sz w:val="24"/>
          <w:szCs w:val="24"/>
        </w:rPr>
        <w:t xml:space="preserve"> East </w:t>
      </w:r>
      <w:proofErr w:type="spellStart"/>
      <w:r w:rsidRPr="00ED6DC2">
        <w:rPr>
          <w:rFonts w:ascii="Times New Roman" w:hAnsi="Times New Roman" w:cs="Times New Roman"/>
          <w:i/>
          <w:sz w:val="24"/>
          <w:szCs w:val="24"/>
        </w:rPr>
        <w:t>Law</w:t>
      </w:r>
      <w:proofErr w:type="spellEnd"/>
      <w:r w:rsidRPr="00ED6DC2">
        <w:rPr>
          <w:rFonts w:ascii="Times New Roman" w:hAnsi="Times New Roman" w:cs="Times New Roman"/>
          <w:i/>
          <w:sz w:val="24"/>
          <w:szCs w:val="24"/>
        </w:rPr>
        <w:t xml:space="preserve"> </w:t>
      </w:r>
      <w:proofErr w:type="spellStart"/>
      <w:r w:rsidRPr="00ED6DC2">
        <w:rPr>
          <w:rFonts w:ascii="Times New Roman" w:hAnsi="Times New Roman" w:cs="Times New Roman"/>
          <w:i/>
          <w:sz w:val="24"/>
          <w:szCs w:val="24"/>
        </w:rPr>
        <w:t>Review</w:t>
      </w:r>
      <w:proofErr w:type="spellEnd"/>
      <w:r w:rsidRPr="00ED6DC2">
        <w:rPr>
          <w:rFonts w:ascii="Times New Roman" w:hAnsi="Times New Roman" w:cs="Times New Roman"/>
          <w:sz w:val="24"/>
          <w:szCs w:val="24"/>
        </w:rPr>
        <w:t xml:space="preserve">, 2016, vol. 4, s. </w:t>
      </w:r>
      <w:proofErr w:type="gramStart"/>
      <w:r w:rsidRPr="00ED6DC2">
        <w:rPr>
          <w:rFonts w:ascii="Times New Roman" w:hAnsi="Times New Roman" w:cs="Times New Roman"/>
          <w:sz w:val="24"/>
          <w:szCs w:val="24"/>
        </w:rPr>
        <w:t>97 – 101</w:t>
      </w:r>
      <w:proofErr w:type="gramEnd"/>
      <w:r w:rsidRPr="00ED6DC2">
        <w:rPr>
          <w:rFonts w:ascii="Times New Roman" w:hAnsi="Times New Roman" w:cs="Times New Roman"/>
          <w:sz w:val="24"/>
          <w:szCs w:val="24"/>
        </w:rPr>
        <w:t xml:space="preserve">.   </w:t>
      </w:r>
    </w:p>
    <w:p w:rsidR="00191B9E" w:rsidRDefault="00191B9E" w:rsidP="00191B9E">
      <w:pPr>
        <w:spacing w:line="360" w:lineRule="auto"/>
        <w:jc w:val="both"/>
        <w:rPr>
          <w:rFonts w:ascii="Times New Roman" w:hAnsi="Times New Roman" w:cs="Times New Roman"/>
          <w:sz w:val="24"/>
          <w:szCs w:val="24"/>
        </w:rPr>
      </w:pPr>
      <w:r w:rsidRPr="00E4023E">
        <w:rPr>
          <w:rFonts w:ascii="Times New Roman" w:hAnsi="Times New Roman" w:cs="Times New Roman"/>
          <w:sz w:val="24"/>
          <w:szCs w:val="24"/>
        </w:rPr>
        <w:t xml:space="preserve">PIKNA, Bohumil. </w:t>
      </w:r>
      <w:r w:rsidRPr="00E4023E">
        <w:rPr>
          <w:rFonts w:ascii="Times New Roman" w:hAnsi="Times New Roman" w:cs="Times New Roman"/>
          <w:i/>
          <w:sz w:val="24"/>
          <w:szCs w:val="24"/>
        </w:rPr>
        <w:t>Evropský prostor svobody, bezpečnosti a práva prizmatem Lisabonské smlouvy</w:t>
      </w:r>
      <w:r w:rsidRPr="00E4023E">
        <w:rPr>
          <w:rFonts w:ascii="Times New Roman" w:hAnsi="Times New Roman" w:cs="Times New Roman"/>
          <w:sz w:val="24"/>
          <w:szCs w:val="24"/>
        </w:rPr>
        <w:t xml:space="preserve">. 2. </w:t>
      </w:r>
      <w:r>
        <w:rPr>
          <w:rFonts w:ascii="Times New Roman" w:hAnsi="Times New Roman" w:cs="Times New Roman"/>
          <w:sz w:val="24"/>
          <w:szCs w:val="24"/>
        </w:rPr>
        <w:t>vyd. Praha: Linde, 2010. 435 s.</w:t>
      </w:r>
    </w:p>
    <w:p w:rsidR="00191B9E" w:rsidRDefault="00191B9E" w:rsidP="00191B9E">
      <w:pPr>
        <w:spacing w:line="360" w:lineRule="auto"/>
        <w:jc w:val="both"/>
        <w:rPr>
          <w:rFonts w:ascii="Times New Roman" w:hAnsi="Times New Roman" w:cs="Times New Roman"/>
          <w:sz w:val="24"/>
          <w:szCs w:val="24"/>
        </w:rPr>
      </w:pPr>
      <w:r w:rsidRPr="00735843">
        <w:rPr>
          <w:rFonts w:ascii="Times New Roman" w:hAnsi="Times New Roman" w:cs="Times New Roman"/>
          <w:sz w:val="24"/>
          <w:szCs w:val="24"/>
        </w:rPr>
        <w:t xml:space="preserve">PIRIS, Jean-Claude. </w:t>
      </w:r>
      <w:proofErr w:type="spellStart"/>
      <w:r w:rsidRPr="00AD4862">
        <w:rPr>
          <w:rFonts w:ascii="Times New Roman" w:hAnsi="Times New Roman" w:cs="Times New Roman"/>
          <w:i/>
          <w:sz w:val="24"/>
          <w:szCs w:val="24"/>
        </w:rPr>
        <w:t>The</w:t>
      </w:r>
      <w:proofErr w:type="spellEnd"/>
      <w:r w:rsidRPr="00AD4862">
        <w:rPr>
          <w:rFonts w:ascii="Times New Roman" w:hAnsi="Times New Roman" w:cs="Times New Roman"/>
          <w:i/>
          <w:sz w:val="24"/>
          <w:szCs w:val="24"/>
        </w:rPr>
        <w:t xml:space="preserve"> </w:t>
      </w:r>
      <w:proofErr w:type="spellStart"/>
      <w:r w:rsidRPr="00AD4862">
        <w:rPr>
          <w:rFonts w:ascii="Times New Roman" w:hAnsi="Times New Roman" w:cs="Times New Roman"/>
          <w:i/>
          <w:sz w:val="24"/>
          <w:szCs w:val="24"/>
        </w:rPr>
        <w:t>Lisbon</w:t>
      </w:r>
      <w:proofErr w:type="spellEnd"/>
      <w:r w:rsidRPr="00AD4862">
        <w:rPr>
          <w:rFonts w:ascii="Times New Roman" w:hAnsi="Times New Roman" w:cs="Times New Roman"/>
          <w:i/>
          <w:sz w:val="24"/>
          <w:szCs w:val="24"/>
        </w:rPr>
        <w:t xml:space="preserve"> </w:t>
      </w:r>
      <w:proofErr w:type="spellStart"/>
      <w:r w:rsidRPr="00AD4862">
        <w:rPr>
          <w:rFonts w:ascii="Times New Roman" w:hAnsi="Times New Roman" w:cs="Times New Roman"/>
          <w:i/>
          <w:sz w:val="24"/>
          <w:szCs w:val="24"/>
        </w:rPr>
        <w:t>treaty</w:t>
      </w:r>
      <w:proofErr w:type="spellEnd"/>
      <w:r w:rsidRPr="00AD4862">
        <w:rPr>
          <w:rFonts w:ascii="Times New Roman" w:hAnsi="Times New Roman" w:cs="Times New Roman"/>
          <w:i/>
          <w:sz w:val="24"/>
          <w:szCs w:val="24"/>
        </w:rPr>
        <w:t xml:space="preserve">: a </w:t>
      </w:r>
      <w:proofErr w:type="spellStart"/>
      <w:r w:rsidRPr="00AD4862">
        <w:rPr>
          <w:rFonts w:ascii="Times New Roman" w:hAnsi="Times New Roman" w:cs="Times New Roman"/>
          <w:i/>
          <w:sz w:val="24"/>
          <w:szCs w:val="24"/>
        </w:rPr>
        <w:t>legal</w:t>
      </w:r>
      <w:proofErr w:type="spellEnd"/>
      <w:r w:rsidRPr="00AD4862">
        <w:rPr>
          <w:rFonts w:ascii="Times New Roman" w:hAnsi="Times New Roman" w:cs="Times New Roman"/>
          <w:i/>
          <w:sz w:val="24"/>
          <w:szCs w:val="24"/>
        </w:rPr>
        <w:t xml:space="preserve"> and </w:t>
      </w:r>
      <w:proofErr w:type="spellStart"/>
      <w:r w:rsidRPr="00AD4862">
        <w:rPr>
          <w:rFonts w:ascii="Times New Roman" w:hAnsi="Times New Roman" w:cs="Times New Roman"/>
          <w:i/>
          <w:sz w:val="24"/>
          <w:szCs w:val="24"/>
        </w:rPr>
        <w:t>political</w:t>
      </w:r>
      <w:proofErr w:type="spellEnd"/>
      <w:r w:rsidRPr="00AD4862">
        <w:rPr>
          <w:rFonts w:ascii="Times New Roman" w:hAnsi="Times New Roman" w:cs="Times New Roman"/>
          <w:i/>
          <w:sz w:val="24"/>
          <w:szCs w:val="24"/>
        </w:rPr>
        <w:t xml:space="preserve"> </w:t>
      </w:r>
      <w:proofErr w:type="spellStart"/>
      <w:r w:rsidRPr="00AD4862">
        <w:rPr>
          <w:rFonts w:ascii="Times New Roman" w:hAnsi="Times New Roman" w:cs="Times New Roman"/>
          <w:i/>
          <w:sz w:val="24"/>
          <w:szCs w:val="24"/>
        </w:rPr>
        <w:t>analysis</w:t>
      </w:r>
      <w:proofErr w:type="spellEnd"/>
      <w:r w:rsidRPr="00735843">
        <w:rPr>
          <w:rFonts w:ascii="Times New Roman" w:hAnsi="Times New Roman" w:cs="Times New Roman"/>
          <w:sz w:val="24"/>
          <w:szCs w:val="24"/>
        </w:rPr>
        <w:t>. Cambridge: Cambridg</w:t>
      </w:r>
      <w:r>
        <w:rPr>
          <w:rFonts w:ascii="Times New Roman" w:hAnsi="Times New Roman" w:cs="Times New Roman"/>
          <w:sz w:val="24"/>
          <w:szCs w:val="24"/>
        </w:rPr>
        <w:t xml:space="preserve">e University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2010. 426 s.</w:t>
      </w:r>
    </w:p>
    <w:p w:rsidR="00191B9E" w:rsidRPr="00076206" w:rsidRDefault="00191B9E" w:rsidP="00191B9E">
      <w:pPr>
        <w:spacing w:line="360" w:lineRule="auto"/>
        <w:jc w:val="both"/>
        <w:rPr>
          <w:rFonts w:ascii="Times New Roman" w:hAnsi="Times New Roman" w:cs="Times New Roman"/>
          <w:sz w:val="28"/>
          <w:szCs w:val="24"/>
        </w:rPr>
      </w:pPr>
      <w:r w:rsidRPr="00076206">
        <w:rPr>
          <w:rFonts w:ascii="Times New Roman" w:hAnsi="Times New Roman" w:cs="Times New Roman"/>
          <w:sz w:val="24"/>
        </w:rPr>
        <w:t xml:space="preserve">POHL, Michal. Sněmovní praxe výkonu kontroly dodržování zásady subsidiarity v sekundárním právu EU. </w:t>
      </w:r>
      <w:r w:rsidRPr="00076206">
        <w:rPr>
          <w:rFonts w:ascii="Times New Roman" w:hAnsi="Times New Roman" w:cs="Times New Roman"/>
          <w:i/>
          <w:sz w:val="24"/>
        </w:rPr>
        <w:t xml:space="preserve">Acta </w:t>
      </w:r>
      <w:proofErr w:type="spellStart"/>
      <w:r w:rsidRPr="00076206">
        <w:rPr>
          <w:rFonts w:ascii="Times New Roman" w:hAnsi="Times New Roman" w:cs="Times New Roman"/>
          <w:i/>
          <w:sz w:val="24"/>
        </w:rPr>
        <w:t>Universitatis</w:t>
      </w:r>
      <w:proofErr w:type="spellEnd"/>
      <w:r w:rsidRPr="00076206">
        <w:rPr>
          <w:rFonts w:ascii="Times New Roman" w:hAnsi="Times New Roman" w:cs="Times New Roman"/>
          <w:i/>
          <w:sz w:val="24"/>
        </w:rPr>
        <w:t xml:space="preserve"> </w:t>
      </w:r>
      <w:proofErr w:type="spellStart"/>
      <w:r w:rsidRPr="00076206">
        <w:rPr>
          <w:rFonts w:ascii="Times New Roman" w:hAnsi="Times New Roman" w:cs="Times New Roman"/>
          <w:i/>
          <w:sz w:val="24"/>
        </w:rPr>
        <w:t>Carolinae</w:t>
      </w:r>
      <w:proofErr w:type="spellEnd"/>
      <w:r w:rsidRPr="00076206">
        <w:rPr>
          <w:rFonts w:ascii="Times New Roman" w:hAnsi="Times New Roman" w:cs="Times New Roman"/>
          <w:i/>
          <w:sz w:val="24"/>
        </w:rPr>
        <w:t xml:space="preserve"> </w:t>
      </w:r>
      <w:proofErr w:type="spellStart"/>
      <w:r w:rsidRPr="00076206">
        <w:rPr>
          <w:rFonts w:ascii="Times New Roman" w:hAnsi="Times New Roman" w:cs="Times New Roman"/>
          <w:i/>
          <w:sz w:val="24"/>
        </w:rPr>
        <w:t>Iuridica</w:t>
      </w:r>
      <w:proofErr w:type="spellEnd"/>
      <w:r w:rsidRPr="00076206">
        <w:rPr>
          <w:rFonts w:ascii="Times New Roman" w:hAnsi="Times New Roman" w:cs="Times New Roman"/>
          <w:sz w:val="24"/>
        </w:rPr>
        <w:t xml:space="preserve">, 2013, </w:t>
      </w:r>
      <w:r>
        <w:rPr>
          <w:rFonts w:ascii="Times New Roman" w:hAnsi="Times New Roman" w:cs="Times New Roman"/>
          <w:sz w:val="24"/>
        </w:rPr>
        <w:t>č. 4, s. 143</w:t>
      </w:r>
      <w:r w:rsidRPr="00076206">
        <w:rPr>
          <w:rFonts w:ascii="Times New Roman" w:hAnsi="Times New Roman" w:cs="Times New Roman"/>
          <w:sz w:val="24"/>
        </w:rPr>
        <w:t>-152.</w:t>
      </w:r>
    </w:p>
    <w:p w:rsidR="00191B9E" w:rsidRDefault="00191B9E" w:rsidP="00191B9E">
      <w:pPr>
        <w:spacing w:line="360" w:lineRule="auto"/>
        <w:jc w:val="both"/>
        <w:rPr>
          <w:rFonts w:ascii="Times New Roman" w:hAnsi="Times New Roman" w:cs="Times New Roman"/>
          <w:sz w:val="24"/>
          <w:szCs w:val="24"/>
        </w:rPr>
      </w:pPr>
      <w:r w:rsidRPr="0087544A">
        <w:rPr>
          <w:rFonts w:ascii="Times New Roman" w:hAnsi="Times New Roman" w:cs="Times New Roman"/>
          <w:sz w:val="24"/>
          <w:szCs w:val="24"/>
        </w:rPr>
        <w:t xml:space="preserve">RAUNIO, </w:t>
      </w:r>
      <w:proofErr w:type="spellStart"/>
      <w:r w:rsidRPr="0087544A">
        <w:rPr>
          <w:rFonts w:ascii="Times New Roman" w:hAnsi="Times New Roman" w:cs="Times New Roman"/>
          <w:sz w:val="24"/>
          <w:szCs w:val="24"/>
        </w:rPr>
        <w:t>Taupio</w:t>
      </w:r>
      <w:proofErr w:type="spellEnd"/>
      <w:r w:rsidRPr="0087544A">
        <w:rPr>
          <w:rFonts w:ascii="Times New Roman" w:hAnsi="Times New Roman" w:cs="Times New Roman"/>
          <w:sz w:val="24"/>
          <w:szCs w:val="24"/>
        </w:rPr>
        <w:t xml:space="preserve">. </w:t>
      </w:r>
      <w:proofErr w:type="spellStart"/>
      <w:r w:rsidRPr="0087544A">
        <w:rPr>
          <w:rFonts w:ascii="Times New Roman" w:hAnsi="Times New Roman" w:cs="Times New Roman"/>
          <w:i/>
          <w:sz w:val="24"/>
          <w:szCs w:val="24"/>
        </w:rPr>
        <w:t>Destined</w:t>
      </w:r>
      <w:proofErr w:type="spellEnd"/>
      <w:r w:rsidRPr="0087544A">
        <w:rPr>
          <w:rFonts w:ascii="Times New Roman" w:hAnsi="Times New Roman" w:cs="Times New Roman"/>
          <w:i/>
          <w:sz w:val="24"/>
          <w:szCs w:val="24"/>
        </w:rPr>
        <w:t xml:space="preserve"> </w:t>
      </w:r>
      <w:proofErr w:type="spellStart"/>
      <w:r w:rsidRPr="0087544A">
        <w:rPr>
          <w:rFonts w:ascii="Times New Roman" w:hAnsi="Times New Roman" w:cs="Times New Roman"/>
          <w:i/>
          <w:sz w:val="24"/>
          <w:szCs w:val="24"/>
        </w:rPr>
        <w:t>for</w:t>
      </w:r>
      <w:proofErr w:type="spellEnd"/>
      <w:r w:rsidRPr="0087544A">
        <w:rPr>
          <w:rFonts w:ascii="Times New Roman" w:hAnsi="Times New Roman" w:cs="Times New Roman"/>
          <w:i/>
          <w:sz w:val="24"/>
          <w:szCs w:val="24"/>
        </w:rPr>
        <w:t xml:space="preserve"> </w:t>
      </w:r>
      <w:proofErr w:type="spellStart"/>
      <w:r w:rsidRPr="0087544A">
        <w:rPr>
          <w:rFonts w:ascii="Times New Roman" w:hAnsi="Times New Roman" w:cs="Times New Roman"/>
          <w:i/>
          <w:sz w:val="24"/>
          <w:szCs w:val="24"/>
        </w:rPr>
        <w:t>Irrelevance</w:t>
      </w:r>
      <w:proofErr w:type="spellEnd"/>
      <w:r w:rsidRPr="0087544A">
        <w:rPr>
          <w:rFonts w:ascii="Times New Roman" w:hAnsi="Times New Roman" w:cs="Times New Roman"/>
          <w:i/>
          <w:sz w:val="24"/>
          <w:szCs w:val="24"/>
        </w:rPr>
        <w:t xml:space="preserve">? Subsidiarity </w:t>
      </w:r>
      <w:proofErr w:type="spellStart"/>
      <w:r w:rsidRPr="0087544A">
        <w:rPr>
          <w:rFonts w:ascii="Times New Roman" w:hAnsi="Times New Roman" w:cs="Times New Roman"/>
          <w:i/>
          <w:sz w:val="24"/>
          <w:szCs w:val="24"/>
        </w:rPr>
        <w:t>Control</w:t>
      </w:r>
      <w:proofErr w:type="spellEnd"/>
      <w:r w:rsidRPr="0087544A">
        <w:rPr>
          <w:rFonts w:ascii="Times New Roman" w:hAnsi="Times New Roman" w:cs="Times New Roman"/>
          <w:i/>
          <w:sz w:val="24"/>
          <w:szCs w:val="24"/>
        </w:rPr>
        <w:t xml:space="preserve"> by </w:t>
      </w:r>
      <w:proofErr w:type="spellStart"/>
      <w:r w:rsidRPr="0087544A">
        <w:rPr>
          <w:rFonts w:ascii="Times New Roman" w:hAnsi="Times New Roman" w:cs="Times New Roman"/>
          <w:i/>
          <w:sz w:val="24"/>
          <w:szCs w:val="24"/>
        </w:rPr>
        <w:t>National</w:t>
      </w:r>
      <w:proofErr w:type="spellEnd"/>
      <w:r w:rsidRPr="0087544A">
        <w:rPr>
          <w:rFonts w:ascii="Times New Roman" w:hAnsi="Times New Roman" w:cs="Times New Roman"/>
          <w:i/>
          <w:sz w:val="24"/>
          <w:szCs w:val="24"/>
        </w:rPr>
        <w:t xml:space="preserve"> </w:t>
      </w:r>
      <w:proofErr w:type="spellStart"/>
      <w:r w:rsidRPr="0087544A">
        <w:rPr>
          <w:rFonts w:ascii="Times New Roman" w:hAnsi="Times New Roman" w:cs="Times New Roman"/>
          <w:i/>
          <w:sz w:val="24"/>
          <w:szCs w:val="24"/>
        </w:rPr>
        <w:t>Parliaments</w:t>
      </w:r>
      <w:proofErr w:type="spellEnd"/>
      <w:r w:rsidRPr="0087544A">
        <w:rPr>
          <w:rFonts w:ascii="Times New Roman" w:hAnsi="Times New Roman" w:cs="Times New Roman"/>
          <w:sz w:val="24"/>
          <w:szCs w:val="24"/>
        </w:rPr>
        <w:t xml:space="preserve"> [online]. Real </w:t>
      </w:r>
      <w:proofErr w:type="spellStart"/>
      <w:r w:rsidRPr="0087544A">
        <w:rPr>
          <w:rFonts w:ascii="Times New Roman" w:hAnsi="Times New Roman" w:cs="Times New Roman"/>
          <w:sz w:val="24"/>
          <w:szCs w:val="24"/>
        </w:rPr>
        <w:t>Insti</w:t>
      </w:r>
      <w:r>
        <w:rPr>
          <w:rFonts w:ascii="Times New Roman" w:hAnsi="Times New Roman" w:cs="Times New Roman"/>
          <w:sz w:val="24"/>
          <w:szCs w:val="24"/>
        </w:rPr>
        <w:t>tuto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Elcano</w:t>
      </w:r>
      <w:proofErr w:type="spellEnd"/>
      <w:r>
        <w:rPr>
          <w:rFonts w:ascii="Times New Roman" w:hAnsi="Times New Roman" w:cs="Times New Roman"/>
          <w:sz w:val="24"/>
          <w:szCs w:val="24"/>
        </w:rPr>
        <w:t>, 19. listopadu 2010</w:t>
      </w:r>
      <w:r w:rsidRPr="0087544A">
        <w:rPr>
          <w:rFonts w:ascii="Times New Roman" w:hAnsi="Times New Roman" w:cs="Times New Roman"/>
          <w:sz w:val="24"/>
          <w:szCs w:val="24"/>
        </w:rPr>
        <w:t xml:space="preserve"> [cit. 8. prosince 2016]. Dostupné na &lt;http://www.realinstitutoelcano.org/wps/portal/web/rielcano_en/contenido?WCM_GLOBAL_CONTEXT=/elcano/elcano_in/zonas_in/dt36-2010&gt;.</w:t>
      </w:r>
    </w:p>
    <w:p w:rsidR="00191B9E" w:rsidRDefault="00191B9E" w:rsidP="00191B9E">
      <w:pPr>
        <w:spacing w:line="360" w:lineRule="auto"/>
        <w:jc w:val="both"/>
        <w:rPr>
          <w:rFonts w:ascii="Times New Roman" w:hAnsi="Times New Roman" w:cs="Times New Roman"/>
          <w:sz w:val="24"/>
          <w:szCs w:val="24"/>
        </w:rPr>
      </w:pPr>
      <w:r w:rsidRPr="000A58D6">
        <w:rPr>
          <w:rFonts w:ascii="Times New Roman" w:hAnsi="Times New Roman" w:cs="Times New Roman"/>
          <w:sz w:val="24"/>
          <w:szCs w:val="24"/>
        </w:rPr>
        <w:t xml:space="preserve">RAUNIO, </w:t>
      </w:r>
      <w:proofErr w:type="spellStart"/>
      <w:r w:rsidRPr="000A58D6">
        <w:rPr>
          <w:rFonts w:ascii="Times New Roman" w:hAnsi="Times New Roman" w:cs="Times New Roman"/>
          <w:sz w:val="24"/>
          <w:szCs w:val="24"/>
        </w:rPr>
        <w:t>Tapio</w:t>
      </w:r>
      <w:proofErr w:type="spellEnd"/>
      <w:r w:rsidRPr="000A58D6">
        <w:rPr>
          <w:rFonts w:ascii="Times New Roman" w:hAnsi="Times New Roman" w:cs="Times New Roman"/>
          <w:sz w:val="24"/>
          <w:szCs w:val="24"/>
        </w:rPr>
        <w:t xml:space="preserve">, O´BRENNAN, John. </w:t>
      </w:r>
      <w:proofErr w:type="spellStart"/>
      <w:r w:rsidRPr="000A58D6">
        <w:rPr>
          <w:rFonts w:ascii="Times New Roman" w:hAnsi="Times New Roman" w:cs="Times New Roman"/>
          <w:i/>
          <w:sz w:val="24"/>
          <w:szCs w:val="24"/>
        </w:rPr>
        <w:t>National</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Parliaments</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within</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the</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Enlarged</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European</w:t>
      </w:r>
      <w:proofErr w:type="spellEnd"/>
      <w:r w:rsidRPr="000A58D6">
        <w:rPr>
          <w:rFonts w:ascii="Times New Roman" w:hAnsi="Times New Roman" w:cs="Times New Roman"/>
          <w:i/>
          <w:sz w:val="24"/>
          <w:szCs w:val="24"/>
        </w:rPr>
        <w:t xml:space="preserve"> Union </w:t>
      </w:r>
      <w:proofErr w:type="spellStart"/>
      <w:r w:rsidRPr="000A58D6">
        <w:rPr>
          <w:rFonts w:ascii="Times New Roman" w:hAnsi="Times New Roman" w:cs="Times New Roman"/>
          <w:i/>
          <w:sz w:val="24"/>
          <w:szCs w:val="24"/>
        </w:rPr>
        <w:t>From</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victims</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of</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integration</w:t>
      </w:r>
      <w:proofErr w:type="spellEnd"/>
      <w:r w:rsidRPr="000A58D6">
        <w:rPr>
          <w:rFonts w:ascii="Times New Roman" w:hAnsi="Times New Roman" w:cs="Times New Roman"/>
          <w:i/>
          <w:sz w:val="24"/>
          <w:szCs w:val="24"/>
        </w:rPr>
        <w:t xml:space="preserve"> to </w:t>
      </w:r>
      <w:proofErr w:type="spellStart"/>
      <w:r w:rsidRPr="000A58D6">
        <w:rPr>
          <w:rFonts w:ascii="Times New Roman" w:hAnsi="Times New Roman" w:cs="Times New Roman"/>
          <w:i/>
          <w:sz w:val="24"/>
          <w:szCs w:val="24"/>
        </w:rPr>
        <w:t>competitive</w:t>
      </w:r>
      <w:proofErr w:type="spellEnd"/>
      <w:r w:rsidRPr="000A58D6">
        <w:rPr>
          <w:rFonts w:ascii="Times New Roman" w:hAnsi="Times New Roman" w:cs="Times New Roman"/>
          <w:i/>
          <w:sz w:val="24"/>
          <w:szCs w:val="24"/>
        </w:rPr>
        <w:t xml:space="preserve"> </w:t>
      </w:r>
      <w:proofErr w:type="spellStart"/>
      <w:r w:rsidRPr="000A58D6">
        <w:rPr>
          <w:rFonts w:ascii="Times New Roman" w:hAnsi="Times New Roman" w:cs="Times New Roman"/>
          <w:i/>
          <w:sz w:val="24"/>
          <w:szCs w:val="24"/>
        </w:rPr>
        <w:t>actors</w:t>
      </w:r>
      <w:proofErr w:type="spellEnd"/>
      <w:r w:rsidRPr="000A58D6">
        <w:rPr>
          <w:rFonts w:ascii="Times New Roman" w:hAnsi="Times New Roman" w:cs="Times New Roman"/>
          <w:i/>
          <w:sz w:val="24"/>
          <w:szCs w:val="24"/>
        </w:rPr>
        <w:t>?</w:t>
      </w:r>
      <w:r w:rsidRPr="000A58D6">
        <w:rPr>
          <w:rFonts w:ascii="Times New Roman" w:hAnsi="Times New Roman" w:cs="Times New Roman"/>
          <w:sz w:val="24"/>
          <w:szCs w:val="24"/>
        </w:rPr>
        <w:t xml:space="preserve"> </w:t>
      </w:r>
      <w:proofErr w:type="spellStart"/>
      <w:r w:rsidRPr="000A58D6">
        <w:rPr>
          <w:rFonts w:ascii="Times New Roman" w:hAnsi="Times New Roman" w:cs="Times New Roman"/>
          <w:sz w:val="24"/>
          <w:szCs w:val="24"/>
        </w:rPr>
        <w:t>Abi</w:t>
      </w:r>
      <w:r>
        <w:rPr>
          <w:rFonts w:ascii="Times New Roman" w:hAnsi="Times New Roman" w:cs="Times New Roman"/>
          <w:sz w:val="24"/>
          <w:szCs w:val="24"/>
        </w:rPr>
        <w:t>ngdon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2007. 312 s.</w:t>
      </w:r>
    </w:p>
    <w:p w:rsidR="00191B9E" w:rsidRDefault="00191B9E" w:rsidP="00191B9E">
      <w:pPr>
        <w:spacing w:line="360" w:lineRule="auto"/>
        <w:jc w:val="both"/>
        <w:rPr>
          <w:rFonts w:ascii="Times New Roman" w:hAnsi="Times New Roman" w:cs="Times New Roman"/>
          <w:sz w:val="24"/>
          <w:szCs w:val="24"/>
        </w:rPr>
      </w:pPr>
      <w:r w:rsidRPr="009856AE">
        <w:rPr>
          <w:rFonts w:ascii="Times New Roman" w:hAnsi="Times New Roman" w:cs="Times New Roman"/>
          <w:sz w:val="24"/>
          <w:szCs w:val="24"/>
        </w:rPr>
        <w:t xml:space="preserve">SCHEU, Harald Christian. Princip subsidiarity v právu EU. </w:t>
      </w:r>
      <w:r w:rsidRPr="009856AE">
        <w:rPr>
          <w:rFonts w:ascii="Times New Roman" w:hAnsi="Times New Roman" w:cs="Times New Roman"/>
          <w:i/>
          <w:sz w:val="24"/>
          <w:szCs w:val="24"/>
        </w:rPr>
        <w:t xml:space="preserve">Acta </w:t>
      </w:r>
      <w:proofErr w:type="spellStart"/>
      <w:r w:rsidRPr="009856AE">
        <w:rPr>
          <w:rFonts w:ascii="Times New Roman" w:hAnsi="Times New Roman" w:cs="Times New Roman"/>
          <w:i/>
          <w:sz w:val="24"/>
          <w:szCs w:val="24"/>
        </w:rPr>
        <w:t>Universitatis</w:t>
      </w:r>
      <w:proofErr w:type="spellEnd"/>
      <w:r w:rsidRPr="009856AE">
        <w:rPr>
          <w:rFonts w:ascii="Times New Roman" w:hAnsi="Times New Roman" w:cs="Times New Roman"/>
          <w:i/>
          <w:sz w:val="24"/>
          <w:szCs w:val="24"/>
        </w:rPr>
        <w:t xml:space="preserve"> </w:t>
      </w:r>
      <w:proofErr w:type="spellStart"/>
      <w:r w:rsidRPr="009856AE">
        <w:rPr>
          <w:rFonts w:ascii="Times New Roman" w:hAnsi="Times New Roman" w:cs="Times New Roman"/>
          <w:i/>
          <w:sz w:val="24"/>
          <w:szCs w:val="24"/>
        </w:rPr>
        <w:t>Carolinae</w:t>
      </w:r>
      <w:proofErr w:type="spellEnd"/>
      <w:r w:rsidRPr="009856AE">
        <w:rPr>
          <w:rFonts w:ascii="Times New Roman" w:hAnsi="Times New Roman" w:cs="Times New Roman"/>
          <w:i/>
          <w:sz w:val="24"/>
          <w:szCs w:val="24"/>
        </w:rPr>
        <w:t xml:space="preserve"> </w:t>
      </w:r>
      <w:proofErr w:type="spellStart"/>
      <w:r w:rsidRPr="009856AE">
        <w:rPr>
          <w:rFonts w:ascii="Times New Roman" w:hAnsi="Times New Roman" w:cs="Times New Roman"/>
          <w:i/>
          <w:sz w:val="24"/>
          <w:szCs w:val="24"/>
        </w:rPr>
        <w:t>Iuridica</w:t>
      </w:r>
      <w:proofErr w:type="spellEnd"/>
      <w:r>
        <w:rPr>
          <w:rFonts w:ascii="Times New Roman" w:hAnsi="Times New Roman" w:cs="Times New Roman"/>
          <w:sz w:val="24"/>
          <w:szCs w:val="24"/>
        </w:rPr>
        <w:t>, 2011, č. 1, s. 47-58</w:t>
      </w:r>
      <w:r w:rsidRPr="009856AE">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251367">
        <w:rPr>
          <w:rFonts w:ascii="Times New Roman" w:hAnsi="Times New Roman" w:cs="Times New Roman"/>
          <w:sz w:val="24"/>
          <w:szCs w:val="24"/>
        </w:rPr>
        <w:t xml:space="preserve">SPRUNGK, Carina. </w:t>
      </w:r>
      <w:proofErr w:type="spellStart"/>
      <w:r w:rsidRPr="00251367">
        <w:rPr>
          <w:rFonts w:ascii="Times New Roman" w:hAnsi="Times New Roman" w:cs="Times New Roman"/>
          <w:sz w:val="24"/>
          <w:szCs w:val="24"/>
        </w:rPr>
        <w:t>Legislative</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Transposition</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of</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Directives</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Exploring</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the</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Other</w:t>
      </w:r>
      <w:proofErr w:type="spellEnd"/>
      <w:r w:rsidRPr="00251367">
        <w:rPr>
          <w:rFonts w:ascii="Times New Roman" w:hAnsi="Times New Roman" w:cs="Times New Roman"/>
          <w:sz w:val="24"/>
          <w:szCs w:val="24"/>
        </w:rPr>
        <w:t xml:space="preserve"> Role </w:t>
      </w:r>
      <w:proofErr w:type="spellStart"/>
      <w:r w:rsidRPr="00251367">
        <w:rPr>
          <w:rFonts w:ascii="Times New Roman" w:hAnsi="Times New Roman" w:cs="Times New Roman"/>
          <w:sz w:val="24"/>
          <w:szCs w:val="24"/>
        </w:rPr>
        <w:t>of</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National</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Parliaments</w:t>
      </w:r>
      <w:proofErr w:type="spellEnd"/>
      <w:r w:rsidRPr="00251367">
        <w:rPr>
          <w:rFonts w:ascii="Times New Roman" w:hAnsi="Times New Roman" w:cs="Times New Roman"/>
          <w:sz w:val="24"/>
          <w:szCs w:val="24"/>
        </w:rPr>
        <w:t xml:space="preserve"> in </w:t>
      </w:r>
      <w:proofErr w:type="spellStart"/>
      <w:r w:rsidRPr="00251367">
        <w:rPr>
          <w:rFonts w:ascii="Times New Roman" w:hAnsi="Times New Roman" w:cs="Times New Roman"/>
          <w:sz w:val="24"/>
          <w:szCs w:val="24"/>
        </w:rPr>
        <w:t>the</w:t>
      </w:r>
      <w:proofErr w:type="spellEnd"/>
      <w:r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European</w:t>
      </w:r>
      <w:proofErr w:type="spellEnd"/>
      <w:r w:rsidRPr="00251367">
        <w:rPr>
          <w:rFonts w:ascii="Times New Roman" w:hAnsi="Times New Roman" w:cs="Times New Roman"/>
          <w:sz w:val="24"/>
          <w:szCs w:val="24"/>
        </w:rPr>
        <w:t xml:space="preserve"> Union. </w:t>
      </w:r>
      <w:proofErr w:type="spellStart"/>
      <w:r w:rsidRPr="00251367">
        <w:rPr>
          <w:rFonts w:ascii="Times New Roman" w:hAnsi="Times New Roman" w:cs="Times New Roman"/>
          <w:i/>
          <w:sz w:val="24"/>
          <w:szCs w:val="24"/>
        </w:rPr>
        <w:t>Journal</w:t>
      </w:r>
      <w:proofErr w:type="spellEnd"/>
      <w:r w:rsidRPr="00251367">
        <w:rPr>
          <w:rFonts w:ascii="Times New Roman" w:hAnsi="Times New Roman" w:cs="Times New Roman"/>
          <w:i/>
          <w:sz w:val="24"/>
          <w:szCs w:val="24"/>
        </w:rPr>
        <w:t xml:space="preserve"> </w:t>
      </w:r>
      <w:proofErr w:type="spellStart"/>
      <w:r w:rsidRPr="00251367">
        <w:rPr>
          <w:rFonts w:ascii="Times New Roman" w:hAnsi="Times New Roman" w:cs="Times New Roman"/>
          <w:i/>
          <w:sz w:val="24"/>
          <w:szCs w:val="24"/>
        </w:rPr>
        <w:t>of</w:t>
      </w:r>
      <w:proofErr w:type="spellEnd"/>
      <w:r w:rsidRPr="00251367">
        <w:rPr>
          <w:rFonts w:ascii="Times New Roman" w:hAnsi="Times New Roman" w:cs="Times New Roman"/>
          <w:i/>
          <w:sz w:val="24"/>
          <w:szCs w:val="24"/>
        </w:rPr>
        <w:t xml:space="preserve"> </w:t>
      </w:r>
      <w:proofErr w:type="spellStart"/>
      <w:r w:rsidRPr="00251367">
        <w:rPr>
          <w:rFonts w:ascii="Times New Roman" w:hAnsi="Times New Roman" w:cs="Times New Roman"/>
          <w:i/>
          <w:sz w:val="24"/>
          <w:szCs w:val="24"/>
        </w:rPr>
        <w:t>common</w:t>
      </w:r>
      <w:proofErr w:type="spellEnd"/>
      <w:r w:rsidRPr="00251367">
        <w:rPr>
          <w:rFonts w:ascii="Times New Roman" w:hAnsi="Times New Roman" w:cs="Times New Roman"/>
          <w:i/>
          <w:sz w:val="24"/>
          <w:szCs w:val="24"/>
        </w:rPr>
        <w:t xml:space="preserve"> market </w:t>
      </w:r>
      <w:proofErr w:type="spellStart"/>
      <w:r w:rsidRPr="00251367">
        <w:rPr>
          <w:rFonts w:ascii="Times New Roman" w:hAnsi="Times New Roman" w:cs="Times New Roman"/>
          <w:i/>
          <w:sz w:val="24"/>
          <w:szCs w:val="24"/>
        </w:rPr>
        <w:t>studies</w:t>
      </w:r>
      <w:proofErr w:type="spellEnd"/>
      <w:r w:rsidRPr="00251367">
        <w:rPr>
          <w:rFonts w:ascii="Times New Roman" w:hAnsi="Times New Roman" w:cs="Times New Roman"/>
          <w:sz w:val="24"/>
          <w:szCs w:val="24"/>
        </w:rPr>
        <w:t>,</w:t>
      </w:r>
      <w:r>
        <w:rPr>
          <w:rFonts w:ascii="Times New Roman" w:hAnsi="Times New Roman" w:cs="Times New Roman"/>
          <w:sz w:val="24"/>
          <w:szCs w:val="24"/>
        </w:rPr>
        <w:t xml:space="preserve"> 2013, vol. 51,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2, s. 298-315.</w:t>
      </w:r>
    </w:p>
    <w:p w:rsidR="00191B9E" w:rsidRDefault="00191B9E" w:rsidP="00191B9E">
      <w:pPr>
        <w:spacing w:line="360" w:lineRule="auto"/>
        <w:jc w:val="both"/>
        <w:rPr>
          <w:rFonts w:ascii="Times New Roman" w:hAnsi="Times New Roman" w:cs="Times New Roman"/>
          <w:sz w:val="24"/>
          <w:szCs w:val="24"/>
        </w:rPr>
      </w:pPr>
      <w:r w:rsidRPr="00BC4453">
        <w:rPr>
          <w:rFonts w:ascii="Times New Roman" w:hAnsi="Times New Roman" w:cs="Times New Roman"/>
          <w:sz w:val="24"/>
          <w:szCs w:val="24"/>
        </w:rPr>
        <w:t xml:space="preserve">STRELKOV, Alexander. </w:t>
      </w:r>
      <w:proofErr w:type="spellStart"/>
      <w:r w:rsidRPr="00BC4453">
        <w:rPr>
          <w:rFonts w:ascii="Times New Roman" w:hAnsi="Times New Roman" w:cs="Times New Roman"/>
          <w:i/>
          <w:sz w:val="24"/>
          <w:szCs w:val="24"/>
        </w:rPr>
        <w:t>National</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Parliaments</w:t>
      </w:r>
      <w:proofErr w:type="spellEnd"/>
      <w:r w:rsidRPr="00BC4453">
        <w:rPr>
          <w:rFonts w:ascii="Times New Roman" w:hAnsi="Times New Roman" w:cs="Times New Roman"/>
          <w:i/>
          <w:sz w:val="24"/>
          <w:szCs w:val="24"/>
        </w:rPr>
        <w:t xml:space="preserve"> in </w:t>
      </w:r>
      <w:proofErr w:type="spellStart"/>
      <w:r w:rsidRPr="00BC4453">
        <w:rPr>
          <w:rFonts w:ascii="Times New Roman" w:hAnsi="Times New Roman" w:cs="Times New Roman"/>
          <w:i/>
          <w:sz w:val="24"/>
          <w:szCs w:val="24"/>
        </w:rPr>
        <w:t>the</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Aftermath</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of</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the</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Lisbon</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Treaty</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Adaptation</w:t>
      </w:r>
      <w:proofErr w:type="spellEnd"/>
      <w:r w:rsidRPr="00BC4453">
        <w:rPr>
          <w:rFonts w:ascii="Times New Roman" w:hAnsi="Times New Roman" w:cs="Times New Roman"/>
          <w:i/>
          <w:sz w:val="24"/>
          <w:szCs w:val="24"/>
        </w:rPr>
        <w:t xml:space="preserve"> to </w:t>
      </w:r>
      <w:proofErr w:type="spellStart"/>
      <w:r w:rsidRPr="00BC4453">
        <w:rPr>
          <w:rFonts w:ascii="Times New Roman" w:hAnsi="Times New Roman" w:cs="Times New Roman"/>
          <w:i/>
          <w:sz w:val="24"/>
          <w:szCs w:val="24"/>
        </w:rPr>
        <w:t>the</w:t>
      </w:r>
      <w:proofErr w:type="spellEnd"/>
      <w:r w:rsidRPr="00BC4453">
        <w:rPr>
          <w:rFonts w:ascii="Times New Roman" w:hAnsi="Times New Roman" w:cs="Times New Roman"/>
          <w:i/>
          <w:sz w:val="24"/>
          <w:szCs w:val="24"/>
        </w:rPr>
        <w:t xml:space="preserve"> ‘New </w:t>
      </w:r>
      <w:proofErr w:type="spellStart"/>
      <w:r w:rsidRPr="00BC4453">
        <w:rPr>
          <w:rFonts w:ascii="Times New Roman" w:hAnsi="Times New Roman" w:cs="Times New Roman"/>
          <w:i/>
          <w:sz w:val="24"/>
          <w:szCs w:val="24"/>
        </w:rPr>
        <w:t>Opportunity</w:t>
      </w:r>
      <w:proofErr w:type="spellEnd"/>
      <w:r w:rsidRPr="00BC4453">
        <w:rPr>
          <w:rFonts w:ascii="Times New Roman" w:hAnsi="Times New Roman" w:cs="Times New Roman"/>
          <w:i/>
          <w:sz w:val="24"/>
          <w:szCs w:val="24"/>
        </w:rPr>
        <w:t xml:space="preserve"> </w:t>
      </w:r>
      <w:proofErr w:type="spellStart"/>
      <w:r w:rsidRPr="00BC4453">
        <w:rPr>
          <w:rFonts w:ascii="Times New Roman" w:hAnsi="Times New Roman" w:cs="Times New Roman"/>
          <w:i/>
          <w:sz w:val="24"/>
          <w:szCs w:val="24"/>
        </w:rPr>
        <w:t>Structure</w:t>
      </w:r>
      <w:proofErr w:type="spellEnd"/>
      <w:r w:rsidRPr="00BC4453">
        <w:rPr>
          <w:rFonts w:ascii="Times New Roman" w:hAnsi="Times New Roman" w:cs="Times New Roman"/>
          <w:i/>
          <w:sz w:val="24"/>
          <w:szCs w:val="24"/>
        </w:rPr>
        <w:t>’</w:t>
      </w:r>
      <w:r w:rsidRPr="00BC4453">
        <w:rPr>
          <w:rFonts w:ascii="Times New Roman" w:hAnsi="Times New Roman" w:cs="Times New Roman"/>
          <w:sz w:val="24"/>
          <w:szCs w:val="24"/>
        </w:rPr>
        <w:t xml:space="preserve">. Maastricht: </w:t>
      </w:r>
      <w:proofErr w:type="spellStart"/>
      <w:r w:rsidRPr="00BC4453">
        <w:rPr>
          <w:rFonts w:ascii="Times New Roman" w:hAnsi="Times New Roman" w:cs="Times New Roman"/>
          <w:sz w:val="24"/>
          <w:szCs w:val="24"/>
        </w:rPr>
        <w:t>Univ</w:t>
      </w:r>
      <w:r>
        <w:rPr>
          <w:rFonts w:ascii="Times New Roman" w:hAnsi="Times New Roman" w:cs="Times New Roman"/>
          <w:sz w:val="24"/>
          <w:szCs w:val="24"/>
        </w:rPr>
        <w:t>ersitaire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Maastricht, 2015. 243 s.</w:t>
      </w:r>
    </w:p>
    <w:p w:rsidR="00191B9E" w:rsidRDefault="00191B9E" w:rsidP="00191B9E">
      <w:pPr>
        <w:spacing w:line="360" w:lineRule="auto"/>
        <w:jc w:val="both"/>
        <w:rPr>
          <w:rFonts w:ascii="Times New Roman" w:hAnsi="Times New Roman" w:cs="Times New Roman"/>
          <w:sz w:val="24"/>
          <w:szCs w:val="24"/>
        </w:rPr>
      </w:pPr>
      <w:r w:rsidRPr="00055E16">
        <w:rPr>
          <w:rFonts w:ascii="Times New Roman" w:hAnsi="Times New Roman" w:cs="Times New Roman"/>
          <w:sz w:val="24"/>
          <w:szCs w:val="24"/>
        </w:rPr>
        <w:t xml:space="preserve">SVOBODA, Pavel. K </w:t>
      </w:r>
      <w:proofErr w:type="spellStart"/>
      <w:r w:rsidRPr="00055E16">
        <w:rPr>
          <w:rFonts w:ascii="Times New Roman" w:hAnsi="Times New Roman" w:cs="Times New Roman"/>
          <w:sz w:val="24"/>
          <w:szCs w:val="24"/>
        </w:rPr>
        <w:t>evropskoprávní</w:t>
      </w:r>
      <w:proofErr w:type="spellEnd"/>
      <w:r w:rsidRPr="00055E16">
        <w:rPr>
          <w:rFonts w:ascii="Times New Roman" w:hAnsi="Times New Roman" w:cs="Times New Roman"/>
          <w:sz w:val="24"/>
          <w:szCs w:val="24"/>
        </w:rPr>
        <w:t xml:space="preserve"> flexibilitě. </w:t>
      </w:r>
      <w:r w:rsidRPr="00055E16">
        <w:rPr>
          <w:rFonts w:ascii="Times New Roman" w:hAnsi="Times New Roman" w:cs="Times New Roman"/>
          <w:i/>
          <w:sz w:val="24"/>
          <w:szCs w:val="24"/>
        </w:rPr>
        <w:t>Právní rozhledy</w:t>
      </w:r>
      <w:r>
        <w:rPr>
          <w:rFonts w:ascii="Times New Roman" w:hAnsi="Times New Roman" w:cs="Times New Roman"/>
          <w:sz w:val="24"/>
          <w:szCs w:val="24"/>
        </w:rPr>
        <w:t>, 2011, č. 6, s. 214-219</w:t>
      </w:r>
      <w:r w:rsidRPr="00055E16">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9F0600">
        <w:rPr>
          <w:rFonts w:ascii="Times New Roman" w:hAnsi="Times New Roman" w:cs="Times New Roman"/>
          <w:sz w:val="24"/>
          <w:szCs w:val="24"/>
        </w:rPr>
        <w:lastRenderedPageBreak/>
        <w:t xml:space="preserve">SVOBODA, Pavel. </w:t>
      </w:r>
      <w:r w:rsidRPr="009F0600">
        <w:rPr>
          <w:rFonts w:ascii="Times New Roman" w:hAnsi="Times New Roman" w:cs="Times New Roman"/>
          <w:i/>
          <w:sz w:val="24"/>
          <w:szCs w:val="24"/>
        </w:rPr>
        <w:t>Úvod do evropského práva</w:t>
      </w:r>
      <w:r w:rsidRPr="009F0600">
        <w:rPr>
          <w:rFonts w:ascii="Times New Roman" w:hAnsi="Times New Roman" w:cs="Times New Roman"/>
          <w:sz w:val="24"/>
          <w:szCs w:val="24"/>
        </w:rPr>
        <w:t xml:space="preserve">. 5. </w:t>
      </w:r>
      <w:r>
        <w:rPr>
          <w:rFonts w:ascii="Times New Roman" w:hAnsi="Times New Roman" w:cs="Times New Roman"/>
          <w:sz w:val="24"/>
          <w:szCs w:val="24"/>
        </w:rPr>
        <w:t>vydání. Praha: C.H. Beck, 2013. 432 s</w:t>
      </w:r>
      <w:r w:rsidRPr="009F0600">
        <w:rPr>
          <w:rFonts w:ascii="Times New Roman" w:hAnsi="Times New Roman" w:cs="Times New Roman"/>
          <w:sz w:val="24"/>
          <w:szCs w:val="24"/>
        </w:rPr>
        <w:t>.</w:t>
      </w:r>
    </w:p>
    <w:p w:rsidR="00191B9E" w:rsidRPr="00F27414" w:rsidRDefault="00191B9E" w:rsidP="00191B9E">
      <w:pPr>
        <w:spacing w:line="360" w:lineRule="auto"/>
        <w:jc w:val="both"/>
        <w:rPr>
          <w:rFonts w:ascii="Times New Roman" w:hAnsi="Times New Roman" w:cs="Times New Roman"/>
          <w:sz w:val="28"/>
          <w:szCs w:val="24"/>
        </w:rPr>
      </w:pPr>
      <w:r w:rsidRPr="00F27414">
        <w:rPr>
          <w:rFonts w:ascii="Times New Roman" w:hAnsi="Times New Roman" w:cs="Times New Roman"/>
          <w:sz w:val="24"/>
        </w:rPr>
        <w:t xml:space="preserve">SVOBODOVÁ, Magdaléna. K úloze vnitrostátních parlamentů v Evropské unii a fungování mechanismu předběžného varování. </w:t>
      </w:r>
      <w:r w:rsidRPr="00F27414">
        <w:rPr>
          <w:rFonts w:ascii="Times New Roman" w:hAnsi="Times New Roman" w:cs="Times New Roman"/>
          <w:i/>
          <w:sz w:val="24"/>
        </w:rPr>
        <w:t>Jurisprudence</w:t>
      </w:r>
      <w:r>
        <w:rPr>
          <w:rFonts w:ascii="Times New Roman" w:hAnsi="Times New Roman" w:cs="Times New Roman"/>
          <w:sz w:val="24"/>
        </w:rPr>
        <w:t>, 2016, č. 1, s. 13-19</w:t>
      </w:r>
      <w:r w:rsidRPr="00F27414">
        <w:rPr>
          <w:rFonts w:ascii="Times New Roman" w:hAnsi="Times New Roman" w:cs="Times New Roman"/>
          <w:sz w:val="24"/>
        </w:rPr>
        <w:t>.</w:t>
      </w:r>
    </w:p>
    <w:p w:rsidR="00191B9E" w:rsidRDefault="00191B9E" w:rsidP="00191B9E">
      <w:pPr>
        <w:spacing w:line="360" w:lineRule="auto"/>
        <w:jc w:val="both"/>
        <w:rPr>
          <w:rFonts w:ascii="Times New Roman" w:hAnsi="Times New Roman" w:cs="Times New Roman"/>
          <w:sz w:val="24"/>
          <w:szCs w:val="24"/>
        </w:rPr>
      </w:pPr>
      <w:r w:rsidRPr="002C5A6F">
        <w:rPr>
          <w:rFonts w:ascii="Times New Roman" w:hAnsi="Times New Roman" w:cs="Times New Roman"/>
          <w:sz w:val="24"/>
          <w:szCs w:val="24"/>
        </w:rPr>
        <w:t xml:space="preserve">SYLLOVÁ, Jindřiška. In SYLLOVÁ, Jindřiška a kol. </w:t>
      </w:r>
      <w:r w:rsidRPr="002C5A6F">
        <w:rPr>
          <w:rFonts w:ascii="Times New Roman" w:hAnsi="Times New Roman" w:cs="Times New Roman"/>
          <w:i/>
          <w:sz w:val="24"/>
          <w:szCs w:val="24"/>
        </w:rPr>
        <w:t>Lisabonská smlouva: komentář</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C.H.Beck</w:t>
      </w:r>
      <w:proofErr w:type="spellEnd"/>
      <w:r>
        <w:rPr>
          <w:rFonts w:ascii="Times New Roman" w:hAnsi="Times New Roman" w:cs="Times New Roman"/>
          <w:sz w:val="24"/>
          <w:szCs w:val="24"/>
        </w:rPr>
        <w:t>, 2010, s. 23-39</w:t>
      </w:r>
      <w:r w:rsidRPr="002C5A6F">
        <w:rPr>
          <w:rFonts w:ascii="Times New Roman" w:hAnsi="Times New Roman" w:cs="Times New Roman"/>
          <w:sz w:val="24"/>
          <w:szCs w:val="24"/>
        </w:rPr>
        <w:t xml:space="preserve"> (čl. 5 SEU).</w:t>
      </w:r>
    </w:p>
    <w:p w:rsidR="00191B9E" w:rsidRDefault="00191B9E" w:rsidP="00191B9E">
      <w:pPr>
        <w:spacing w:line="360" w:lineRule="auto"/>
        <w:jc w:val="both"/>
        <w:rPr>
          <w:rFonts w:ascii="Times New Roman" w:hAnsi="Times New Roman" w:cs="Times New Roman"/>
          <w:sz w:val="24"/>
          <w:szCs w:val="24"/>
        </w:rPr>
      </w:pPr>
      <w:r w:rsidRPr="002C5A6F">
        <w:rPr>
          <w:rFonts w:ascii="Times New Roman" w:hAnsi="Times New Roman" w:cs="Times New Roman"/>
          <w:sz w:val="24"/>
          <w:szCs w:val="24"/>
        </w:rPr>
        <w:t xml:space="preserve">SYLLOVÁ, Jindřiška. In SYLLOVÁ, Jindřiška a kol. </w:t>
      </w:r>
      <w:r w:rsidRPr="002C5A6F">
        <w:rPr>
          <w:rFonts w:ascii="Times New Roman" w:hAnsi="Times New Roman" w:cs="Times New Roman"/>
          <w:i/>
          <w:sz w:val="24"/>
          <w:szCs w:val="24"/>
        </w:rPr>
        <w:t>Lisabonská smlouva: komentář</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C.H.Beck</w:t>
      </w:r>
      <w:proofErr w:type="spellEnd"/>
      <w:r>
        <w:rPr>
          <w:rFonts w:ascii="Times New Roman" w:hAnsi="Times New Roman" w:cs="Times New Roman"/>
          <w:sz w:val="24"/>
          <w:szCs w:val="24"/>
        </w:rPr>
        <w:t>, 2010, s. 170-181 (čl. 48</w:t>
      </w:r>
      <w:r w:rsidRPr="002C5A6F">
        <w:rPr>
          <w:rFonts w:ascii="Times New Roman" w:hAnsi="Times New Roman" w:cs="Times New Roman"/>
          <w:sz w:val="24"/>
          <w:szCs w:val="24"/>
        </w:rPr>
        <w:t xml:space="preserve"> SEU).</w:t>
      </w:r>
    </w:p>
    <w:p w:rsidR="00191B9E" w:rsidRDefault="00191B9E" w:rsidP="00191B9E">
      <w:pPr>
        <w:spacing w:line="360" w:lineRule="auto"/>
        <w:jc w:val="both"/>
        <w:rPr>
          <w:rFonts w:ascii="Times New Roman" w:hAnsi="Times New Roman" w:cs="Times New Roman"/>
          <w:sz w:val="24"/>
          <w:szCs w:val="24"/>
        </w:rPr>
      </w:pPr>
      <w:r w:rsidRPr="003723E7">
        <w:rPr>
          <w:rFonts w:ascii="Times New Roman" w:hAnsi="Times New Roman" w:cs="Times New Roman"/>
          <w:sz w:val="24"/>
          <w:szCs w:val="24"/>
        </w:rPr>
        <w:t>SYLLOVÁ, Jindřiška. Národní parlamenty a prohlub</w:t>
      </w:r>
      <w:r>
        <w:rPr>
          <w:rFonts w:ascii="Times New Roman" w:hAnsi="Times New Roman" w:cs="Times New Roman"/>
          <w:sz w:val="24"/>
          <w:szCs w:val="24"/>
        </w:rPr>
        <w:t>ující se evropská integrace. In</w:t>
      </w:r>
      <w:r w:rsidRPr="003723E7">
        <w:rPr>
          <w:rFonts w:ascii="Times New Roman" w:hAnsi="Times New Roman" w:cs="Times New Roman"/>
          <w:sz w:val="24"/>
          <w:szCs w:val="24"/>
        </w:rPr>
        <w:t xml:space="preserve"> PAVLÍČEK, Václav a kol. </w:t>
      </w:r>
      <w:r w:rsidRPr="004332BB">
        <w:rPr>
          <w:rFonts w:ascii="Times New Roman" w:hAnsi="Times New Roman" w:cs="Times New Roman"/>
          <w:i/>
          <w:sz w:val="24"/>
          <w:szCs w:val="24"/>
        </w:rPr>
        <w:t>Suverenita a evropská integrace</w:t>
      </w:r>
      <w:r w:rsidRPr="003723E7">
        <w:rPr>
          <w:rFonts w:ascii="Times New Roman" w:hAnsi="Times New Roman" w:cs="Times New Roman"/>
          <w:sz w:val="24"/>
          <w:szCs w:val="24"/>
        </w:rPr>
        <w:t xml:space="preserve">. Praha: Univerzita Karlova v </w:t>
      </w:r>
      <w:r>
        <w:rPr>
          <w:rFonts w:ascii="Times New Roman" w:hAnsi="Times New Roman" w:cs="Times New Roman"/>
          <w:sz w:val="24"/>
          <w:szCs w:val="24"/>
        </w:rPr>
        <w:t>Praze – Právnická fakulta, 1999, s. 97-111.</w:t>
      </w:r>
    </w:p>
    <w:p w:rsidR="00191B9E" w:rsidRDefault="00191B9E" w:rsidP="00191B9E">
      <w:pPr>
        <w:spacing w:line="360" w:lineRule="auto"/>
        <w:jc w:val="both"/>
        <w:rPr>
          <w:rFonts w:ascii="Times New Roman" w:hAnsi="Times New Roman" w:cs="Times New Roman"/>
          <w:sz w:val="24"/>
          <w:szCs w:val="24"/>
        </w:rPr>
      </w:pPr>
      <w:r w:rsidRPr="00192B0D">
        <w:rPr>
          <w:rFonts w:ascii="Times New Roman" w:hAnsi="Times New Roman" w:cs="Times New Roman"/>
          <w:sz w:val="24"/>
          <w:szCs w:val="24"/>
        </w:rPr>
        <w:t xml:space="preserve">SYLLOVÁ, </w:t>
      </w:r>
      <w:r>
        <w:rPr>
          <w:rFonts w:ascii="Times New Roman" w:hAnsi="Times New Roman" w:cs="Times New Roman"/>
          <w:sz w:val="24"/>
          <w:szCs w:val="24"/>
        </w:rPr>
        <w:t>Jindřiška. Parlamentarismus. In</w:t>
      </w:r>
      <w:r w:rsidRPr="00192B0D">
        <w:rPr>
          <w:rFonts w:ascii="Times New Roman" w:hAnsi="Times New Roman" w:cs="Times New Roman"/>
          <w:sz w:val="24"/>
          <w:szCs w:val="24"/>
        </w:rPr>
        <w:t xml:space="preserve"> PAVLÍČEK a kol. </w:t>
      </w:r>
      <w:r w:rsidRPr="00192B0D">
        <w:rPr>
          <w:rFonts w:ascii="Times New Roman" w:hAnsi="Times New Roman" w:cs="Times New Roman"/>
          <w:i/>
          <w:sz w:val="24"/>
          <w:szCs w:val="24"/>
        </w:rPr>
        <w:t>Ústavní právo a státověda, 1. díl, Obecná státověda</w:t>
      </w:r>
      <w:r w:rsidRPr="00192B0D">
        <w:rPr>
          <w:rFonts w:ascii="Times New Roman" w:hAnsi="Times New Roman" w:cs="Times New Roman"/>
          <w:sz w:val="24"/>
          <w:szCs w:val="24"/>
        </w:rPr>
        <w:t>.</w:t>
      </w:r>
      <w:r>
        <w:rPr>
          <w:rFonts w:ascii="Times New Roman" w:hAnsi="Times New Roman" w:cs="Times New Roman"/>
          <w:sz w:val="24"/>
          <w:szCs w:val="24"/>
        </w:rPr>
        <w:t xml:space="preserve"> Praha: Linde Praha a. s., 1998, s</w:t>
      </w:r>
      <w:r w:rsidRPr="00192B0D">
        <w:rPr>
          <w:rFonts w:ascii="Times New Roman" w:hAnsi="Times New Roman" w:cs="Times New Roman"/>
          <w:sz w:val="24"/>
          <w:szCs w:val="24"/>
        </w:rPr>
        <w:t>.</w:t>
      </w:r>
      <w:r>
        <w:rPr>
          <w:rFonts w:ascii="Times New Roman" w:hAnsi="Times New Roman" w:cs="Times New Roman"/>
          <w:sz w:val="24"/>
          <w:szCs w:val="24"/>
        </w:rPr>
        <w:t xml:space="preserve"> 233-266.</w:t>
      </w:r>
    </w:p>
    <w:p w:rsidR="00191B9E" w:rsidRDefault="00191B9E" w:rsidP="00191B9E">
      <w:pPr>
        <w:spacing w:line="360" w:lineRule="auto"/>
        <w:jc w:val="both"/>
        <w:rPr>
          <w:rFonts w:ascii="Times New Roman" w:hAnsi="Times New Roman" w:cs="Times New Roman"/>
          <w:sz w:val="24"/>
          <w:szCs w:val="24"/>
        </w:rPr>
      </w:pPr>
      <w:r w:rsidRPr="000A38FF">
        <w:rPr>
          <w:rFonts w:ascii="Times New Roman" w:hAnsi="Times New Roman" w:cs="Times New Roman"/>
          <w:sz w:val="24"/>
          <w:szCs w:val="24"/>
        </w:rPr>
        <w:t>ŠABATKA, Michal. Filosofická východiska principu subsidiarity. In GEORGIEV, Jiří (</w:t>
      </w:r>
      <w:proofErr w:type="spellStart"/>
      <w:r w:rsidRPr="000A38FF">
        <w:rPr>
          <w:rFonts w:ascii="Times New Roman" w:hAnsi="Times New Roman" w:cs="Times New Roman"/>
          <w:sz w:val="24"/>
          <w:szCs w:val="24"/>
        </w:rPr>
        <w:t>ed</w:t>
      </w:r>
      <w:proofErr w:type="spellEnd"/>
      <w:r w:rsidRPr="000A38FF">
        <w:rPr>
          <w:rFonts w:ascii="Times New Roman" w:hAnsi="Times New Roman" w:cs="Times New Roman"/>
          <w:sz w:val="24"/>
          <w:szCs w:val="24"/>
        </w:rPr>
        <w:t xml:space="preserve">). </w:t>
      </w:r>
      <w:r w:rsidRPr="003573BA">
        <w:rPr>
          <w:rFonts w:ascii="Times New Roman" w:hAnsi="Times New Roman" w:cs="Times New Roman"/>
          <w:i/>
          <w:sz w:val="24"/>
          <w:szCs w:val="24"/>
        </w:rPr>
        <w:t>Princip subsidiarity v právní teorii a praxi</w:t>
      </w:r>
      <w:r w:rsidRPr="000A38FF">
        <w:rPr>
          <w:rFonts w:ascii="Times New Roman" w:hAnsi="Times New Roman" w:cs="Times New Roman"/>
          <w:sz w:val="24"/>
          <w:szCs w:val="24"/>
        </w:rPr>
        <w:t>. Praha: CEVRO Institut, 2007, s. 25-31.</w:t>
      </w:r>
    </w:p>
    <w:p w:rsidR="00191B9E" w:rsidRDefault="00191B9E" w:rsidP="00191B9E">
      <w:pPr>
        <w:spacing w:line="360" w:lineRule="auto"/>
        <w:jc w:val="both"/>
        <w:rPr>
          <w:rFonts w:ascii="Times New Roman" w:hAnsi="Times New Roman" w:cs="Times New Roman"/>
          <w:sz w:val="24"/>
          <w:szCs w:val="24"/>
        </w:rPr>
      </w:pPr>
      <w:r w:rsidRPr="009B1B90">
        <w:rPr>
          <w:rFonts w:ascii="Times New Roman" w:hAnsi="Times New Roman" w:cs="Times New Roman"/>
          <w:sz w:val="24"/>
          <w:szCs w:val="24"/>
        </w:rPr>
        <w:t xml:space="preserve">ŠIŠKOVÁ, Naděžda, STEHLÍK, Václav. </w:t>
      </w:r>
      <w:r w:rsidRPr="009B1B90">
        <w:rPr>
          <w:rFonts w:ascii="Times New Roman" w:hAnsi="Times New Roman" w:cs="Times New Roman"/>
          <w:i/>
          <w:sz w:val="24"/>
          <w:szCs w:val="24"/>
        </w:rPr>
        <w:t>Evropské právo 1 – Ústavní základy Evropské unie</w:t>
      </w:r>
      <w:r w:rsidRPr="009B1B90">
        <w:rPr>
          <w:rFonts w:ascii="Times New Roman" w:hAnsi="Times New Roman" w:cs="Times New Roman"/>
          <w:sz w:val="24"/>
          <w:szCs w:val="24"/>
        </w:rPr>
        <w:t xml:space="preserve">. Praha: Linde Praha </w:t>
      </w:r>
      <w:r>
        <w:rPr>
          <w:rFonts w:ascii="Times New Roman" w:hAnsi="Times New Roman" w:cs="Times New Roman"/>
          <w:sz w:val="24"/>
          <w:szCs w:val="24"/>
        </w:rPr>
        <w:t>a. s., 2007. 310 s</w:t>
      </w:r>
      <w:r w:rsidRPr="009B1B90">
        <w:rPr>
          <w:rFonts w:ascii="Times New Roman" w:hAnsi="Times New Roman" w:cs="Times New Roman"/>
          <w:sz w:val="24"/>
          <w:szCs w:val="24"/>
        </w:rPr>
        <w:t>.</w:t>
      </w:r>
    </w:p>
    <w:p w:rsidR="00191B9E" w:rsidRDefault="00191B9E" w:rsidP="00191B9E">
      <w:pPr>
        <w:spacing w:line="360" w:lineRule="auto"/>
        <w:jc w:val="both"/>
        <w:rPr>
          <w:rFonts w:ascii="Times New Roman" w:hAnsi="Times New Roman" w:cs="Times New Roman"/>
          <w:sz w:val="24"/>
          <w:szCs w:val="24"/>
        </w:rPr>
      </w:pPr>
      <w:r w:rsidRPr="00302E7D">
        <w:rPr>
          <w:rFonts w:ascii="Times New Roman" w:hAnsi="Times New Roman" w:cs="Times New Roman"/>
          <w:sz w:val="24"/>
          <w:szCs w:val="24"/>
        </w:rPr>
        <w:t>TLAMYCHA, Jan. Soudní přezkoumatelnost principu subsidiarity v EU. In GEORGIEV, Jiří (</w:t>
      </w:r>
      <w:proofErr w:type="spellStart"/>
      <w:r w:rsidRPr="00302E7D">
        <w:rPr>
          <w:rFonts w:ascii="Times New Roman" w:hAnsi="Times New Roman" w:cs="Times New Roman"/>
          <w:sz w:val="24"/>
          <w:szCs w:val="24"/>
        </w:rPr>
        <w:t>ed</w:t>
      </w:r>
      <w:proofErr w:type="spellEnd"/>
      <w:r w:rsidRPr="00302E7D">
        <w:rPr>
          <w:rFonts w:ascii="Times New Roman" w:hAnsi="Times New Roman" w:cs="Times New Roman"/>
          <w:sz w:val="24"/>
          <w:szCs w:val="24"/>
        </w:rPr>
        <w:t xml:space="preserve">). </w:t>
      </w:r>
      <w:r w:rsidRPr="00302E7D">
        <w:rPr>
          <w:rFonts w:ascii="Times New Roman" w:hAnsi="Times New Roman" w:cs="Times New Roman"/>
          <w:i/>
          <w:sz w:val="24"/>
          <w:szCs w:val="24"/>
        </w:rPr>
        <w:t>Princip subsidiarity v právní teorii a praxi</w:t>
      </w:r>
      <w:r w:rsidRPr="00302E7D">
        <w:rPr>
          <w:rFonts w:ascii="Times New Roman" w:hAnsi="Times New Roman" w:cs="Times New Roman"/>
          <w:sz w:val="24"/>
          <w:szCs w:val="24"/>
        </w:rPr>
        <w:t>. Praha: CEVRO Institut, 2007, s. 91</w:t>
      </w:r>
      <w:r>
        <w:rPr>
          <w:rFonts w:ascii="Times New Roman" w:hAnsi="Times New Roman" w:cs="Times New Roman"/>
          <w:sz w:val="24"/>
          <w:szCs w:val="24"/>
        </w:rPr>
        <w:t>-105.</w:t>
      </w:r>
    </w:p>
    <w:p w:rsidR="00191B9E" w:rsidRDefault="00191B9E" w:rsidP="00191B9E">
      <w:pPr>
        <w:spacing w:line="360" w:lineRule="auto"/>
        <w:jc w:val="both"/>
        <w:rPr>
          <w:rFonts w:ascii="Times New Roman" w:hAnsi="Times New Roman" w:cs="Times New Roman"/>
          <w:sz w:val="24"/>
          <w:szCs w:val="24"/>
        </w:rPr>
      </w:pPr>
      <w:r w:rsidRPr="006B4D8E">
        <w:rPr>
          <w:rFonts w:ascii="Times New Roman" w:hAnsi="Times New Roman" w:cs="Times New Roman"/>
          <w:sz w:val="24"/>
          <w:szCs w:val="24"/>
        </w:rPr>
        <w:t xml:space="preserve">TOMÁŠEK, Michal. Příspěvek Lisabonské smlouvy ke zmírnění demokratického deficitu v EU.  </w:t>
      </w:r>
      <w:r w:rsidRPr="006B4D8E">
        <w:rPr>
          <w:rFonts w:ascii="Times New Roman" w:hAnsi="Times New Roman" w:cs="Times New Roman"/>
          <w:i/>
          <w:sz w:val="24"/>
          <w:szCs w:val="24"/>
        </w:rPr>
        <w:t xml:space="preserve">Acta </w:t>
      </w:r>
      <w:proofErr w:type="spellStart"/>
      <w:r w:rsidRPr="006B4D8E">
        <w:rPr>
          <w:rFonts w:ascii="Times New Roman" w:hAnsi="Times New Roman" w:cs="Times New Roman"/>
          <w:i/>
          <w:sz w:val="24"/>
          <w:szCs w:val="24"/>
        </w:rPr>
        <w:t>Universitatis</w:t>
      </w:r>
      <w:proofErr w:type="spellEnd"/>
      <w:r w:rsidRPr="006B4D8E">
        <w:rPr>
          <w:rFonts w:ascii="Times New Roman" w:hAnsi="Times New Roman" w:cs="Times New Roman"/>
          <w:i/>
          <w:sz w:val="24"/>
          <w:szCs w:val="24"/>
        </w:rPr>
        <w:t xml:space="preserve"> </w:t>
      </w:r>
      <w:proofErr w:type="spellStart"/>
      <w:r w:rsidRPr="006B4D8E">
        <w:rPr>
          <w:rFonts w:ascii="Times New Roman" w:hAnsi="Times New Roman" w:cs="Times New Roman"/>
          <w:i/>
          <w:sz w:val="24"/>
          <w:szCs w:val="24"/>
        </w:rPr>
        <w:t>Carolinae</w:t>
      </w:r>
      <w:proofErr w:type="spellEnd"/>
      <w:r w:rsidRPr="006B4D8E">
        <w:rPr>
          <w:rFonts w:ascii="Times New Roman" w:hAnsi="Times New Roman" w:cs="Times New Roman"/>
          <w:i/>
          <w:sz w:val="24"/>
          <w:szCs w:val="24"/>
        </w:rPr>
        <w:t xml:space="preserve"> </w:t>
      </w:r>
      <w:proofErr w:type="spellStart"/>
      <w:r w:rsidRPr="006B4D8E">
        <w:rPr>
          <w:rFonts w:ascii="Times New Roman" w:hAnsi="Times New Roman" w:cs="Times New Roman"/>
          <w:i/>
          <w:sz w:val="24"/>
          <w:szCs w:val="24"/>
        </w:rPr>
        <w:t>Iuridica</w:t>
      </w:r>
      <w:proofErr w:type="spellEnd"/>
      <w:r w:rsidRPr="006B4D8E">
        <w:rPr>
          <w:rFonts w:ascii="Times New Roman" w:hAnsi="Times New Roman" w:cs="Times New Roman"/>
          <w:sz w:val="24"/>
          <w:szCs w:val="24"/>
        </w:rPr>
        <w:t>, 2010, č. 3, s. 7-20.</w:t>
      </w:r>
    </w:p>
    <w:p w:rsidR="00191B9E" w:rsidRDefault="00191B9E" w:rsidP="00191B9E">
      <w:pPr>
        <w:spacing w:line="360" w:lineRule="auto"/>
        <w:jc w:val="both"/>
        <w:rPr>
          <w:rFonts w:ascii="Times New Roman" w:hAnsi="Times New Roman" w:cs="Times New Roman"/>
          <w:sz w:val="24"/>
          <w:szCs w:val="24"/>
        </w:rPr>
      </w:pPr>
      <w:r w:rsidRPr="0086539C">
        <w:rPr>
          <w:rFonts w:ascii="Times New Roman" w:hAnsi="Times New Roman" w:cs="Times New Roman"/>
          <w:sz w:val="24"/>
          <w:szCs w:val="24"/>
        </w:rPr>
        <w:t xml:space="preserve">VAN DEN BRINK, Ton. </w:t>
      </w:r>
      <w:proofErr w:type="spellStart"/>
      <w:r w:rsidRPr="0086539C">
        <w:rPr>
          <w:rFonts w:ascii="Times New Roman" w:hAnsi="Times New Roman" w:cs="Times New Roman"/>
          <w:sz w:val="24"/>
          <w:szCs w:val="24"/>
        </w:rPr>
        <w:t>The</w:t>
      </w:r>
      <w:proofErr w:type="spellEnd"/>
      <w:r w:rsidRPr="0086539C">
        <w:rPr>
          <w:rFonts w:ascii="Times New Roman" w:hAnsi="Times New Roman" w:cs="Times New Roman"/>
          <w:sz w:val="24"/>
          <w:szCs w:val="24"/>
        </w:rPr>
        <w:t xml:space="preserve"> Substance </w:t>
      </w:r>
      <w:proofErr w:type="spellStart"/>
      <w:r w:rsidRPr="0086539C">
        <w:rPr>
          <w:rFonts w:ascii="Times New Roman" w:hAnsi="Times New Roman" w:cs="Times New Roman"/>
          <w:sz w:val="24"/>
          <w:szCs w:val="24"/>
        </w:rPr>
        <w:t>of</w:t>
      </w:r>
      <w:proofErr w:type="spellEnd"/>
      <w:r w:rsidRPr="0086539C">
        <w:rPr>
          <w:rFonts w:ascii="Times New Roman" w:hAnsi="Times New Roman" w:cs="Times New Roman"/>
          <w:sz w:val="24"/>
          <w:szCs w:val="24"/>
        </w:rPr>
        <w:t xml:space="preserve"> Subsidiarity: </w:t>
      </w:r>
      <w:proofErr w:type="spellStart"/>
      <w:r w:rsidRPr="0086539C">
        <w:rPr>
          <w:rFonts w:ascii="Times New Roman" w:hAnsi="Times New Roman" w:cs="Times New Roman"/>
          <w:sz w:val="24"/>
          <w:szCs w:val="24"/>
        </w:rPr>
        <w:t>The</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Interpretation</w:t>
      </w:r>
      <w:proofErr w:type="spellEnd"/>
      <w:r w:rsidRPr="0086539C">
        <w:rPr>
          <w:rFonts w:ascii="Times New Roman" w:hAnsi="Times New Roman" w:cs="Times New Roman"/>
          <w:sz w:val="24"/>
          <w:szCs w:val="24"/>
        </w:rPr>
        <w:t xml:space="preserve"> and </w:t>
      </w:r>
      <w:proofErr w:type="spellStart"/>
      <w:r w:rsidRPr="0086539C">
        <w:rPr>
          <w:rFonts w:ascii="Times New Roman" w:hAnsi="Times New Roman" w:cs="Times New Roman"/>
          <w:sz w:val="24"/>
          <w:szCs w:val="24"/>
        </w:rPr>
        <w:t>Meaning</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of</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the</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Principle</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after</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Lisbon</w:t>
      </w:r>
      <w:proofErr w:type="spellEnd"/>
      <w:r w:rsidRPr="0086539C">
        <w:rPr>
          <w:rFonts w:ascii="Times New Roman" w:hAnsi="Times New Roman" w:cs="Times New Roman"/>
          <w:sz w:val="24"/>
          <w:szCs w:val="24"/>
        </w:rPr>
        <w:t xml:space="preserve">. In: TRYBUS, Martin, RUBINI, Luca. </w:t>
      </w:r>
      <w:proofErr w:type="spellStart"/>
      <w:r w:rsidRPr="0086539C">
        <w:rPr>
          <w:rFonts w:ascii="Times New Roman" w:hAnsi="Times New Roman" w:cs="Times New Roman"/>
          <w:i/>
          <w:sz w:val="24"/>
          <w:szCs w:val="24"/>
        </w:rPr>
        <w:t>The</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Treaty</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of</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Lisbon</w:t>
      </w:r>
      <w:proofErr w:type="spellEnd"/>
      <w:r w:rsidRPr="0086539C">
        <w:rPr>
          <w:rFonts w:ascii="Times New Roman" w:hAnsi="Times New Roman" w:cs="Times New Roman"/>
          <w:i/>
          <w:sz w:val="24"/>
          <w:szCs w:val="24"/>
        </w:rPr>
        <w:t xml:space="preserve"> and </w:t>
      </w:r>
      <w:proofErr w:type="spellStart"/>
      <w:r w:rsidRPr="0086539C">
        <w:rPr>
          <w:rFonts w:ascii="Times New Roman" w:hAnsi="Times New Roman" w:cs="Times New Roman"/>
          <w:i/>
          <w:sz w:val="24"/>
          <w:szCs w:val="24"/>
        </w:rPr>
        <w:t>the</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Future</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of</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European</w:t>
      </w:r>
      <w:proofErr w:type="spellEnd"/>
      <w:r w:rsidRPr="0086539C">
        <w:rPr>
          <w:rFonts w:ascii="Times New Roman" w:hAnsi="Times New Roman" w:cs="Times New Roman"/>
          <w:i/>
          <w:sz w:val="24"/>
          <w:szCs w:val="24"/>
        </w:rPr>
        <w:t xml:space="preserve"> </w:t>
      </w:r>
      <w:proofErr w:type="spellStart"/>
      <w:r w:rsidRPr="0086539C">
        <w:rPr>
          <w:rFonts w:ascii="Times New Roman" w:hAnsi="Times New Roman" w:cs="Times New Roman"/>
          <w:i/>
          <w:sz w:val="24"/>
          <w:szCs w:val="24"/>
        </w:rPr>
        <w:t>Law</w:t>
      </w:r>
      <w:proofErr w:type="spellEnd"/>
      <w:r w:rsidRPr="0086539C">
        <w:rPr>
          <w:rFonts w:ascii="Times New Roman" w:hAnsi="Times New Roman" w:cs="Times New Roman"/>
          <w:i/>
          <w:sz w:val="24"/>
          <w:szCs w:val="24"/>
        </w:rPr>
        <w:t xml:space="preserve"> and </w:t>
      </w:r>
      <w:proofErr w:type="spellStart"/>
      <w:r w:rsidRPr="0086539C">
        <w:rPr>
          <w:rFonts w:ascii="Times New Roman" w:hAnsi="Times New Roman" w:cs="Times New Roman"/>
          <w:i/>
          <w:sz w:val="24"/>
          <w:szCs w:val="24"/>
        </w:rPr>
        <w:t>Policy</w:t>
      </w:r>
      <w:proofErr w:type="spellEnd"/>
      <w:r w:rsidRPr="0086539C">
        <w:rPr>
          <w:rFonts w:ascii="Times New Roman" w:hAnsi="Times New Roman" w:cs="Times New Roman"/>
          <w:sz w:val="24"/>
          <w:szCs w:val="24"/>
        </w:rPr>
        <w:t xml:space="preserve">. </w:t>
      </w:r>
      <w:proofErr w:type="spellStart"/>
      <w:r w:rsidRPr="0086539C">
        <w:rPr>
          <w:rFonts w:ascii="Times New Roman" w:hAnsi="Times New Roman" w:cs="Times New Roman"/>
          <w:sz w:val="24"/>
          <w:szCs w:val="24"/>
        </w:rPr>
        <w:t>Northamp</w:t>
      </w:r>
      <w:r>
        <w:rPr>
          <w:rFonts w:ascii="Times New Roman" w:hAnsi="Times New Roman" w:cs="Times New Roman"/>
          <w:sz w:val="24"/>
          <w:szCs w:val="24"/>
        </w:rPr>
        <w:t>ton</w:t>
      </w:r>
      <w:proofErr w:type="spellEnd"/>
      <w:r>
        <w:rPr>
          <w:rFonts w:ascii="Times New Roman" w:hAnsi="Times New Roman" w:cs="Times New Roman"/>
          <w:sz w:val="24"/>
          <w:szCs w:val="24"/>
        </w:rPr>
        <w:t xml:space="preserve">: Edward </w:t>
      </w:r>
      <w:proofErr w:type="spellStart"/>
      <w:r>
        <w:rPr>
          <w:rFonts w:ascii="Times New Roman" w:hAnsi="Times New Roman" w:cs="Times New Roman"/>
          <w:sz w:val="24"/>
          <w:szCs w:val="24"/>
        </w:rPr>
        <w:t>Elgar</w:t>
      </w:r>
      <w:proofErr w:type="spellEnd"/>
      <w:r>
        <w:rPr>
          <w:rFonts w:ascii="Times New Roman" w:hAnsi="Times New Roman" w:cs="Times New Roman"/>
          <w:sz w:val="24"/>
          <w:szCs w:val="24"/>
        </w:rPr>
        <w:t>, 2012, s 160-180.</w:t>
      </w:r>
    </w:p>
    <w:p w:rsidR="00191B9E" w:rsidRDefault="00191B9E" w:rsidP="00191B9E">
      <w:pPr>
        <w:spacing w:line="360" w:lineRule="auto"/>
        <w:jc w:val="both"/>
        <w:rPr>
          <w:rFonts w:ascii="Times New Roman" w:hAnsi="Times New Roman" w:cs="Times New Roman"/>
          <w:sz w:val="24"/>
          <w:szCs w:val="24"/>
        </w:rPr>
      </w:pPr>
      <w:r w:rsidRPr="00A872A5">
        <w:rPr>
          <w:rFonts w:ascii="Times New Roman" w:hAnsi="Times New Roman" w:cs="Times New Roman"/>
          <w:sz w:val="24"/>
          <w:szCs w:val="24"/>
        </w:rPr>
        <w:t xml:space="preserve">VELYVYTE, </w:t>
      </w:r>
      <w:proofErr w:type="spellStart"/>
      <w:r w:rsidRPr="00A872A5">
        <w:rPr>
          <w:rFonts w:ascii="Times New Roman" w:hAnsi="Times New Roman" w:cs="Times New Roman"/>
          <w:sz w:val="24"/>
          <w:szCs w:val="24"/>
        </w:rPr>
        <w:t>Vilija</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The</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Right</w:t>
      </w:r>
      <w:proofErr w:type="spellEnd"/>
      <w:r w:rsidRPr="00A872A5">
        <w:rPr>
          <w:rFonts w:ascii="Times New Roman" w:hAnsi="Times New Roman" w:cs="Times New Roman"/>
          <w:sz w:val="24"/>
          <w:szCs w:val="24"/>
        </w:rPr>
        <w:t xml:space="preserve"> to Strike in </w:t>
      </w:r>
      <w:proofErr w:type="spellStart"/>
      <w:r w:rsidRPr="00A872A5">
        <w:rPr>
          <w:rFonts w:ascii="Times New Roman" w:hAnsi="Times New Roman" w:cs="Times New Roman"/>
          <w:sz w:val="24"/>
          <w:szCs w:val="24"/>
        </w:rPr>
        <w:t>the</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European</w:t>
      </w:r>
      <w:proofErr w:type="spellEnd"/>
      <w:r w:rsidRPr="00A872A5">
        <w:rPr>
          <w:rFonts w:ascii="Times New Roman" w:hAnsi="Times New Roman" w:cs="Times New Roman"/>
          <w:sz w:val="24"/>
          <w:szCs w:val="24"/>
        </w:rPr>
        <w:t xml:space="preserve"> Union </w:t>
      </w:r>
      <w:proofErr w:type="spellStart"/>
      <w:r w:rsidRPr="00A872A5">
        <w:rPr>
          <w:rFonts w:ascii="Times New Roman" w:hAnsi="Times New Roman" w:cs="Times New Roman"/>
          <w:sz w:val="24"/>
          <w:szCs w:val="24"/>
        </w:rPr>
        <w:t>after</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Accession</w:t>
      </w:r>
      <w:proofErr w:type="spellEnd"/>
      <w:r w:rsidRPr="00A872A5">
        <w:rPr>
          <w:rFonts w:ascii="Times New Roman" w:hAnsi="Times New Roman" w:cs="Times New Roman"/>
          <w:sz w:val="24"/>
          <w:szCs w:val="24"/>
        </w:rPr>
        <w:t xml:space="preserve"> to </w:t>
      </w:r>
      <w:proofErr w:type="spellStart"/>
      <w:r w:rsidRPr="00A872A5">
        <w:rPr>
          <w:rFonts w:ascii="Times New Roman" w:hAnsi="Times New Roman" w:cs="Times New Roman"/>
          <w:sz w:val="24"/>
          <w:szCs w:val="24"/>
        </w:rPr>
        <w:t>the</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European</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Convention</w:t>
      </w:r>
      <w:proofErr w:type="spellEnd"/>
      <w:r w:rsidRPr="00A872A5">
        <w:rPr>
          <w:rFonts w:ascii="Times New Roman" w:hAnsi="Times New Roman" w:cs="Times New Roman"/>
          <w:sz w:val="24"/>
          <w:szCs w:val="24"/>
        </w:rPr>
        <w:t xml:space="preserve"> on </w:t>
      </w:r>
      <w:proofErr w:type="spellStart"/>
      <w:r w:rsidRPr="00A872A5">
        <w:rPr>
          <w:rFonts w:ascii="Times New Roman" w:hAnsi="Times New Roman" w:cs="Times New Roman"/>
          <w:sz w:val="24"/>
          <w:szCs w:val="24"/>
        </w:rPr>
        <w:t>Human</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Rights</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Identifying</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Conflict</w:t>
      </w:r>
      <w:proofErr w:type="spellEnd"/>
      <w:r w:rsidRPr="00A872A5">
        <w:rPr>
          <w:rFonts w:ascii="Times New Roman" w:hAnsi="Times New Roman" w:cs="Times New Roman"/>
          <w:sz w:val="24"/>
          <w:szCs w:val="24"/>
        </w:rPr>
        <w:t xml:space="preserve"> and </w:t>
      </w:r>
      <w:proofErr w:type="spellStart"/>
      <w:r w:rsidRPr="00A872A5">
        <w:rPr>
          <w:rFonts w:ascii="Times New Roman" w:hAnsi="Times New Roman" w:cs="Times New Roman"/>
          <w:sz w:val="24"/>
          <w:szCs w:val="24"/>
        </w:rPr>
        <w:t>Achieving</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sz w:val="24"/>
          <w:szCs w:val="24"/>
        </w:rPr>
        <w:t>Coherence</w:t>
      </w:r>
      <w:proofErr w:type="spellEnd"/>
      <w:r w:rsidRPr="00A872A5">
        <w:rPr>
          <w:rFonts w:ascii="Times New Roman" w:hAnsi="Times New Roman" w:cs="Times New Roman"/>
          <w:sz w:val="24"/>
          <w:szCs w:val="24"/>
        </w:rPr>
        <w:t xml:space="preserve">. </w:t>
      </w:r>
      <w:proofErr w:type="spellStart"/>
      <w:r w:rsidRPr="00A872A5">
        <w:rPr>
          <w:rFonts w:ascii="Times New Roman" w:hAnsi="Times New Roman" w:cs="Times New Roman"/>
          <w:i/>
          <w:sz w:val="24"/>
          <w:szCs w:val="24"/>
        </w:rPr>
        <w:t>Human</w:t>
      </w:r>
      <w:proofErr w:type="spellEnd"/>
      <w:r w:rsidRPr="00A872A5">
        <w:rPr>
          <w:rFonts w:ascii="Times New Roman" w:hAnsi="Times New Roman" w:cs="Times New Roman"/>
          <w:i/>
          <w:sz w:val="24"/>
          <w:szCs w:val="24"/>
        </w:rPr>
        <w:t xml:space="preserve"> </w:t>
      </w:r>
      <w:proofErr w:type="spellStart"/>
      <w:r w:rsidRPr="00A872A5">
        <w:rPr>
          <w:rFonts w:ascii="Times New Roman" w:hAnsi="Times New Roman" w:cs="Times New Roman"/>
          <w:i/>
          <w:sz w:val="24"/>
          <w:szCs w:val="24"/>
        </w:rPr>
        <w:t>Rights</w:t>
      </w:r>
      <w:proofErr w:type="spellEnd"/>
      <w:r w:rsidRPr="00A872A5">
        <w:rPr>
          <w:rFonts w:ascii="Times New Roman" w:hAnsi="Times New Roman" w:cs="Times New Roman"/>
          <w:i/>
          <w:sz w:val="24"/>
          <w:szCs w:val="24"/>
        </w:rPr>
        <w:t xml:space="preserve"> </w:t>
      </w:r>
      <w:proofErr w:type="spellStart"/>
      <w:r w:rsidRPr="00A872A5">
        <w:rPr>
          <w:rFonts w:ascii="Times New Roman" w:hAnsi="Times New Roman" w:cs="Times New Roman"/>
          <w:i/>
          <w:sz w:val="24"/>
          <w:szCs w:val="24"/>
        </w:rPr>
        <w:t>Law</w:t>
      </w:r>
      <w:proofErr w:type="spellEnd"/>
      <w:r w:rsidRPr="00A872A5">
        <w:rPr>
          <w:rFonts w:ascii="Times New Roman" w:hAnsi="Times New Roman" w:cs="Times New Roman"/>
          <w:i/>
          <w:sz w:val="24"/>
          <w:szCs w:val="24"/>
        </w:rPr>
        <w:t xml:space="preserve"> </w:t>
      </w:r>
      <w:proofErr w:type="spellStart"/>
      <w:r w:rsidRPr="00A872A5">
        <w:rPr>
          <w:rFonts w:ascii="Times New Roman" w:hAnsi="Times New Roman" w:cs="Times New Roman"/>
          <w:i/>
          <w:sz w:val="24"/>
          <w:szCs w:val="24"/>
        </w:rPr>
        <w:t>Review</w:t>
      </w:r>
      <w:proofErr w:type="spellEnd"/>
      <w:r>
        <w:rPr>
          <w:rFonts w:ascii="Times New Roman" w:hAnsi="Times New Roman" w:cs="Times New Roman"/>
          <w:sz w:val="24"/>
          <w:szCs w:val="24"/>
        </w:rPr>
        <w:t xml:space="preserve">, 2015, vol. 15,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1, s. </w:t>
      </w:r>
      <w:r w:rsidRPr="00A872A5">
        <w:rPr>
          <w:rFonts w:ascii="Times New Roman" w:hAnsi="Times New Roman" w:cs="Times New Roman"/>
          <w:sz w:val="24"/>
          <w:szCs w:val="24"/>
        </w:rPr>
        <w:t>7</w:t>
      </w:r>
      <w:r>
        <w:rPr>
          <w:rFonts w:ascii="Times New Roman" w:hAnsi="Times New Roman" w:cs="Times New Roman"/>
          <w:sz w:val="24"/>
          <w:szCs w:val="24"/>
        </w:rPr>
        <w:t>3-100</w:t>
      </w:r>
      <w:r w:rsidRPr="00A872A5">
        <w:rPr>
          <w:rFonts w:ascii="Times New Roman" w:hAnsi="Times New Roman" w:cs="Times New Roman"/>
          <w:sz w:val="24"/>
          <w:szCs w:val="24"/>
        </w:rPr>
        <w:t>.</w:t>
      </w:r>
    </w:p>
    <w:p w:rsidR="00191B9E" w:rsidRPr="00B979D8" w:rsidRDefault="00191B9E" w:rsidP="00191B9E">
      <w:pPr>
        <w:spacing w:line="360" w:lineRule="auto"/>
        <w:jc w:val="both"/>
        <w:rPr>
          <w:rFonts w:ascii="Times New Roman" w:hAnsi="Times New Roman" w:cs="Times New Roman"/>
          <w:sz w:val="28"/>
          <w:szCs w:val="24"/>
        </w:rPr>
      </w:pPr>
      <w:r w:rsidRPr="00B979D8">
        <w:rPr>
          <w:rFonts w:ascii="Times New Roman" w:hAnsi="Times New Roman" w:cs="Times New Roman"/>
          <w:sz w:val="24"/>
        </w:rPr>
        <w:t xml:space="preserve">WIECZOREK, Irene. </w:t>
      </w:r>
      <w:proofErr w:type="spellStart"/>
      <w:r w:rsidRPr="00B979D8">
        <w:rPr>
          <w:rFonts w:ascii="Times New Roman" w:hAnsi="Times New Roman" w:cs="Times New Roman"/>
          <w:sz w:val="24"/>
        </w:rPr>
        <w:t>The</w:t>
      </w:r>
      <w:proofErr w:type="spellEnd"/>
      <w:r w:rsidRPr="00B979D8">
        <w:rPr>
          <w:rFonts w:ascii="Times New Roman" w:hAnsi="Times New Roman" w:cs="Times New Roman"/>
          <w:sz w:val="24"/>
        </w:rPr>
        <w:t xml:space="preserve"> EPPO Draft </w:t>
      </w:r>
      <w:proofErr w:type="spellStart"/>
      <w:r w:rsidRPr="00B979D8">
        <w:rPr>
          <w:rFonts w:ascii="Times New Roman" w:hAnsi="Times New Roman" w:cs="Times New Roman"/>
          <w:sz w:val="24"/>
        </w:rPr>
        <w:t>Regulation</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Passes</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the</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First</w:t>
      </w:r>
      <w:proofErr w:type="spellEnd"/>
      <w:r w:rsidRPr="00B979D8">
        <w:rPr>
          <w:rFonts w:ascii="Times New Roman" w:hAnsi="Times New Roman" w:cs="Times New Roman"/>
          <w:sz w:val="24"/>
        </w:rPr>
        <w:t xml:space="preserve"> Subsidiarity Test: An </w:t>
      </w:r>
      <w:proofErr w:type="spellStart"/>
      <w:r w:rsidRPr="00B979D8">
        <w:rPr>
          <w:rFonts w:ascii="Times New Roman" w:hAnsi="Times New Roman" w:cs="Times New Roman"/>
          <w:sz w:val="24"/>
        </w:rPr>
        <w:t>Analysis</w:t>
      </w:r>
      <w:proofErr w:type="spellEnd"/>
      <w:r w:rsidRPr="00B979D8">
        <w:rPr>
          <w:rFonts w:ascii="Times New Roman" w:hAnsi="Times New Roman" w:cs="Times New Roman"/>
          <w:sz w:val="24"/>
        </w:rPr>
        <w:t xml:space="preserve"> and </w:t>
      </w:r>
      <w:proofErr w:type="spellStart"/>
      <w:r w:rsidRPr="00B979D8">
        <w:rPr>
          <w:rFonts w:ascii="Times New Roman" w:hAnsi="Times New Roman" w:cs="Times New Roman"/>
          <w:sz w:val="24"/>
        </w:rPr>
        <w:t>Interpretation</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of</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the</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European</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Commission's</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Hasty</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Approach</w:t>
      </w:r>
      <w:proofErr w:type="spellEnd"/>
      <w:r w:rsidRPr="00B979D8">
        <w:rPr>
          <w:rFonts w:ascii="Times New Roman" w:hAnsi="Times New Roman" w:cs="Times New Roman"/>
          <w:sz w:val="24"/>
        </w:rPr>
        <w:t xml:space="preserve"> to </w:t>
      </w:r>
      <w:proofErr w:type="spellStart"/>
      <w:r w:rsidRPr="00B979D8">
        <w:rPr>
          <w:rFonts w:ascii="Times New Roman" w:hAnsi="Times New Roman" w:cs="Times New Roman"/>
          <w:sz w:val="24"/>
        </w:rPr>
        <w:t>National</w:t>
      </w:r>
      <w:proofErr w:type="spellEnd"/>
      <w:r w:rsidRPr="00B979D8">
        <w:rPr>
          <w:rFonts w:ascii="Times New Roman" w:hAnsi="Times New Roman" w:cs="Times New Roman"/>
          <w:sz w:val="24"/>
        </w:rPr>
        <w:t xml:space="preserve"> </w:t>
      </w:r>
      <w:proofErr w:type="spellStart"/>
      <w:r w:rsidRPr="00B979D8">
        <w:rPr>
          <w:rFonts w:ascii="Times New Roman" w:hAnsi="Times New Roman" w:cs="Times New Roman"/>
          <w:sz w:val="24"/>
        </w:rPr>
        <w:t>Parliaments</w:t>
      </w:r>
      <w:proofErr w:type="spellEnd"/>
      <w:r w:rsidRPr="00B979D8">
        <w:rPr>
          <w:rFonts w:ascii="Times New Roman" w:hAnsi="Times New Roman" w:cs="Times New Roman"/>
          <w:sz w:val="24"/>
        </w:rPr>
        <w:t xml:space="preserve">' Subsidiarity </w:t>
      </w:r>
      <w:proofErr w:type="spellStart"/>
      <w:r w:rsidRPr="00B979D8">
        <w:rPr>
          <w:rFonts w:ascii="Times New Roman" w:hAnsi="Times New Roman" w:cs="Times New Roman"/>
          <w:sz w:val="24"/>
        </w:rPr>
        <w:t>Arguments</w:t>
      </w:r>
      <w:proofErr w:type="spellEnd"/>
      <w:r w:rsidRPr="00B979D8">
        <w:rPr>
          <w:rFonts w:ascii="Times New Roman" w:hAnsi="Times New Roman" w:cs="Times New Roman"/>
          <w:sz w:val="24"/>
        </w:rPr>
        <w:t xml:space="preserve">. </w:t>
      </w:r>
      <w:r w:rsidRPr="00B979D8">
        <w:rPr>
          <w:rFonts w:ascii="Times New Roman" w:hAnsi="Times New Roman" w:cs="Times New Roman"/>
          <w:i/>
          <w:sz w:val="24"/>
        </w:rPr>
        <w:t xml:space="preserve">German </w:t>
      </w:r>
      <w:proofErr w:type="spellStart"/>
      <w:r w:rsidRPr="00B979D8">
        <w:rPr>
          <w:rFonts w:ascii="Times New Roman" w:hAnsi="Times New Roman" w:cs="Times New Roman"/>
          <w:i/>
          <w:sz w:val="24"/>
        </w:rPr>
        <w:t>Law</w:t>
      </w:r>
      <w:proofErr w:type="spellEnd"/>
      <w:r w:rsidRPr="00B979D8">
        <w:rPr>
          <w:rFonts w:ascii="Times New Roman" w:hAnsi="Times New Roman" w:cs="Times New Roman"/>
          <w:i/>
          <w:sz w:val="24"/>
        </w:rPr>
        <w:t xml:space="preserve"> </w:t>
      </w:r>
      <w:proofErr w:type="spellStart"/>
      <w:r w:rsidRPr="00B979D8">
        <w:rPr>
          <w:rFonts w:ascii="Times New Roman" w:hAnsi="Times New Roman" w:cs="Times New Roman"/>
          <w:i/>
          <w:sz w:val="24"/>
        </w:rPr>
        <w:t>Journal</w:t>
      </w:r>
      <w:proofErr w:type="spellEnd"/>
      <w:r w:rsidRPr="00B979D8">
        <w:rPr>
          <w:rFonts w:ascii="Times New Roman" w:hAnsi="Times New Roman" w:cs="Times New Roman"/>
          <w:sz w:val="24"/>
        </w:rPr>
        <w:t>, 2015, vol. 1</w:t>
      </w:r>
      <w:r>
        <w:rPr>
          <w:rFonts w:ascii="Times New Roman" w:hAnsi="Times New Roman" w:cs="Times New Roman"/>
          <w:sz w:val="24"/>
        </w:rPr>
        <w:t>6, no. 5, s. 1247-12</w:t>
      </w:r>
      <w:r w:rsidRPr="00B979D8">
        <w:rPr>
          <w:rFonts w:ascii="Times New Roman" w:hAnsi="Times New Roman" w:cs="Times New Roman"/>
          <w:sz w:val="24"/>
        </w:rPr>
        <w:t>7</w:t>
      </w:r>
      <w:r>
        <w:rPr>
          <w:rFonts w:ascii="Times New Roman" w:hAnsi="Times New Roman" w:cs="Times New Roman"/>
          <w:sz w:val="24"/>
        </w:rPr>
        <w:t>0</w:t>
      </w:r>
      <w:r w:rsidRPr="00B979D8">
        <w:rPr>
          <w:rFonts w:ascii="Times New Roman" w:hAnsi="Times New Roman" w:cs="Times New Roman"/>
          <w:sz w:val="24"/>
        </w:rPr>
        <w:t>.</w:t>
      </w:r>
    </w:p>
    <w:p w:rsidR="00191B9E" w:rsidRDefault="00191B9E" w:rsidP="00F66743">
      <w:pPr>
        <w:pStyle w:val="Textpoznpodarou"/>
        <w:spacing w:before="240" w:line="360" w:lineRule="auto"/>
        <w:jc w:val="both"/>
        <w:rPr>
          <w:rFonts w:ascii="Times New Roman" w:hAnsi="Times New Roman" w:cs="Times New Roman"/>
          <w:sz w:val="24"/>
        </w:rPr>
      </w:pPr>
      <w:r w:rsidRPr="005362D8">
        <w:rPr>
          <w:rFonts w:ascii="Times New Roman" w:hAnsi="Times New Roman" w:cs="Times New Roman"/>
          <w:sz w:val="24"/>
        </w:rPr>
        <w:lastRenderedPageBreak/>
        <w:t xml:space="preserve">ZBÍRAL, Robert. Analýza návrhu nařízení zakládajícího Úřad evropského veřejného žalobce a perspektivy jeho přijetí: zlom v europeizaci trestního práva? </w:t>
      </w:r>
      <w:r w:rsidRPr="005362D8">
        <w:rPr>
          <w:rFonts w:ascii="Times New Roman" w:hAnsi="Times New Roman" w:cs="Times New Roman"/>
          <w:i/>
          <w:sz w:val="24"/>
        </w:rPr>
        <w:t>Státní zastupitelství</w:t>
      </w:r>
      <w:r w:rsidRPr="005362D8">
        <w:rPr>
          <w:rFonts w:ascii="Times New Roman" w:hAnsi="Times New Roman" w:cs="Times New Roman"/>
          <w:sz w:val="24"/>
        </w:rPr>
        <w:t>, 2013, roč. 11, č. 6, s. 30-38.</w:t>
      </w:r>
    </w:p>
    <w:p w:rsidR="00191B9E" w:rsidRDefault="00191B9E" w:rsidP="00F66743">
      <w:pPr>
        <w:spacing w:before="240" w:line="360" w:lineRule="auto"/>
        <w:jc w:val="both"/>
        <w:rPr>
          <w:rFonts w:ascii="Times New Roman" w:hAnsi="Times New Roman" w:cs="Times New Roman"/>
          <w:sz w:val="24"/>
          <w:szCs w:val="24"/>
        </w:rPr>
      </w:pPr>
      <w:r w:rsidRPr="006E6C2D">
        <w:rPr>
          <w:rFonts w:ascii="Times New Roman" w:hAnsi="Times New Roman" w:cs="Times New Roman"/>
          <w:sz w:val="24"/>
          <w:szCs w:val="24"/>
        </w:rPr>
        <w:t xml:space="preserve">ZBÍRAL, Robert. </w:t>
      </w:r>
      <w:r w:rsidRPr="006E6C2D">
        <w:rPr>
          <w:rFonts w:ascii="Times New Roman" w:hAnsi="Times New Roman" w:cs="Times New Roman"/>
          <w:i/>
          <w:sz w:val="24"/>
          <w:szCs w:val="24"/>
        </w:rPr>
        <w:t>Institucionální rámec Evropské unie</w:t>
      </w:r>
      <w:r w:rsidRPr="006E6C2D">
        <w:rPr>
          <w:rFonts w:ascii="Times New Roman" w:hAnsi="Times New Roman" w:cs="Times New Roman"/>
          <w:sz w:val="24"/>
          <w:szCs w:val="24"/>
        </w:rPr>
        <w:t>.</w:t>
      </w:r>
      <w:r>
        <w:rPr>
          <w:rFonts w:ascii="Times New Roman" w:hAnsi="Times New Roman" w:cs="Times New Roman"/>
          <w:sz w:val="24"/>
          <w:szCs w:val="24"/>
        </w:rPr>
        <w:t xml:space="preserve"> Praha: Linde Praha a. s., 2007. 240 s.</w:t>
      </w:r>
    </w:p>
    <w:p w:rsidR="00191B9E" w:rsidRPr="00DC471E" w:rsidRDefault="00191B9E" w:rsidP="00191B9E">
      <w:pPr>
        <w:spacing w:line="360" w:lineRule="auto"/>
        <w:jc w:val="both"/>
        <w:rPr>
          <w:rFonts w:ascii="Times New Roman" w:hAnsi="Times New Roman" w:cs="Times New Roman"/>
          <w:sz w:val="24"/>
          <w:szCs w:val="24"/>
        </w:rPr>
      </w:pPr>
      <w:r w:rsidRPr="006955E1">
        <w:rPr>
          <w:rFonts w:ascii="Times New Roman" w:hAnsi="Times New Roman" w:cs="Times New Roman"/>
          <w:sz w:val="24"/>
          <w:szCs w:val="24"/>
        </w:rPr>
        <w:t>ZBÍRAL, Robert. Rozdělení k</w:t>
      </w:r>
      <w:r>
        <w:rPr>
          <w:rFonts w:ascii="Times New Roman" w:hAnsi="Times New Roman" w:cs="Times New Roman"/>
          <w:sz w:val="24"/>
          <w:szCs w:val="24"/>
        </w:rPr>
        <w:t>ompetencí mezi Evropskou unií a členskými státy. In</w:t>
      </w:r>
      <w:r w:rsidRPr="006955E1">
        <w:rPr>
          <w:rFonts w:ascii="Times New Roman" w:hAnsi="Times New Roman" w:cs="Times New Roman"/>
          <w:sz w:val="24"/>
          <w:szCs w:val="24"/>
        </w:rPr>
        <w:t xml:space="preserve"> KLÍMA, Karel a kol. </w:t>
      </w:r>
      <w:r w:rsidRPr="00794E7D">
        <w:rPr>
          <w:rFonts w:ascii="Times New Roman" w:hAnsi="Times New Roman" w:cs="Times New Roman"/>
          <w:i/>
          <w:sz w:val="24"/>
          <w:szCs w:val="24"/>
        </w:rPr>
        <w:t>Evropské právo</w:t>
      </w:r>
      <w:r w:rsidRPr="006955E1">
        <w:rPr>
          <w:rFonts w:ascii="Times New Roman" w:hAnsi="Times New Roman" w:cs="Times New Roman"/>
          <w:sz w:val="24"/>
          <w:szCs w:val="24"/>
        </w:rPr>
        <w:t>. Plzeň: Aleš Čeněk, 2011, s. 225-241</w:t>
      </w:r>
      <w:r>
        <w:rPr>
          <w:rFonts w:ascii="Times New Roman" w:hAnsi="Times New Roman" w:cs="Times New Roman"/>
          <w:sz w:val="24"/>
          <w:szCs w:val="24"/>
        </w:rPr>
        <w:t>.</w:t>
      </w:r>
    </w:p>
    <w:p w:rsidR="00A37C14" w:rsidRDefault="00A37C14"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2D4154">
      <w:pPr>
        <w:spacing w:line="360" w:lineRule="auto"/>
        <w:jc w:val="both"/>
        <w:rPr>
          <w:rFonts w:ascii="Times New Roman" w:hAnsi="Times New Roman" w:cs="Times New Roman"/>
          <w:sz w:val="24"/>
        </w:rPr>
      </w:pPr>
    </w:p>
    <w:p w:rsidR="006B1B67" w:rsidRDefault="006B1B67" w:rsidP="006B1B67">
      <w:pPr>
        <w:pStyle w:val="Nadpis1"/>
      </w:pPr>
      <w:bookmarkStart w:id="38" w:name="_Toc478235184"/>
      <w:r>
        <w:lastRenderedPageBreak/>
        <w:t>Abstrakt</w:t>
      </w:r>
      <w:bookmarkEnd w:id="38"/>
    </w:p>
    <w:p w:rsidR="006B1B67" w:rsidRDefault="006B1B67" w:rsidP="006B1B67"/>
    <w:p w:rsidR="00600D1F" w:rsidRPr="00600D1F" w:rsidRDefault="00600D1F" w:rsidP="00600D1F">
      <w:pPr>
        <w:spacing w:line="360" w:lineRule="auto"/>
        <w:ind w:firstLine="708"/>
        <w:jc w:val="both"/>
        <w:rPr>
          <w:rFonts w:ascii="Times New Roman" w:hAnsi="Times New Roman" w:cs="Times New Roman"/>
          <w:sz w:val="24"/>
          <w:szCs w:val="24"/>
        </w:rPr>
      </w:pPr>
      <w:r w:rsidRPr="00600D1F">
        <w:rPr>
          <w:rFonts w:ascii="Times New Roman" w:hAnsi="Times New Roman" w:cs="Times New Roman"/>
          <w:sz w:val="24"/>
          <w:szCs w:val="24"/>
        </w:rPr>
        <w:t xml:space="preserve">Práce je zaměřena především na systém včasného varování, jehož hlavními aktéry jsou Komise a národní parlamenty členských států EU. Těm byla Lisabonskou smlouvou dána role strážců zásady subsidiarity. Jde o politicko-právní princip, který se uplatňuje v oblasti sdílených pravomocí EU a členských států. Dílčím cílem práce bylo poskytnout přehled rolí, ve kterých se parlamenty zapojují do procesu evropské integrace. Hlavním cílem bylo zhodnocení fungování systému včasného varování. Práce odpovídá na otázku, zda je právně zakotvený dohled nad dodržováním zásady subsidiarity ze strany parlamentů skutečně funkční. Zkoumána byla právní úprava systému včasného varování. S využitím širokého spektra pramenů je pospáno a rozebráno jeho uplatňování v praxi. Pozornost byla věnována odůvodňování návrhů, odůvodněným stanoviskům, reakcím na odůvodněná stanoviska, jakož i procesním mechanismům v rámci parlamentů. Přiblíženy byly případy dosavadních žlutých karet. Ověřovány byly také dvě hypotézy. První hypotéza, že Komise vychází z užšího pojetí testu subsidiarity, zatímco národní parlamenty se přiklání k širšímu konceptu, byla v textu potvrzena. To platí i pro druhou hypotézu, že odůvodněná stanoviska národních parlamentů nemají ani ve větším počtu podstatný vliv na stažení, další projednávání či přijetí návrhu legislativního aktu. Nejen na základě potvrzených hypotéz tak práce přináší na výzkumnou otázku negativní odpověď. Celkový dopad systému včasného varování na legislativní proces EU a jeho výstupy je malý. Nástroj výrazněji nepřispívá ke zvýšení demokratické legitimity EU. Vedle provedeného zhodnocení fungování systému včasného varování práce přispívá k prohloubení poznání zkoumané oblasti. Užitečné mohou být i návrhy de lege </w:t>
      </w:r>
      <w:proofErr w:type="spellStart"/>
      <w:r w:rsidRPr="00600D1F">
        <w:rPr>
          <w:rFonts w:ascii="Times New Roman" w:hAnsi="Times New Roman" w:cs="Times New Roman"/>
          <w:sz w:val="24"/>
          <w:szCs w:val="24"/>
        </w:rPr>
        <w:t>ferenda</w:t>
      </w:r>
      <w:proofErr w:type="spellEnd"/>
      <w:r w:rsidRPr="00600D1F">
        <w:rPr>
          <w:rFonts w:ascii="Times New Roman" w:hAnsi="Times New Roman" w:cs="Times New Roman"/>
          <w:sz w:val="24"/>
          <w:szCs w:val="24"/>
        </w:rPr>
        <w:t xml:space="preserve"> představené v závěru.</w:t>
      </w:r>
    </w:p>
    <w:p w:rsidR="006B1B67" w:rsidRDefault="006B1B67"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6B1B67"/>
    <w:p w:rsidR="00134EB6" w:rsidRDefault="00134EB6" w:rsidP="00134EB6">
      <w:pPr>
        <w:pStyle w:val="Nadpis1"/>
      </w:pPr>
      <w:bookmarkStart w:id="39" w:name="_Toc478235185"/>
      <w:proofErr w:type="spellStart"/>
      <w:r>
        <w:lastRenderedPageBreak/>
        <w:t>Abstract</w:t>
      </w:r>
      <w:bookmarkEnd w:id="39"/>
      <w:proofErr w:type="spellEnd"/>
    </w:p>
    <w:p w:rsidR="00134EB6" w:rsidRDefault="00134EB6" w:rsidP="00134EB6"/>
    <w:p w:rsidR="00134EB6" w:rsidRPr="00134EB6" w:rsidRDefault="00134EB6" w:rsidP="00134EB6">
      <w:pPr>
        <w:spacing w:line="360" w:lineRule="auto"/>
        <w:ind w:firstLine="708"/>
        <w:jc w:val="both"/>
        <w:rPr>
          <w:rFonts w:ascii="Times New Roman" w:hAnsi="Times New Roman" w:cs="Times New Roman"/>
          <w:sz w:val="24"/>
          <w:szCs w:val="24"/>
          <w:lang w:val="en-US"/>
        </w:rPr>
      </w:pPr>
      <w:r w:rsidRPr="00134EB6">
        <w:rPr>
          <w:rFonts w:ascii="Times New Roman" w:hAnsi="Times New Roman" w:cs="Times New Roman"/>
          <w:sz w:val="24"/>
          <w:szCs w:val="24"/>
          <w:lang w:val="en-US"/>
        </w:rPr>
        <w:t xml:space="preserve">The thesis focuses especially on the early warning system. The Commission and the national parliaments of the member states of the EU are the main players of this system. By the Treaty of </w:t>
      </w:r>
      <w:proofErr w:type="gramStart"/>
      <w:r w:rsidRPr="00134EB6">
        <w:rPr>
          <w:rFonts w:ascii="Times New Roman" w:hAnsi="Times New Roman" w:cs="Times New Roman"/>
          <w:sz w:val="24"/>
          <w:szCs w:val="24"/>
          <w:lang w:val="en-US"/>
        </w:rPr>
        <w:t>Lisbon</w:t>
      </w:r>
      <w:proofErr w:type="gramEnd"/>
      <w:r w:rsidRPr="00134EB6">
        <w:rPr>
          <w:rFonts w:ascii="Times New Roman" w:hAnsi="Times New Roman" w:cs="Times New Roman"/>
          <w:sz w:val="24"/>
          <w:szCs w:val="24"/>
          <w:lang w:val="en-US"/>
        </w:rPr>
        <w:t xml:space="preserve"> the national parliaments were given the role of the guardians of the principle of subsidiarity. It is the political and legal principle, which is applicable to the competences shared between the EU and the member states. The partial goal of the thesis was to provide the overview of the roles, in which the parliaments are involved in the process of the EU integration. The main goal was to evaluate how the early warning system works. The thesis provides the answer to the following question. Is the legally enshrined supervision over the principle of subsidiarity </w:t>
      </w:r>
      <w:proofErr w:type="gramStart"/>
      <w:r w:rsidRPr="00134EB6">
        <w:rPr>
          <w:rFonts w:ascii="Times New Roman" w:hAnsi="Times New Roman" w:cs="Times New Roman"/>
          <w:sz w:val="24"/>
          <w:szCs w:val="24"/>
          <w:lang w:val="en-US"/>
        </w:rPr>
        <w:t>really effective</w:t>
      </w:r>
      <w:proofErr w:type="gramEnd"/>
      <w:r w:rsidRPr="00134EB6">
        <w:rPr>
          <w:rFonts w:ascii="Times New Roman" w:hAnsi="Times New Roman" w:cs="Times New Roman"/>
          <w:sz w:val="24"/>
          <w:szCs w:val="24"/>
          <w:lang w:val="en-US"/>
        </w:rPr>
        <w:t>? The early warning system legislation was explored. How the system works in practice was described and analyzed using the wide spectrum of the sources. Special attention was paid to the subsidiarity justifications, the reasoned opinions, the reactions and to the procedural mechanisms within the parliaments. The parliaments have issued three yellow cards so far. These were analyzed. Two hypotheses were laid down. First hypothesis that the Commission applies a narrower concept of the subsidiarity test, while parliaments tend to a broader concept, was confirmed in the text. Second hypothesis, that even in a higher number reasoned opinions issued by the national parliaments don´t significantly affect legislative proposals in terms of their withdrawal or adoption,</w:t>
      </w:r>
      <w:r w:rsidR="00287FC6">
        <w:rPr>
          <w:rFonts w:ascii="Times New Roman" w:hAnsi="Times New Roman" w:cs="Times New Roman"/>
          <w:sz w:val="24"/>
          <w:szCs w:val="24"/>
          <w:lang w:val="en-US"/>
        </w:rPr>
        <w:t xml:space="preserve"> was confirmed as well</w:t>
      </w:r>
      <w:r w:rsidRPr="00134EB6">
        <w:rPr>
          <w:rFonts w:ascii="Times New Roman" w:hAnsi="Times New Roman" w:cs="Times New Roman"/>
          <w:sz w:val="24"/>
          <w:szCs w:val="24"/>
          <w:lang w:val="en-US"/>
        </w:rPr>
        <w:t xml:space="preserve">. Not only </w:t>
      </w:r>
      <w:proofErr w:type="gramStart"/>
      <w:r w:rsidRPr="00134EB6">
        <w:rPr>
          <w:rFonts w:ascii="Times New Roman" w:hAnsi="Times New Roman" w:cs="Times New Roman"/>
          <w:sz w:val="24"/>
          <w:szCs w:val="24"/>
          <w:lang w:val="en-US"/>
        </w:rPr>
        <w:t>on the basis of</w:t>
      </w:r>
      <w:proofErr w:type="gramEnd"/>
      <w:r w:rsidRPr="00134EB6">
        <w:rPr>
          <w:rFonts w:ascii="Times New Roman" w:hAnsi="Times New Roman" w:cs="Times New Roman"/>
          <w:sz w:val="24"/>
          <w:szCs w:val="24"/>
          <w:lang w:val="en-US"/>
        </w:rPr>
        <w:t xml:space="preserve"> the confirmed hypotheses the thesis brings the negative answer to the main research question. The total impact of the early warning system on the EU legislative procedure and its outcomes is small. The instrument doesn´t significantly contribute to an improvement of the democratic legitimacy of the EU. Besides the evaluation of the early warning system the thesis contributes to an improvement of knowledge in the researched area. The proposals de </w:t>
      </w:r>
      <w:proofErr w:type="spellStart"/>
      <w:r w:rsidRPr="00134EB6">
        <w:rPr>
          <w:rFonts w:ascii="Times New Roman" w:hAnsi="Times New Roman" w:cs="Times New Roman"/>
          <w:sz w:val="24"/>
          <w:szCs w:val="24"/>
          <w:lang w:val="en-US"/>
        </w:rPr>
        <w:t>lege</w:t>
      </w:r>
      <w:proofErr w:type="spellEnd"/>
      <w:r w:rsidRPr="00134EB6">
        <w:rPr>
          <w:rFonts w:ascii="Times New Roman" w:hAnsi="Times New Roman" w:cs="Times New Roman"/>
          <w:sz w:val="24"/>
          <w:szCs w:val="24"/>
          <w:lang w:val="en-US"/>
        </w:rPr>
        <w:t xml:space="preserve"> </w:t>
      </w:r>
      <w:proofErr w:type="spellStart"/>
      <w:r w:rsidRPr="00134EB6">
        <w:rPr>
          <w:rFonts w:ascii="Times New Roman" w:hAnsi="Times New Roman" w:cs="Times New Roman"/>
          <w:sz w:val="24"/>
          <w:szCs w:val="24"/>
          <w:lang w:val="en-US"/>
        </w:rPr>
        <w:t>ferenda</w:t>
      </w:r>
      <w:proofErr w:type="spellEnd"/>
      <w:r w:rsidRPr="00134EB6">
        <w:rPr>
          <w:rFonts w:ascii="Times New Roman" w:hAnsi="Times New Roman" w:cs="Times New Roman"/>
          <w:sz w:val="24"/>
          <w:szCs w:val="24"/>
          <w:lang w:val="en-US"/>
        </w:rPr>
        <w:t xml:space="preserve"> introduced in the conclusion could be useful as well. </w:t>
      </w:r>
    </w:p>
    <w:p w:rsidR="00134EB6" w:rsidRDefault="00134EB6" w:rsidP="00134EB6"/>
    <w:p w:rsidR="00C15CCB" w:rsidRDefault="00C15CCB" w:rsidP="00134EB6"/>
    <w:p w:rsidR="00C15CCB" w:rsidRDefault="00C15CCB" w:rsidP="00134EB6"/>
    <w:p w:rsidR="00C15CCB" w:rsidRDefault="00C15CCB" w:rsidP="00134EB6"/>
    <w:p w:rsidR="00C15CCB" w:rsidRDefault="00C15CCB" w:rsidP="00134EB6"/>
    <w:p w:rsidR="00C15CCB" w:rsidRDefault="00C15CCB" w:rsidP="00134EB6"/>
    <w:p w:rsidR="00C15CCB" w:rsidRDefault="00C15CCB" w:rsidP="00134EB6"/>
    <w:p w:rsidR="00C15CCB" w:rsidRDefault="00C15CCB" w:rsidP="00134EB6"/>
    <w:p w:rsidR="00C15CCB" w:rsidRDefault="00C15CCB" w:rsidP="00C15CCB">
      <w:pPr>
        <w:pStyle w:val="Nadpis1"/>
      </w:pPr>
      <w:bookmarkStart w:id="40" w:name="_Toc478235186"/>
      <w:r>
        <w:lastRenderedPageBreak/>
        <w:t>Klíčová slova</w:t>
      </w:r>
      <w:bookmarkEnd w:id="40"/>
    </w:p>
    <w:p w:rsidR="00C15CCB" w:rsidRDefault="00C15CCB" w:rsidP="00C15CCB"/>
    <w:p w:rsidR="00C15CCB" w:rsidRDefault="009B4ACC" w:rsidP="008A74B0">
      <w:pPr>
        <w:ind w:firstLine="708"/>
        <w:jc w:val="both"/>
        <w:rPr>
          <w:rFonts w:ascii="Times New Roman" w:hAnsi="Times New Roman" w:cs="Times New Roman"/>
          <w:sz w:val="24"/>
          <w:szCs w:val="24"/>
        </w:rPr>
      </w:pPr>
      <w:r w:rsidRPr="008E3D29">
        <w:rPr>
          <w:rFonts w:ascii="Times New Roman" w:hAnsi="Times New Roman" w:cs="Times New Roman"/>
          <w:sz w:val="24"/>
          <w:szCs w:val="24"/>
        </w:rPr>
        <w:t>národní parlamenty, odůvodněná stanoviska, princip subsidiarity, systém včasného varování, žluté karty</w:t>
      </w:r>
    </w:p>
    <w:p w:rsidR="00AF7CBA" w:rsidRDefault="00AF7CBA" w:rsidP="00AF7CBA">
      <w:pPr>
        <w:rPr>
          <w:rFonts w:ascii="Times New Roman" w:hAnsi="Times New Roman" w:cs="Times New Roman"/>
          <w:sz w:val="24"/>
          <w:szCs w:val="24"/>
        </w:rPr>
      </w:pPr>
    </w:p>
    <w:p w:rsidR="00AF7CBA" w:rsidRDefault="00AF7CBA" w:rsidP="00AF7CBA">
      <w:pPr>
        <w:pStyle w:val="Nadpis1"/>
      </w:pPr>
      <w:bookmarkStart w:id="41" w:name="_Toc478235187"/>
      <w:proofErr w:type="spellStart"/>
      <w:r>
        <w:t>Keywords</w:t>
      </w:r>
      <w:bookmarkEnd w:id="41"/>
      <w:proofErr w:type="spellEnd"/>
    </w:p>
    <w:p w:rsidR="00AF7CBA" w:rsidRDefault="00AF7CBA" w:rsidP="00AF7CBA"/>
    <w:p w:rsidR="00AF7CBA" w:rsidRDefault="00AF7CBA" w:rsidP="008A74B0">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parliaments</w:t>
      </w:r>
      <w:proofErr w:type="spellEnd"/>
      <w:r w:rsidRPr="008E3D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reasoned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opinions</w:t>
      </w:r>
      <w:proofErr w:type="spellEnd"/>
      <w:r w:rsidRPr="008E3D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subsidiarity</w:t>
      </w:r>
      <w:r w:rsidRPr="008E3D29">
        <w:rPr>
          <w:rFonts w:ascii="Times New Roman" w:hAnsi="Times New Roman" w:cs="Times New Roman"/>
          <w:sz w:val="24"/>
          <w:szCs w:val="24"/>
        </w:rPr>
        <w:t xml:space="preserve">, </w:t>
      </w:r>
      <w:r>
        <w:rPr>
          <w:rFonts w:ascii="Times New Roman" w:hAnsi="Times New Roman" w:cs="Times New Roman"/>
          <w:sz w:val="24"/>
          <w:szCs w:val="24"/>
        </w:rPr>
        <w:t xml:space="preserve">early </w:t>
      </w:r>
      <w:proofErr w:type="spellStart"/>
      <w:r>
        <w:rPr>
          <w:rFonts w:ascii="Times New Roman" w:hAnsi="Times New Roman" w:cs="Times New Roman"/>
          <w:sz w:val="24"/>
          <w:szCs w:val="24"/>
        </w:rPr>
        <w:t>warning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sidRPr="008E3D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yellow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cards</w:t>
      </w:r>
      <w:proofErr w:type="spellEnd"/>
    </w:p>
    <w:p w:rsidR="00AF7CBA" w:rsidRPr="00AF7CBA" w:rsidRDefault="00AF7CBA" w:rsidP="00AF7CBA"/>
    <w:sectPr w:rsidR="00AF7CBA" w:rsidRPr="00AF7CBA" w:rsidSect="00164BCF">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3E" w:rsidRDefault="000B0B3E" w:rsidP="00D433B1">
      <w:pPr>
        <w:spacing w:after="0" w:line="240" w:lineRule="auto"/>
      </w:pPr>
      <w:r>
        <w:separator/>
      </w:r>
    </w:p>
  </w:endnote>
  <w:endnote w:type="continuationSeparator" w:id="0">
    <w:p w:rsidR="000B0B3E" w:rsidRDefault="000B0B3E" w:rsidP="00D4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79671"/>
      <w:docPartObj>
        <w:docPartGallery w:val="Page Numbers (Bottom of Page)"/>
        <w:docPartUnique/>
      </w:docPartObj>
    </w:sdtPr>
    <w:sdtEndPr/>
    <w:sdtContent>
      <w:p w:rsidR="00076524" w:rsidRDefault="00076524">
        <w:pPr>
          <w:pStyle w:val="Zpat"/>
          <w:jc w:val="center"/>
        </w:pPr>
        <w:r>
          <w:fldChar w:fldCharType="begin"/>
        </w:r>
        <w:r>
          <w:instrText>PAGE   \* MERGEFORMAT</w:instrText>
        </w:r>
        <w:r>
          <w:fldChar w:fldCharType="separate"/>
        </w:r>
        <w:r w:rsidR="006E5159">
          <w:rPr>
            <w:noProof/>
          </w:rPr>
          <w:t>15</w:t>
        </w:r>
        <w:r>
          <w:fldChar w:fldCharType="end"/>
        </w:r>
      </w:p>
    </w:sdtContent>
  </w:sdt>
  <w:p w:rsidR="00076524" w:rsidRDefault="000765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3E" w:rsidRDefault="000B0B3E" w:rsidP="00D433B1">
      <w:pPr>
        <w:spacing w:after="0" w:line="240" w:lineRule="auto"/>
      </w:pPr>
      <w:r>
        <w:separator/>
      </w:r>
    </w:p>
  </w:footnote>
  <w:footnote w:type="continuationSeparator" w:id="0">
    <w:p w:rsidR="000B0B3E" w:rsidRDefault="000B0B3E" w:rsidP="00D433B1">
      <w:pPr>
        <w:spacing w:after="0" w:line="240" w:lineRule="auto"/>
      </w:pPr>
      <w:r>
        <w:continuationSeparator/>
      </w:r>
    </w:p>
  </w:footnote>
  <w:footnote w:id="1">
    <w:p w:rsidR="00076524" w:rsidRPr="00CB77E3" w:rsidRDefault="00076524" w:rsidP="00435E48">
      <w:pPr>
        <w:pStyle w:val="Textpoznpodarou"/>
        <w:jc w:val="both"/>
        <w:rPr>
          <w:rFonts w:ascii="Times New Roman" w:hAnsi="Times New Roman" w:cs="Times New Roman"/>
        </w:rPr>
      </w:pPr>
      <w:r w:rsidRPr="00CB77E3">
        <w:rPr>
          <w:rStyle w:val="Znakapoznpodarou"/>
          <w:rFonts w:ascii="Times New Roman" w:hAnsi="Times New Roman" w:cs="Times New Roman"/>
        </w:rPr>
        <w:footnoteRef/>
      </w:r>
      <w:r w:rsidRPr="00CB77E3">
        <w:rPr>
          <w:rFonts w:ascii="Times New Roman" w:hAnsi="Times New Roman" w:cs="Times New Roman"/>
        </w:rPr>
        <w:t xml:space="preserve"> Pro širší význam termínu pravomoc či kompetence viz </w:t>
      </w:r>
      <w:r w:rsidRPr="007C1F90">
        <w:rPr>
          <w:rFonts w:ascii="Times New Roman" w:hAnsi="Times New Roman" w:cs="Times New Roman"/>
        </w:rPr>
        <w:t>SYLLOVÁ, Jindřiška. In</w:t>
      </w:r>
      <w:r>
        <w:rPr>
          <w:rFonts w:ascii="Times New Roman" w:hAnsi="Times New Roman" w:cs="Times New Roman"/>
        </w:rPr>
        <w:t xml:space="preserve"> </w:t>
      </w:r>
      <w:r w:rsidRPr="00CB77E3">
        <w:rPr>
          <w:rFonts w:ascii="Times New Roman" w:hAnsi="Times New Roman" w:cs="Times New Roman"/>
        </w:rPr>
        <w:t xml:space="preserve">SYLLOVÁ, Jindřiška a kol. </w:t>
      </w:r>
      <w:r w:rsidRPr="00CB77E3">
        <w:rPr>
          <w:rFonts w:ascii="Times New Roman" w:hAnsi="Times New Roman" w:cs="Times New Roman"/>
          <w:i/>
        </w:rPr>
        <w:t>Lisabonská smlouva: komentář</w:t>
      </w:r>
      <w:r w:rsidRPr="00CB77E3">
        <w:rPr>
          <w:rFonts w:ascii="Times New Roman" w:hAnsi="Times New Roman" w:cs="Times New Roman"/>
        </w:rPr>
        <w:t xml:space="preserve">. Praha: </w:t>
      </w:r>
      <w:proofErr w:type="spellStart"/>
      <w:r w:rsidRPr="00CB77E3">
        <w:rPr>
          <w:rFonts w:ascii="Times New Roman" w:hAnsi="Times New Roman" w:cs="Times New Roman"/>
        </w:rPr>
        <w:t>C.H.Beck</w:t>
      </w:r>
      <w:proofErr w:type="spellEnd"/>
      <w:r w:rsidRPr="00CB77E3">
        <w:rPr>
          <w:rFonts w:ascii="Times New Roman" w:hAnsi="Times New Roman" w:cs="Times New Roman"/>
        </w:rPr>
        <w:t xml:space="preserve">, 2010, s. 25 (čl. 5 SEU). A viz také SVOBODA, Pavel. </w:t>
      </w:r>
      <w:r w:rsidRPr="00CB77E3">
        <w:rPr>
          <w:rFonts w:ascii="Times New Roman" w:hAnsi="Times New Roman" w:cs="Times New Roman"/>
          <w:i/>
        </w:rPr>
        <w:t>Úvod do evropského práva</w:t>
      </w:r>
      <w:r w:rsidRPr="00CB77E3">
        <w:rPr>
          <w:rFonts w:ascii="Times New Roman" w:hAnsi="Times New Roman" w:cs="Times New Roman"/>
        </w:rPr>
        <w:t xml:space="preserve">. 5. vydání. Praha: </w:t>
      </w:r>
      <w:proofErr w:type="spellStart"/>
      <w:r w:rsidRPr="00CB77E3">
        <w:rPr>
          <w:rFonts w:ascii="Times New Roman" w:hAnsi="Times New Roman" w:cs="Times New Roman"/>
        </w:rPr>
        <w:t>C.H.Beck</w:t>
      </w:r>
      <w:proofErr w:type="spellEnd"/>
      <w:r w:rsidRPr="00CB77E3">
        <w:rPr>
          <w:rFonts w:ascii="Times New Roman" w:hAnsi="Times New Roman" w:cs="Times New Roman"/>
        </w:rPr>
        <w:t>, 2013, s. 46.</w:t>
      </w:r>
    </w:p>
  </w:footnote>
  <w:footnote w:id="2">
    <w:p w:rsidR="00076524" w:rsidRPr="00CB77E3" w:rsidRDefault="00076524" w:rsidP="00A16832">
      <w:pPr>
        <w:pStyle w:val="Textpoznpodarou"/>
        <w:jc w:val="both"/>
        <w:rPr>
          <w:rFonts w:ascii="Times New Roman" w:hAnsi="Times New Roman" w:cs="Times New Roman"/>
        </w:rPr>
      </w:pPr>
      <w:r w:rsidRPr="00CB77E3">
        <w:rPr>
          <w:rStyle w:val="Znakapoznpodarou"/>
          <w:rFonts w:ascii="Times New Roman" w:hAnsi="Times New Roman" w:cs="Times New Roman"/>
        </w:rPr>
        <w:footnoteRef/>
      </w:r>
      <w:r w:rsidRPr="00CB77E3">
        <w:rPr>
          <w:rFonts w:ascii="Times New Roman" w:hAnsi="Times New Roman" w:cs="Times New Roman"/>
        </w:rPr>
        <w:t xml:space="preserve"> Správný je však dle našeho názoru i argument o chybějící politické soutěži ve vztahu k EU. To se týká jak národní, tak </w:t>
      </w:r>
      <w:proofErr w:type="spellStart"/>
      <w:r w:rsidRPr="00CB77E3">
        <w:rPr>
          <w:rFonts w:ascii="Times New Roman" w:hAnsi="Times New Roman" w:cs="Times New Roman"/>
        </w:rPr>
        <w:t>supranacionální</w:t>
      </w:r>
      <w:proofErr w:type="spellEnd"/>
      <w:r w:rsidRPr="00CB77E3">
        <w:rPr>
          <w:rFonts w:ascii="Times New Roman" w:hAnsi="Times New Roman" w:cs="Times New Roman"/>
        </w:rPr>
        <w:t xml:space="preserve"> úrovně. Viz FOLLESDAL, Andreas, HIX, Simon. </w:t>
      </w:r>
      <w:proofErr w:type="spellStart"/>
      <w:r w:rsidRPr="00CB77E3">
        <w:rPr>
          <w:rFonts w:ascii="Times New Roman" w:hAnsi="Times New Roman" w:cs="Times New Roman"/>
        </w:rPr>
        <w:t>Why</w:t>
      </w:r>
      <w:proofErr w:type="spellEnd"/>
      <w:r w:rsidRPr="00CB77E3">
        <w:rPr>
          <w:rFonts w:ascii="Times New Roman" w:hAnsi="Times New Roman" w:cs="Times New Roman"/>
        </w:rPr>
        <w:t xml:space="preserve"> </w:t>
      </w:r>
      <w:proofErr w:type="spellStart"/>
      <w:r w:rsidRPr="00CB77E3">
        <w:rPr>
          <w:rFonts w:ascii="Times New Roman" w:hAnsi="Times New Roman" w:cs="Times New Roman"/>
        </w:rPr>
        <w:t>There</w:t>
      </w:r>
      <w:proofErr w:type="spellEnd"/>
      <w:r w:rsidRPr="00CB77E3">
        <w:rPr>
          <w:rFonts w:ascii="Times New Roman" w:hAnsi="Times New Roman" w:cs="Times New Roman"/>
        </w:rPr>
        <w:t xml:space="preserve"> </w:t>
      </w:r>
      <w:proofErr w:type="spellStart"/>
      <w:r w:rsidRPr="00CB77E3">
        <w:rPr>
          <w:rFonts w:ascii="Times New Roman" w:hAnsi="Times New Roman" w:cs="Times New Roman"/>
        </w:rPr>
        <w:t>is</w:t>
      </w:r>
      <w:proofErr w:type="spellEnd"/>
      <w:r w:rsidRPr="00CB77E3">
        <w:rPr>
          <w:rFonts w:ascii="Times New Roman" w:hAnsi="Times New Roman" w:cs="Times New Roman"/>
        </w:rPr>
        <w:t xml:space="preserve"> a </w:t>
      </w:r>
      <w:proofErr w:type="spellStart"/>
      <w:r w:rsidRPr="00CB77E3">
        <w:rPr>
          <w:rFonts w:ascii="Times New Roman" w:hAnsi="Times New Roman" w:cs="Times New Roman"/>
        </w:rPr>
        <w:t>Democratic</w:t>
      </w:r>
      <w:proofErr w:type="spellEnd"/>
      <w:r w:rsidRPr="00CB77E3">
        <w:rPr>
          <w:rFonts w:ascii="Times New Roman" w:hAnsi="Times New Roman" w:cs="Times New Roman"/>
        </w:rPr>
        <w:t xml:space="preserve"> Deficit in </w:t>
      </w:r>
      <w:proofErr w:type="spellStart"/>
      <w:r w:rsidRPr="00CB77E3">
        <w:rPr>
          <w:rFonts w:ascii="Times New Roman" w:hAnsi="Times New Roman" w:cs="Times New Roman"/>
        </w:rPr>
        <w:t>the</w:t>
      </w:r>
      <w:proofErr w:type="spellEnd"/>
      <w:r w:rsidRPr="00CB77E3">
        <w:rPr>
          <w:rFonts w:ascii="Times New Roman" w:hAnsi="Times New Roman" w:cs="Times New Roman"/>
        </w:rPr>
        <w:t xml:space="preserve"> EU: A Response to </w:t>
      </w:r>
      <w:proofErr w:type="spellStart"/>
      <w:r w:rsidRPr="00CB77E3">
        <w:rPr>
          <w:rFonts w:ascii="Times New Roman" w:hAnsi="Times New Roman" w:cs="Times New Roman"/>
        </w:rPr>
        <w:t>Majone</w:t>
      </w:r>
      <w:proofErr w:type="spellEnd"/>
      <w:r w:rsidRPr="00CB77E3">
        <w:rPr>
          <w:rFonts w:ascii="Times New Roman" w:hAnsi="Times New Roman" w:cs="Times New Roman"/>
        </w:rPr>
        <w:t xml:space="preserve"> and </w:t>
      </w:r>
      <w:proofErr w:type="spellStart"/>
      <w:r w:rsidRPr="00CB77E3">
        <w:rPr>
          <w:rFonts w:ascii="Times New Roman" w:hAnsi="Times New Roman" w:cs="Times New Roman"/>
        </w:rPr>
        <w:t>Moravcsik</w:t>
      </w:r>
      <w:proofErr w:type="spellEnd"/>
      <w:r w:rsidRPr="00CB77E3">
        <w:rPr>
          <w:rFonts w:ascii="Times New Roman" w:hAnsi="Times New Roman" w:cs="Times New Roman"/>
        </w:rPr>
        <w:t xml:space="preserve">. </w:t>
      </w:r>
      <w:proofErr w:type="spellStart"/>
      <w:r w:rsidRPr="00CB77E3">
        <w:rPr>
          <w:rFonts w:ascii="Times New Roman" w:hAnsi="Times New Roman" w:cs="Times New Roman"/>
          <w:i/>
        </w:rPr>
        <w:t>Journal</w:t>
      </w:r>
      <w:proofErr w:type="spellEnd"/>
      <w:r w:rsidRPr="00CB77E3">
        <w:rPr>
          <w:rFonts w:ascii="Times New Roman" w:hAnsi="Times New Roman" w:cs="Times New Roman"/>
          <w:i/>
        </w:rPr>
        <w:t xml:space="preserve"> </w:t>
      </w:r>
      <w:proofErr w:type="spellStart"/>
      <w:r w:rsidRPr="00CB77E3">
        <w:rPr>
          <w:rFonts w:ascii="Times New Roman" w:hAnsi="Times New Roman" w:cs="Times New Roman"/>
          <w:i/>
        </w:rPr>
        <w:t>of</w:t>
      </w:r>
      <w:proofErr w:type="spellEnd"/>
      <w:r w:rsidRPr="00CB77E3">
        <w:rPr>
          <w:rFonts w:ascii="Times New Roman" w:hAnsi="Times New Roman" w:cs="Times New Roman"/>
          <w:i/>
        </w:rPr>
        <w:t xml:space="preserve"> </w:t>
      </w:r>
      <w:proofErr w:type="spellStart"/>
      <w:r w:rsidRPr="00CB77E3">
        <w:rPr>
          <w:rFonts w:ascii="Times New Roman" w:hAnsi="Times New Roman" w:cs="Times New Roman"/>
          <w:i/>
        </w:rPr>
        <w:t>Common</w:t>
      </w:r>
      <w:proofErr w:type="spellEnd"/>
      <w:r w:rsidRPr="00CB77E3">
        <w:rPr>
          <w:rFonts w:ascii="Times New Roman" w:hAnsi="Times New Roman" w:cs="Times New Roman"/>
          <w:i/>
        </w:rPr>
        <w:t xml:space="preserve"> Market </w:t>
      </w:r>
      <w:proofErr w:type="spellStart"/>
      <w:r w:rsidRPr="00CB77E3">
        <w:rPr>
          <w:rFonts w:ascii="Times New Roman" w:hAnsi="Times New Roman" w:cs="Times New Roman"/>
          <w:i/>
        </w:rPr>
        <w:t>Studies</w:t>
      </w:r>
      <w:proofErr w:type="spellEnd"/>
      <w:r w:rsidRPr="00CB77E3">
        <w:rPr>
          <w:rFonts w:ascii="Times New Roman" w:hAnsi="Times New Roman" w:cs="Times New Roman"/>
        </w:rPr>
        <w:t>, 2006, vol. 44, no. 3, s. 552.</w:t>
      </w:r>
    </w:p>
  </w:footnote>
  <w:footnote w:id="3">
    <w:p w:rsidR="00076524" w:rsidRDefault="00076524" w:rsidP="00435E48">
      <w:pPr>
        <w:pStyle w:val="Textpoznpodarou"/>
        <w:jc w:val="both"/>
      </w:pPr>
      <w:r w:rsidRPr="00CB77E3">
        <w:rPr>
          <w:rStyle w:val="Znakapoznpodarou"/>
          <w:rFonts w:ascii="Times New Roman" w:hAnsi="Times New Roman" w:cs="Times New Roman"/>
        </w:rPr>
        <w:footnoteRef/>
      </w:r>
      <w:r w:rsidRPr="00CB77E3">
        <w:rPr>
          <w:rFonts w:ascii="Times New Roman" w:hAnsi="Times New Roman" w:cs="Times New Roman"/>
        </w:rPr>
        <w:t xml:space="preserve"> Viz čl. 10 odst. 1 SEU</w:t>
      </w:r>
      <w:r>
        <w:t xml:space="preserve"> </w:t>
      </w:r>
    </w:p>
  </w:footnote>
  <w:footnote w:id="4">
    <w:p w:rsidR="00076524" w:rsidRPr="00B12848" w:rsidRDefault="00076524" w:rsidP="005E758A">
      <w:pPr>
        <w:pStyle w:val="Textpoznpodarou"/>
        <w:jc w:val="both"/>
        <w:rPr>
          <w:rFonts w:ascii="Times New Roman" w:hAnsi="Times New Roman" w:cs="Times New Roman"/>
        </w:rPr>
      </w:pPr>
      <w:r w:rsidRPr="00B12848">
        <w:rPr>
          <w:rStyle w:val="Znakapoznpodarou"/>
          <w:rFonts w:ascii="Times New Roman" w:hAnsi="Times New Roman" w:cs="Times New Roman"/>
        </w:rPr>
        <w:footnoteRef/>
      </w:r>
      <w:r w:rsidRPr="00B12848">
        <w:rPr>
          <w:rFonts w:ascii="Times New Roman" w:hAnsi="Times New Roman" w:cs="Times New Roman"/>
        </w:rPr>
        <w:t xml:space="preserve"> </w:t>
      </w:r>
      <w:r>
        <w:rPr>
          <w:rFonts w:ascii="Times New Roman" w:hAnsi="Times New Roman" w:cs="Times New Roman"/>
        </w:rPr>
        <w:t>Viz např. ÚŘAD VLÁDY</w:t>
      </w:r>
      <w:r w:rsidRPr="00B12848">
        <w:rPr>
          <w:rFonts w:ascii="Times New Roman" w:hAnsi="Times New Roman" w:cs="Times New Roman"/>
        </w:rPr>
        <w:t xml:space="preserve"> ČR. </w:t>
      </w:r>
      <w:r w:rsidRPr="00B12848">
        <w:rPr>
          <w:rFonts w:ascii="Times New Roman" w:hAnsi="Times New Roman" w:cs="Times New Roman"/>
          <w:i/>
        </w:rPr>
        <w:t>Analýza dopadů Lisabonské smlouvy</w:t>
      </w:r>
      <w:r>
        <w:rPr>
          <w:rFonts w:ascii="Times New Roman" w:hAnsi="Times New Roman" w:cs="Times New Roman"/>
        </w:rPr>
        <w:t xml:space="preserve"> [online]. Vláda ČR</w:t>
      </w:r>
      <w:r w:rsidRPr="00B12848">
        <w:rPr>
          <w:rFonts w:ascii="Times New Roman" w:hAnsi="Times New Roman" w:cs="Times New Roman"/>
        </w:rPr>
        <w:t>, 18. ledna 2010 [cit. 28. února 2016]. Dostupné na &lt;http://www.vlada.cz/assets/evropske-zalezitosti/dokumenty/Analyza-dopadu-Lisabonske-smlouvy.pdf&gt;.</w:t>
      </w:r>
    </w:p>
  </w:footnote>
  <w:footnote w:id="5">
    <w:p w:rsidR="00076524" w:rsidRPr="0087298F" w:rsidRDefault="00076524" w:rsidP="005E758A">
      <w:pPr>
        <w:pStyle w:val="Textpoznpodarou"/>
        <w:jc w:val="both"/>
        <w:rPr>
          <w:rFonts w:ascii="Times New Roman" w:hAnsi="Times New Roman" w:cs="Times New Roman"/>
        </w:rPr>
      </w:pPr>
      <w:r w:rsidRPr="0087298F">
        <w:rPr>
          <w:rStyle w:val="Znakapoznpodarou"/>
          <w:rFonts w:ascii="Times New Roman" w:hAnsi="Times New Roman" w:cs="Times New Roman"/>
        </w:rPr>
        <w:footnoteRef/>
      </w:r>
      <w:r w:rsidRPr="0087298F">
        <w:rPr>
          <w:rFonts w:ascii="Times New Roman" w:hAnsi="Times New Roman" w:cs="Times New Roman"/>
        </w:rPr>
        <w:t xml:space="preserve"> KYSELA, Jan. </w:t>
      </w:r>
      <w:r w:rsidRPr="00F47215">
        <w:rPr>
          <w:rFonts w:ascii="Times New Roman" w:hAnsi="Times New Roman" w:cs="Times New Roman"/>
        </w:rPr>
        <w:t>Parlament a parlamentarismus</w:t>
      </w:r>
      <w:r>
        <w:rPr>
          <w:rFonts w:ascii="Times New Roman" w:hAnsi="Times New Roman" w:cs="Times New Roman"/>
        </w:rPr>
        <w:t>. In</w:t>
      </w:r>
      <w:r w:rsidRPr="0087298F">
        <w:rPr>
          <w:rFonts w:ascii="Times New Roman" w:hAnsi="Times New Roman" w:cs="Times New Roman"/>
        </w:rPr>
        <w:t xml:space="preserve"> SYLLOVÁ, Jindřiška a kol. </w:t>
      </w:r>
      <w:r w:rsidRPr="0087298F">
        <w:rPr>
          <w:rFonts w:ascii="Times New Roman" w:hAnsi="Times New Roman" w:cs="Times New Roman"/>
          <w:i/>
        </w:rPr>
        <w:t>Parlament České republiky</w:t>
      </w:r>
      <w:r w:rsidRPr="0087298F">
        <w:rPr>
          <w:rFonts w:ascii="Times New Roman" w:hAnsi="Times New Roman" w:cs="Times New Roman"/>
        </w:rPr>
        <w:t>. 2. vydání. Praha: Linde Praha a. s., 2008, s. 16.</w:t>
      </w:r>
    </w:p>
  </w:footnote>
  <w:footnote w:id="6">
    <w:p w:rsidR="00076524" w:rsidRPr="0087298F" w:rsidRDefault="00076524" w:rsidP="005E758A">
      <w:pPr>
        <w:pStyle w:val="Textpoznpodarou"/>
        <w:jc w:val="both"/>
        <w:rPr>
          <w:rFonts w:ascii="Times New Roman" w:hAnsi="Times New Roman" w:cs="Times New Roman"/>
        </w:rPr>
      </w:pPr>
      <w:r w:rsidRPr="0087298F">
        <w:rPr>
          <w:rStyle w:val="Znakapoznpodarou"/>
          <w:rFonts w:ascii="Times New Roman" w:hAnsi="Times New Roman" w:cs="Times New Roman"/>
        </w:rPr>
        <w:footnoteRef/>
      </w:r>
      <w:r w:rsidRPr="0087298F">
        <w:rPr>
          <w:rFonts w:ascii="Times New Roman" w:hAnsi="Times New Roman" w:cs="Times New Roman"/>
        </w:rPr>
        <w:t xml:space="preserve"> BAXA, Bohumil. </w:t>
      </w:r>
      <w:r w:rsidRPr="0087298F">
        <w:rPr>
          <w:rFonts w:ascii="Times New Roman" w:hAnsi="Times New Roman" w:cs="Times New Roman"/>
          <w:i/>
        </w:rPr>
        <w:t xml:space="preserve">Parlament a </w:t>
      </w:r>
      <w:proofErr w:type="spellStart"/>
      <w:r w:rsidRPr="0087298F">
        <w:rPr>
          <w:rFonts w:ascii="Times New Roman" w:hAnsi="Times New Roman" w:cs="Times New Roman"/>
          <w:i/>
        </w:rPr>
        <w:t>parlamentarism</w:t>
      </w:r>
      <w:proofErr w:type="spellEnd"/>
      <w:r w:rsidRPr="0087298F">
        <w:rPr>
          <w:rFonts w:ascii="Times New Roman" w:hAnsi="Times New Roman" w:cs="Times New Roman"/>
        </w:rPr>
        <w:t>. Praha: Nakladatel Jan Košatka, 1924, s. 7.</w:t>
      </w:r>
    </w:p>
  </w:footnote>
  <w:footnote w:id="7">
    <w:p w:rsidR="00076524" w:rsidRPr="0087298F" w:rsidRDefault="00076524" w:rsidP="005E758A">
      <w:pPr>
        <w:pStyle w:val="Textpoznpodarou"/>
        <w:jc w:val="both"/>
        <w:rPr>
          <w:rFonts w:ascii="Times New Roman" w:hAnsi="Times New Roman" w:cs="Times New Roman"/>
        </w:rPr>
      </w:pPr>
      <w:r w:rsidRPr="0087298F">
        <w:rPr>
          <w:rStyle w:val="Znakapoznpodarou"/>
          <w:rFonts w:ascii="Times New Roman" w:hAnsi="Times New Roman" w:cs="Times New Roman"/>
        </w:rPr>
        <w:footnoteRef/>
      </w:r>
      <w:r w:rsidRPr="0087298F">
        <w:rPr>
          <w:rFonts w:ascii="Times New Roman" w:hAnsi="Times New Roman" w:cs="Times New Roman"/>
        </w:rPr>
        <w:t xml:space="preserve"> Tamtéž, s. 133.</w:t>
      </w:r>
    </w:p>
  </w:footnote>
  <w:footnote w:id="8">
    <w:p w:rsidR="00076524" w:rsidRPr="009653EA" w:rsidRDefault="00076524" w:rsidP="00E05AE8">
      <w:pPr>
        <w:pStyle w:val="Textpoznpodarou"/>
        <w:jc w:val="both"/>
        <w:rPr>
          <w:rFonts w:ascii="Times New Roman" w:hAnsi="Times New Roman" w:cs="Times New Roman"/>
        </w:rPr>
      </w:pPr>
      <w:r>
        <w:rPr>
          <w:rStyle w:val="Znakapoznpodarou"/>
        </w:rPr>
        <w:footnoteRef/>
      </w:r>
      <w:r>
        <w:t xml:space="preserve"> </w:t>
      </w:r>
      <w:r w:rsidRPr="001D20CD">
        <w:rPr>
          <w:rFonts w:ascii="Times New Roman" w:hAnsi="Times New Roman" w:cs="Times New Roman"/>
        </w:rPr>
        <w:t>K</w:t>
      </w:r>
      <w:r>
        <w:rPr>
          <w:rFonts w:ascii="Times New Roman" w:hAnsi="Times New Roman" w:cs="Times New Roman"/>
        </w:rPr>
        <w:t xml:space="preserve"> parlamentům a dělbě moci pak viz např. </w:t>
      </w:r>
      <w:r w:rsidRPr="00867125">
        <w:rPr>
          <w:rFonts w:ascii="Times New Roman" w:hAnsi="Times New Roman" w:cs="Times New Roman"/>
        </w:rPr>
        <w:t xml:space="preserve">HODÁS, Milan. Národní parlament a Lisabonská smlouva. In ŠIŠKOVÁ, Naděžda a kol. </w:t>
      </w:r>
      <w:r w:rsidRPr="00867125">
        <w:rPr>
          <w:rFonts w:ascii="Times New Roman" w:hAnsi="Times New Roman" w:cs="Times New Roman"/>
          <w:i/>
        </w:rPr>
        <w:t>Lisabonská smlouva a její dopady na evropské, mezinárodní a vnitrostátní právo členských států</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2012, s. 13</w:t>
      </w:r>
      <w:r w:rsidRPr="00867125">
        <w:rPr>
          <w:rFonts w:ascii="Times New Roman" w:hAnsi="Times New Roman" w:cs="Times New Roman"/>
        </w:rPr>
        <w:t>4</w:t>
      </w:r>
      <w:r>
        <w:rPr>
          <w:rFonts w:ascii="Times New Roman" w:hAnsi="Times New Roman" w:cs="Times New Roman"/>
        </w:rPr>
        <w:t>-139</w:t>
      </w:r>
      <w:r w:rsidRPr="00867125">
        <w:rPr>
          <w:rFonts w:ascii="Times New Roman" w:hAnsi="Times New Roman" w:cs="Times New Roman"/>
        </w:rPr>
        <w:t>.</w:t>
      </w:r>
      <w:r>
        <w:rPr>
          <w:rFonts w:ascii="Times New Roman" w:hAnsi="Times New Roman" w:cs="Times New Roman"/>
        </w:rPr>
        <w:t xml:space="preserve"> I ve vztahu k dalším částem práce si dovolíme uvést i slova samotného </w:t>
      </w:r>
      <w:r w:rsidRPr="00AD52AB">
        <w:rPr>
          <w:rFonts w:ascii="Times New Roman" w:hAnsi="Times New Roman" w:cs="Times New Roman"/>
        </w:rPr>
        <w:t xml:space="preserve">Charlese </w:t>
      </w:r>
      <w:proofErr w:type="spellStart"/>
      <w:r w:rsidRPr="00AD52AB">
        <w:rPr>
          <w:rFonts w:ascii="Times New Roman" w:hAnsi="Times New Roman" w:cs="Times New Roman"/>
        </w:rPr>
        <w:t>Montesquieua</w:t>
      </w:r>
      <w:proofErr w:type="spellEnd"/>
      <w:r>
        <w:rPr>
          <w:rFonts w:ascii="Times New Roman" w:hAnsi="Times New Roman" w:cs="Times New Roman"/>
        </w:rPr>
        <w:t xml:space="preserve">, který vyřkl, </w:t>
      </w:r>
      <w:r w:rsidRPr="00AD52AB">
        <w:rPr>
          <w:rFonts w:ascii="Times New Roman" w:hAnsi="Times New Roman" w:cs="Times New Roman"/>
        </w:rPr>
        <w:t xml:space="preserve">že </w:t>
      </w:r>
      <w:r w:rsidRPr="00AD52AB">
        <w:rPr>
          <w:rFonts w:ascii="Times New Roman" w:hAnsi="Times New Roman" w:cs="Times New Roman"/>
          <w:i/>
        </w:rPr>
        <w:t>„aby nikdo nemohl moci zneužívat, musí to být tak zařízeno, že jedna moc omezuje druhou.“</w:t>
      </w:r>
      <w:r>
        <w:rPr>
          <w:rFonts w:ascii="Times New Roman" w:hAnsi="Times New Roman" w:cs="Times New Roman"/>
        </w:rPr>
        <w:t xml:space="preserve"> </w:t>
      </w:r>
      <w:r w:rsidRPr="00631572">
        <w:rPr>
          <w:rFonts w:ascii="Times New Roman" w:hAnsi="Times New Roman" w:cs="Times New Roman"/>
        </w:rPr>
        <w:t xml:space="preserve">MONTESQUIEU, Charles. </w:t>
      </w:r>
      <w:r w:rsidRPr="00631572">
        <w:rPr>
          <w:rFonts w:ascii="Times New Roman" w:hAnsi="Times New Roman" w:cs="Times New Roman"/>
          <w:i/>
        </w:rPr>
        <w:t>O duchu zákonů</w:t>
      </w:r>
      <w:r w:rsidRPr="00631572">
        <w:rPr>
          <w:rFonts w:ascii="Times New Roman" w:hAnsi="Times New Roman" w:cs="Times New Roman"/>
        </w:rPr>
        <w:t>. Dobrá voda: Aleš Čeněk, 2003, s. 189.</w:t>
      </w:r>
    </w:p>
  </w:footnote>
  <w:footnote w:id="9">
    <w:p w:rsidR="00076524" w:rsidRPr="0087298F" w:rsidRDefault="00076524" w:rsidP="005E758A">
      <w:pPr>
        <w:pStyle w:val="Textpoznpodarou"/>
        <w:jc w:val="both"/>
        <w:rPr>
          <w:rFonts w:ascii="Times New Roman" w:hAnsi="Times New Roman" w:cs="Times New Roman"/>
        </w:rPr>
      </w:pPr>
      <w:r w:rsidRPr="0087298F">
        <w:rPr>
          <w:rStyle w:val="Znakapoznpodarou"/>
          <w:rFonts w:ascii="Times New Roman" w:hAnsi="Times New Roman" w:cs="Times New Roman"/>
        </w:rPr>
        <w:footnoteRef/>
      </w:r>
      <w:r w:rsidRPr="0087298F">
        <w:rPr>
          <w:rFonts w:ascii="Times New Roman" w:hAnsi="Times New Roman" w:cs="Times New Roman"/>
        </w:rPr>
        <w:t xml:space="preserve"> Viz SYLLOVÁ, Jindřiška. </w:t>
      </w:r>
      <w:r w:rsidRPr="00F47215">
        <w:rPr>
          <w:rFonts w:ascii="Times New Roman" w:hAnsi="Times New Roman" w:cs="Times New Roman"/>
        </w:rPr>
        <w:t>Parlamentarismus</w:t>
      </w:r>
      <w:r>
        <w:rPr>
          <w:rFonts w:ascii="Times New Roman" w:hAnsi="Times New Roman" w:cs="Times New Roman"/>
        </w:rPr>
        <w:t>. In</w:t>
      </w:r>
      <w:r w:rsidRPr="0087298F">
        <w:rPr>
          <w:rFonts w:ascii="Times New Roman" w:hAnsi="Times New Roman" w:cs="Times New Roman"/>
        </w:rPr>
        <w:t xml:space="preserve"> PAVLÍČEK a kol. </w:t>
      </w:r>
      <w:r w:rsidRPr="0087298F">
        <w:rPr>
          <w:rFonts w:ascii="Times New Roman" w:hAnsi="Times New Roman" w:cs="Times New Roman"/>
          <w:i/>
        </w:rPr>
        <w:t>Ústavní právo a státověda, 1. díl, Obecná státověda</w:t>
      </w:r>
      <w:r w:rsidRPr="0087298F">
        <w:rPr>
          <w:rFonts w:ascii="Times New Roman" w:hAnsi="Times New Roman" w:cs="Times New Roman"/>
        </w:rPr>
        <w:t xml:space="preserve">. Praha: </w:t>
      </w:r>
      <w:r>
        <w:rPr>
          <w:rFonts w:ascii="Times New Roman" w:hAnsi="Times New Roman" w:cs="Times New Roman"/>
        </w:rPr>
        <w:t>Linde Praha a. s., 1998, s. 234-</w:t>
      </w:r>
      <w:r w:rsidRPr="0087298F">
        <w:rPr>
          <w:rFonts w:ascii="Times New Roman" w:hAnsi="Times New Roman" w:cs="Times New Roman"/>
        </w:rPr>
        <w:t>235.</w:t>
      </w:r>
    </w:p>
  </w:footnote>
  <w:footnote w:id="10">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sidRPr="00141963">
        <w:rPr>
          <w:rFonts w:ascii="Times New Roman" w:hAnsi="Times New Roman" w:cs="Times New Roman"/>
        </w:rPr>
        <w:t xml:space="preserve"> Viz např. ZBÍRAL, Robert. </w:t>
      </w:r>
      <w:r w:rsidRPr="00141963">
        <w:rPr>
          <w:rFonts w:ascii="Times New Roman" w:hAnsi="Times New Roman" w:cs="Times New Roman"/>
          <w:i/>
        </w:rPr>
        <w:t>Institucionální rámec Evropské unie</w:t>
      </w:r>
      <w:r w:rsidRPr="00141963">
        <w:rPr>
          <w:rFonts w:ascii="Times New Roman" w:hAnsi="Times New Roman" w:cs="Times New Roman"/>
        </w:rPr>
        <w:t>. Praha: Linde Praha a. s., 2007, s. 22-23.</w:t>
      </w:r>
    </w:p>
  </w:footnote>
  <w:footnote w:id="11">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sidRPr="00141963">
        <w:rPr>
          <w:rFonts w:ascii="Times New Roman" w:hAnsi="Times New Roman" w:cs="Times New Roman"/>
        </w:rPr>
        <w:t xml:space="preserve"> Uvedené lze konstatovat i přesto, že parlamenty čelí z podstaty svěření pravomocí EU zužování zejména věcné působnosti. Dále viz ŠIŠKOVÁ, Naděžda, STEHLÍK, Václav. </w:t>
      </w:r>
      <w:r w:rsidRPr="00141963">
        <w:rPr>
          <w:rFonts w:ascii="Times New Roman" w:hAnsi="Times New Roman" w:cs="Times New Roman"/>
          <w:i/>
        </w:rPr>
        <w:t xml:space="preserve">Evropské právo 1 – Ústavní základy Evropské unie. </w:t>
      </w:r>
      <w:r w:rsidRPr="00141963">
        <w:rPr>
          <w:rFonts w:ascii="Times New Roman" w:hAnsi="Times New Roman" w:cs="Times New Roman"/>
        </w:rPr>
        <w:t xml:space="preserve">Praha: Linde Praha a. s., 2007, s. 48. </w:t>
      </w:r>
    </w:p>
  </w:footnote>
  <w:footnote w:id="12">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sidRPr="00141963">
        <w:rPr>
          <w:rFonts w:ascii="Times New Roman" w:hAnsi="Times New Roman" w:cs="Times New Roman"/>
        </w:rPr>
        <w:t xml:space="preserve"> Viz čl. 14 odst. 1 SEU</w:t>
      </w:r>
    </w:p>
  </w:footnote>
  <w:footnote w:id="13">
    <w:p w:rsidR="00076524" w:rsidRDefault="00076524">
      <w:pPr>
        <w:pStyle w:val="Textpoznpodarou"/>
      </w:pPr>
      <w:r>
        <w:rPr>
          <w:rStyle w:val="Znakapoznpodarou"/>
        </w:rPr>
        <w:footnoteRef/>
      </w:r>
      <w:r>
        <w:t xml:space="preserve"> </w:t>
      </w:r>
      <w:r w:rsidRPr="0096292B">
        <w:rPr>
          <w:rFonts w:ascii="Times New Roman" w:hAnsi="Times New Roman" w:cs="Times New Roman"/>
        </w:rPr>
        <w:t>V</w:t>
      </w:r>
      <w:r>
        <w:rPr>
          <w:rFonts w:ascii="Times New Roman" w:hAnsi="Times New Roman" w:cs="Times New Roman"/>
        </w:rPr>
        <w:t> </w:t>
      </w:r>
      <w:r w:rsidRPr="0096292B">
        <w:rPr>
          <w:rFonts w:ascii="Times New Roman" w:hAnsi="Times New Roman" w:cs="Times New Roman"/>
        </w:rPr>
        <w:t>této</w:t>
      </w:r>
      <w:r>
        <w:rPr>
          <w:rFonts w:ascii="Times New Roman" w:hAnsi="Times New Roman" w:cs="Times New Roman"/>
        </w:rPr>
        <w:t xml:space="preserve"> souvislosti připomeňme, že až do roku 1979 docházelo k delegaci z poslaneckých řad parlamentů. Viz např. ZBÍRAL: </w:t>
      </w:r>
      <w:r w:rsidRPr="00367F2F">
        <w:rPr>
          <w:rFonts w:ascii="Times New Roman" w:hAnsi="Times New Roman" w:cs="Times New Roman"/>
          <w:i/>
        </w:rPr>
        <w:t>Institucionální…</w:t>
      </w:r>
      <w:r>
        <w:rPr>
          <w:rFonts w:ascii="Times New Roman" w:hAnsi="Times New Roman" w:cs="Times New Roman"/>
        </w:rPr>
        <w:t>, s. 22.</w:t>
      </w:r>
    </w:p>
  </w:footnote>
  <w:footnote w:id="14">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sidRPr="00141963">
        <w:rPr>
          <w:rFonts w:ascii="Times New Roman" w:hAnsi="Times New Roman" w:cs="Times New Roman"/>
        </w:rPr>
        <w:t xml:space="preserve"> K diskuzi o demokratickém deficitu EU viz z poslední doby např. PARRY, Philip. </w:t>
      </w:r>
      <w:proofErr w:type="spellStart"/>
      <w:r w:rsidRPr="00141963">
        <w:rPr>
          <w:rFonts w:ascii="Times New Roman" w:hAnsi="Times New Roman" w:cs="Times New Roman"/>
        </w:rPr>
        <w:t>The</w:t>
      </w:r>
      <w:proofErr w:type="spellEnd"/>
      <w:r w:rsidRPr="00141963">
        <w:rPr>
          <w:rFonts w:ascii="Times New Roman" w:hAnsi="Times New Roman" w:cs="Times New Roman"/>
        </w:rPr>
        <w:t xml:space="preserve"> </w:t>
      </w:r>
      <w:proofErr w:type="spellStart"/>
      <w:r w:rsidRPr="00141963">
        <w:rPr>
          <w:rFonts w:ascii="Times New Roman" w:hAnsi="Times New Roman" w:cs="Times New Roman"/>
        </w:rPr>
        <w:t>Democratic</w:t>
      </w:r>
      <w:proofErr w:type="spellEnd"/>
      <w:r w:rsidRPr="00141963">
        <w:rPr>
          <w:rFonts w:ascii="Times New Roman" w:hAnsi="Times New Roman" w:cs="Times New Roman"/>
        </w:rPr>
        <w:t xml:space="preserve"> Deficit </w:t>
      </w:r>
      <w:proofErr w:type="spellStart"/>
      <w:r w:rsidRPr="00141963">
        <w:rPr>
          <w:rFonts w:ascii="Times New Roman" w:hAnsi="Times New Roman" w:cs="Times New Roman"/>
        </w:rPr>
        <w:t>of</w:t>
      </w:r>
      <w:proofErr w:type="spellEnd"/>
      <w:r w:rsidRPr="00141963">
        <w:rPr>
          <w:rFonts w:ascii="Times New Roman" w:hAnsi="Times New Roman" w:cs="Times New Roman"/>
        </w:rPr>
        <w:t xml:space="preserve"> </w:t>
      </w:r>
      <w:proofErr w:type="spellStart"/>
      <w:r w:rsidRPr="00141963">
        <w:rPr>
          <w:rFonts w:ascii="Times New Roman" w:hAnsi="Times New Roman" w:cs="Times New Roman"/>
        </w:rPr>
        <w:t>the</w:t>
      </w:r>
      <w:proofErr w:type="spellEnd"/>
      <w:r w:rsidRPr="00141963">
        <w:rPr>
          <w:rFonts w:ascii="Times New Roman" w:hAnsi="Times New Roman" w:cs="Times New Roman"/>
        </w:rPr>
        <w:t xml:space="preserve"> EU. </w:t>
      </w:r>
      <w:proofErr w:type="spellStart"/>
      <w:r w:rsidRPr="00141963">
        <w:rPr>
          <w:rFonts w:ascii="Times New Roman" w:hAnsi="Times New Roman" w:cs="Times New Roman"/>
          <w:i/>
        </w:rPr>
        <w:t>North</w:t>
      </w:r>
      <w:proofErr w:type="spellEnd"/>
      <w:r w:rsidRPr="00141963">
        <w:rPr>
          <w:rFonts w:ascii="Times New Roman" w:hAnsi="Times New Roman" w:cs="Times New Roman"/>
          <w:i/>
        </w:rPr>
        <w:t xml:space="preserve"> East </w:t>
      </w:r>
      <w:proofErr w:type="spellStart"/>
      <w:r w:rsidRPr="00141963">
        <w:rPr>
          <w:rFonts w:ascii="Times New Roman" w:hAnsi="Times New Roman" w:cs="Times New Roman"/>
          <w:i/>
        </w:rPr>
        <w:t>Law</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Review</w:t>
      </w:r>
      <w:proofErr w:type="spellEnd"/>
      <w:r w:rsidRPr="00141963">
        <w:rPr>
          <w:rFonts w:ascii="Times New Roman" w:hAnsi="Times New Roman" w:cs="Times New Roman"/>
          <w:i/>
        </w:rPr>
        <w:t xml:space="preserve">, </w:t>
      </w:r>
      <w:r>
        <w:rPr>
          <w:rFonts w:ascii="Times New Roman" w:hAnsi="Times New Roman" w:cs="Times New Roman"/>
        </w:rPr>
        <w:t>2016, vol. 4, s. 97-</w:t>
      </w:r>
      <w:r w:rsidRPr="00141963">
        <w:rPr>
          <w:rFonts w:ascii="Times New Roman" w:hAnsi="Times New Roman" w:cs="Times New Roman"/>
        </w:rPr>
        <w:t xml:space="preserve">101.   </w:t>
      </w:r>
    </w:p>
  </w:footnote>
  <w:footnote w:id="15">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Pr>
          <w:rFonts w:ascii="Times New Roman" w:hAnsi="Times New Roman" w:cs="Times New Roman"/>
        </w:rPr>
        <w:t xml:space="preserve"> Viz HOUSE OF LORDS</w:t>
      </w:r>
      <w:r w:rsidRPr="00141963">
        <w:rPr>
          <w:rFonts w:ascii="Times New Roman" w:hAnsi="Times New Roman" w:cs="Times New Roman"/>
        </w:rPr>
        <w:t xml:space="preserve">. </w:t>
      </w:r>
      <w:proofErr w:type="spellStart"/>
      <w:r w:rsidRPr="00141963">
        <w:rPr>
          <w:rFonts w:ascii="Times New Roman" w:hAnsi="Times New Roman" w:cs="Times New Roman"/>
          <w:i/>
        </w:rPr>
        <w:t>The</w:t>
      </w:r>
      <w:proofErr w:type="spellEnd"/>
      <w:r w:rsidRPr="00141963">
        <w:rPr>
          <w:rFonts w:ascii="Times New Roman" w:hAnsi="Times New Roman" w:cs="Times New Roman"/>
          <w:i/>
        </w:rPr>
        <w:t xml:space="preserve"> Role </w:t>
      </w:r>
      <w:proofErr w:type="spellStart"/>
      <w:r w:rsidRPr="00141963">
        <w:rPr>
          <w:rFonts w:ascii="Times New Roman" w:hAnsi="Times New Roman" w:cs="Times New Roman"/>
          <w:i/>
        </w:rPr>
        <w:t>of</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National</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Parliaments</w:t>
      </w:r>
      <w:proofErr w:type="spellEnd"/>
      <w:r w:rsidRPr="00141963">
        <w:rPr>
          <w:rFonts w:ascii="Times New Roman" w:hAnsi="Times New Roman" w:cs="Times New Roman"/>
          <w:i/>
        </w:rPr>
        <w:t xml:space="preserve"> in </w:t>
      </w:r>
      <w:proofErr w:type="spellStart"/>
      <w:r w:rsidRPr="00141963">
        <w:rPr>
          <w:rFonts w:ascii="Times New Roman" w:hAnsi="Times New Roman" w:cs="Times New Roman"/>
          <w:i/>
        </w:rPr>
        <w:t>the</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European</w:t>
      </w:r>
      <w:proofErr w:type="spellEnd"/>
      <w:r w:rsidRPr="00141963">
        <w:rPr>
          <w:rFonts w:ascii="Times New Roman" w:hAnsi="Times New Roman" w:cs="Times New Roman"/>
          <w:i/>
        </w:rPr>
        <w:t xml:space="preserve"> Union</w:t>
      </w:r>
      <w:r w:rsidRPr="00141963">
        <w:rPr>
          <w:rFonts w:ascii="Times New Roman" w:hAnsi="Times New Roman" w:cs="Times New Roman"/>
        </w:rPr>
        <w:t xml:space="preserve"> [online]. UK </w:t>
      </w:r>
      <w:proofErr w:type="spellStart"/>
      <w:r w:rsidRPr="00141963">
        <w:rPr>
          <w:rFonts w:ascii="Times New Roman" w:hAnsi="Times New Roman" w:cs="Times New Roman"/>
        </w:rPr>
        <w:t>Parliament</w:t>
      </w:r>
      <w:proofErr w:type="spellEnd"/>
      <w:r w:rsidRPr="00141963">
        <w:rPr>
          <w:rFonts w:ascii="Times New Roman" w:hAnsi="Times New Roman" w:cs="Times New Roman"/>
        </w:rPr>
        <w:t>, 24</w:t>
      </w:r>
      <w:r>
        <w:rPr>
          <w:rFonts w:ascii="Times New Roman" w:hAnsi="Times New Roman" w:cs="Times New Roman"/>
        </w:rPr>
        <w:t>.</w:t>
      </w:r>
      <w:r w:rsidRPr="00141963">
        <w:rPr>
          <w:rFonts w:ascii="Times New Roman" w:hAnsi="Times New Roman" w:cs="Times New Roman"/>
        </w:rPr>
        <w:t xml:space="preserve"> března 2014 [cit. 29. února 2016]. Dostupné na &lt;http://www.parliament.uk/documents/Role-of-Nation</w:t>
      </w:r>
      <w:r>
        <w:rPr>
          <w:rFonts w:ascii="Times New Roman" w:hAnsi="Times New Roman" w:cs="Times New Roman"/>
        </w:rPr>
        <w:t xml:space="preserve">al-Parliaments.pdf&gt;. </w:t>
      </w:r>
    </w:p>
  </w:footnote>
  <w:footnote w:id="16">
    <w:p w:rsidR="00076524" w:rsidRPr="00141963" w:rsidRDefault="00076524" w:rsidP="00141963">
      <w:pPr>
        <w:pStyle w:val="Textpoznpodarou"/>
        <w:jc w:val="both"/>
        <w:rPr>
          <w:rFonts w:ascii="Times New Roman" w:hAnsi="Times New Roman" w:cs="Times New Roman"/>
        </w:rPr>
      </w:pPr>
      <w:r w:rsidRPr="00141963">
        <w:rPr>
          <w:rStyle w:val="Znakapoznpodarou"/>
          <w:rFonts w:ascii="Times New Roman" w:hAnsi="Times New Roman" w:cs="Times New Roman"/>
        </w:rPr>
        <w:footnoteRef/>
      </w:r>
      <w:r w:rsidRPr="00141963">
        <w:rPr>
          <w:rFonts w:ascii="Times New Roman" w:hAnsi="Times New Roman" w:cs="Times New Roman"/>
        </w:rPr>
        <w:t xml:space="preserve"> SYLLOVÁ, Jindřiška. </w:t>
      </w:r>
      <w:r w:rsidRPr="00741106">
        <w:rPr>
          <w:rFonts w:ascii="Times New Roman" w:hAnsi="Times New Roman" w:cs="Times New Roman"/>
        </w:rPr>
        <w:t>Národní parlamenty a prohlubující se evropská integrace</w:t>
      </w:r>
      <w:r>
        <w:rPr>
          <w:rFonts w:ascii="Times New Roman" w:hAnsi="Times New Roman" w:cs="Times New Roman"/>
        </w:rPr>
        <w:t>. In</w:t>
      </w:r>
      <w:r w:rsidRPr="00141963">
        <w:rPr>
          <w:rFonts w:ascii="Times New Roman" w:hAnsi="Times New Roman" w:cs="Times New Roman"/>
        </w:rPr>
        <w:t xml:space="preserve"> PAVLÍČEK, Václav a kol. </w:t>
      </w:r>
      <w:r w:rsidRPr="00141963">
        <w:rPr>
          <w:rFonts w:ascii="Times New Roman" w:hAnsi="Times New Roman" w:cs="Times New Roman"/>
          <w:i/>
        </w:rPr>
        <w:t>Suverenita a evropská integrace</w:t>
      </w:r>
      <w:r w:rsidRPr="00141963">
        <w:rPr>
          <w:rFonts w:ascii="Times New Roman" w:hAnsi="Times New Roman" w:cs="Times New Roman"/>
        </w:rPr>
        <w:t>. Praha: Univerzita Karlova v Praze – Právnická fakulta, 1999, s. 97.</w:t>
      </w:r>
    </w:p>
  </w:footnote>
  <w:footnote w:id="17">
    <w:p w:rsidR="00076524" w:rsidRDefault="00076524" w:rsidP="00141963">
      <w:pPr>
        <w:pStyle w:val="Textpoznpodarou"/>
        <w:jc w:val="both"/>
      </w:pPr>
      <w:r w:rsidRPr="00141963">
        <w:rPr>
          <w:rStyle w:val="Znakapoznpodarou"/>
          <w:rFonts w:ascii="Times New Roman" w:hAnsi="Times New Roman" w:cs="Times New Roman"/>
        </w:rPr>
        <w:footnoteRef/>
      </w:r>
      <w:r w:rsidRPr="00141963">
        <w:rPr>
          <w:rFonts w:ascii="Times New Roman" w:hAnsi="Times New Roman" w:cs="Times New Roman"/>
        </w:rPr>
        <w:t xml:space="preserve"> Viz také např. TOMÁŠEK, Michal. Příspěvek Lisabonské smlouvy ke zmírnění demokratického deficitu v EU.  </w:t>
      </w:r>
      <w:r w:rsidRPr="00141963">
        <w:rPr>
          <w:rFonts w:ascii="Times New Roman" w:hAnsi="Times New Roman" w:cs="Times New Roman"/>
          <w:i/>
        </w:rPr>
        <w:t xml:space="preserve">Acta </w:t>
      </w:r>
      <w:proofErr w:type="spellStart"/>
      <w:r w:rsidRPr="00141963">
        <w:rPr>
          <w:rFonts w:ascii="Times New Roman" w:hAnsi="Times New Roman" w:cs="Times New Roman"/>
          <w:i/>
        </w:rPr>
        <w:t>Universitatis</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Carolinae</w:t>
      </w:r>
      <w:proofErr w:type="spellEnd"/>
      <w:r w:rsidRPr="00141963">
        <w:rPr>
          <w:rFonts w:ascii="Times New Roman" w:hAnsi="Times New Roman" w:cs="Times New Roman"/>
          <w:i/>
        </w:rPr>
        <w:t xml:space="preserve"> </w:t>
      </w:r>
      <w:proofErr w:type="spellStart"/>
      <w:r w:rsidRPr="00141963">
        <w:rPr>
          <w:rFonts w:ascii="Times New Roman" w:hAnsi="Times New Roman" w:cs="Times New Roman"/>
          <w:i/>
        </w:rPr>
        <w:t>Iuridica</w:t>
      </w:r>
      <w:proofErr w:type="spellEnd"/>
      <w:r w:rsidRPr="00141963">
        <w:rPr>
          <w:rFonts w:ascii="Times New Roman" w:hAnsi="Times New Roman" w:cs="Times New Roman"/>
        </w:rPr>
        <w:t>, 2010, č. 3, s. 7-20.</w:t>
      </w:r>
    </w:p>
  </w:footnote>
  <w:footnote w:id="18">
    <w:p w:rsidR="00076524" w:rsidRPr="008305F5" w:rsidRDefault="00076524" w:rsidP="00D82D60">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sidRPr="008305F5">
        <w:rPr>
          <w:rFonts w:ascii="Times New Roman" w:hAnsi="Times New Roman" w:cs="Times New Roman"/>
        </w:rPr>
        <w:t xml:space="preserve"> Viz CYGAN, Adam. </w:t>
      </w:r>
      <w:proofErr w:type="spellStart"/>
      <w:r w:rsidRPr="008305F5">
        <w:rPr>
          <w:rFonts w:ascii="Times New Roman" w:hAnsi="Times New Roman" w:cs="Times New Roman"/>
        </w:rPr>
        <w:t>National</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parliaments</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within</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the</w:t>
      </w:r>
      <w:proofErr w:type="spellEnd"/>
      <w:r w:rsidRPr="008305F5">
        <w:rPr>
          <w:rFonts w:ascii="Times New Roman" w:hAnsi="Times New Roman" w:cs="Times New Roman"/>
        </w:rPr>
        <w:t xml:space="preserve"> EU polity—no </w:t>
      </w:r>
      <w:proofErr w:type="spellStart"/>
      <w:r w:rsidRPr="008305F5">
        <w:rPr>
          <w:rFonts w:ascii="Times New Roman" w:hAnsi="Times New Roman" w:cs="Times New Roman"/>
        </w:rPr>
        <w:t>longer</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losers</w:t>
      </w:r>
      <w:proofErr w:type="spellEnd"/>
      <w:r w:rsidRPr="008305F5">
        <w:rPr>
          <w:rFonts w:ascii="Times New Roman" w:hAnsi="Times New Roman" w:cs="Times New Roman"/>
        </w:rPr>
        <w:t xml:space="preserve"> but </w:t>
      </w:r>
      <w:proofErr w:type="spellStart"/>
      <w:r w:rsidRPr="008305F5">
        <w:rPr>
          <w:rFonts w:ascii="Times New Roman" w:hAnsi="Times New Roman" w:cs="Times New Roman"/>
        </w:rPr>
        <w:t>hardly</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victorious</w:t>
      </w:r>
      <w:proofErr w:type="spellEnd"/>
      <w:r w:rsidRPr="008305F5">
        <w:rPr>
          <w:rFonts w:ascii="Times New Roman" w:hAnsi="Times New Roman" w:cs="Times New Roman"/>
        </w:rPr>
        <w:t xml:space="preserve">. </w:t>
      </w:r>
      <w:r w:rsidRPr="008305F5">
        <w:rPr>
          <w:rFonts w:ascii="Times New Roman" w:hAnsi="Times New Roman" w:cs="Times New Roman"/>
          <w:i/>
        </w:rPr>
        <w:t xml:space="preserve">ERA </w:t>
      </w:r>
      <w:proofErr w:type="spellStart"/>
      <w:r w:rsidRPr="008305F5">
        <w:rPr>
          <w:rFonts w:ascii="Times New Roman" w:hAnsi="Times New Roman" w:cs="Times New Roman"/>
          <w:i/>
        </w:rPr>
        <w:t>Forum</w:t>
      </w:r>
      <w:proofErr w:type="spellEnd"/>
      <w:r w:rsidRPr="008305F5">
        <w:rPr>
          <w:rFonts w:ascii="Times New Roman" w:hAnsi="Times New Roman" w:cs="Times New Roman"/>
          <w:i/>
        </w:rPr>
        <w:t>,</w:t>
      </w:r>
      <w:r w:rsidRPr="008305F5">
        <w:rPr>
          <w:rFonts w:ascii="Times New Roman" w:hAnsi="Times New Roman" w:cs="Times New Roman"/>
        </w:rPr>
        <w:t xml:space="preserve"> 2012, vol. 12, </w:t>
      </w:r>
      <w:proofErr w:type="spellStart"/>
      <w:r w:rsidRPr="008305F5">
        <w:rPr>
          <w:rFonts w:ascii="Times New Roman" w:hAnsi="Times New Roman" w:cs="Times New Roman"/>
        </w:rPr>
        <w:t>issue</w:t>
      </w:r>
      <w:proofErr w:type="spellEnd"/>
      <w:r w:rsidRPr="008305F5">
        <w:rPr>
          <w:rFonts w:ascii="Times New Roman" w:hAnsi="Times New Roman" w:cs="Times New Roman"/>
        </w:rPr>
        <w:t xml:space="preserve"> 4, s. 518.</w:t>
      </w:r>
    </w:p>
  </w:footnote>
  <w:footnote w:id="19">
    <w:p w:rsidR="00076524" w:rsidRPr="008305F5" w:rsidRDefault="00076524" w:rsidP="00640F57">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sidRPr="008305F5">
        <w:rPr>
          <w:rFonts w:ascii="Times New Roman" w:hAnsi="Times New Roman" w:cs="Times New Roman"/>
        </w:rPr>
        <w:t xml:space="preserve"> Viz rozdělení na pomalu se adaptující, národní hráče a víceúrovňové hráče. Viz MAURER, Andreas, WESSELS, Wolfgang.</w:t>
      </w:r>
      <w:r w:rsidRPr="008305F5">
        <w:rPr>
          <w:rFonts w:ascii="Times New Roman" w:hAnsi="Times New Roman" w:cs="Times New Roman"/>
          <w:i/>
        </w:rPr>
        <w:t xml:space="preserve"> </w:t>
      </w:r>
      <w:proofErr w:type="spellStart"/>
      <w:r w:rsidRPr="008305F5">
        <w:rPr>
          <w:rFonts w:ascii="Times New Roman" w:hAnsi="Times New Roman" w:cs="Times New Roman"/>
          <w:i/>
        </w:rPr>
        <w:t>National</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parliaments</w:t>
      </w:r>
      <w:proofErr w:type="spellEnd"/>
      <w:r w:rsidRPr="008305F5">
        <w:rPr>
          <w:rFonts w:ascii="Times New Roman" w:hAnsi="Times New Roman" w:cs="Times New Roman"/>
          <w:i/>
        </w:rPr>
        <w:t xml:space="preserve"> on </w:t>
      </w:r>
      <w:proofErr w:type="spellStart"/>
      <w:r w:rsidRPr="008305F5">
        <w:rPr>
          <w:rFonts w:ascii="Times New Roman" w:hAnsi="Times New Roman" w:cs="Times New Roman"/>
          <w:i/>
        </w:rPr>
        <w:t>their</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Ways</w:t>
      </w:r>
      <w:proofErr w:type="spellEnd"/>
      <w:r w:rsidRPr="008305F5">
        <w:rPr>
          <w:rFonts w:ascii="Times New Roman" w:hAnsi="Times New Roman" w:cs="Times New Roman"/>
          <w:i/>
        </w:rPr>
        <w:t xml:space="preserve"> to </w:t>
      </w:r>
      <w:proofErr w:type="spellStart"/>
      <w:r w:rsidRPr="008305F5">
        <w:rPr>
          <w:rFonts w:ascii="Times New Roman" w:hAnsi="Times New Roman" w:cs="Times New Roman"/>
          <w:i/>
        </w:rPr>
        <w:t>Europe</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Losers</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or</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Latecomers</w:t>
      </w:r>
      <w:proofErr w:type="spellEnd"/>
      <w:r w:rsidRPr="008305F5">
        <w:rPr>
          <w:rFonts w:ascii="Times New Roman" w:hAnsi="Times New Roman" w:cs="Times New Roman"/>
          <w:i/>
        </w:rPr>
        <w:t xml:space="preserve">? </w:t>
      </w:r>
      <w:r w:rsidRPr="008305F5">
        <w:rPr>
          <w:rFonts w:ascii="Times New Roman" w:hAnsi="Times New Roman" w:cs="Times New Roman"/>
        </w:rPr>
        <w:t xml:space="preserve">Baden-Baden: Nomos </w:t>
      </w:r>
      <w:proofErr w:type="spellStart"/>
      <w:r w:rsidRPr="008305F5">
        <w:rPr>
          <w:rFonts w:ascii="Times New Roman" w:hAnsi="Times New Roman" w:cs="Times New Roman"/>
        </w:rPr>
        <w:t>Verlagsgesellschaft</w:t>
      </w:r>
      <w:proofErr w:type="spellEnd"/>
      <w:r w:rsidRPr="008305F5">
        <w:rPr>
          <w:rFonts w:ascii="Times New Roman" w:hAnsi="Times New Roman" w:cs="Times New Roman"/>
        </w:rPr>
        <w:t>, 2001, s. 463.</w:t>
      </w:r>
    </w:p>
  </w:footnote>
  <w:footnote w:id="20">
    <w:p w:rsidR="00076524" w:rsidRPr="008305F5" w:rsidRDefault="00076524" w:rsidP="00640F57">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Pr>
          <w:rFonts w:ascii="Times New Roman" w:hAnsi="Times New Roman" w:cs="Times New Roman"/>
        </w:rPr>
        <w:t xml:space="preserve"> </w:t>
      </w:r>
      <w:r w:rsidRPr="008305F5">
        <w:rPr>
          <w:rFonts w:ascii="Times New Roman" w:hAnsi="Times New Roman" w:cs="Times New Roman"/>
        </w:rPr>
        <w:t xml:space="preserve">Ta je dle </w:t>
      </w:r>
      <w:proofErr w:type="spellStart"/>
      <w:r w:rsidRPr="008305F5">
        <w:rPr>
          <w:rFonts w:ascii="Times New Roman" w:hAnsi="Times New Roman" w:cs="Times New Roman"/>
        </w:rPr>
        <w:t>Beymeho</w:t>
      </w:r>
      <w:proofErr w:type="spellEnd"/>
      <w:r w:rsidRPr="008305F5">
        <w:rPr>
          <w:rFonts w:ascii="Times New Roman" w:hAnsi="Times New Roman" w:cs="Times New Roman"/>
        </w:rPr>
        <w:t xml:space="preserve"> </w:t>
      </w:r>
      <w:r w:rsidRPr="008305F5">
        <w:rPr>
          <w:rFonts w:ascii="Times New Roman" w:hAnsi="Times New Roman" w:cs="Times New Roman"/>
          <w:i/>
        </w:rPr>
        <w:t>„ostatně obecným fenoménem doprovázejícím nárůst rozhodování na mezinárodní a nadnárodní úrovni.“</w:t>
      </w:r>
      <w:r w:rsidRPr="008305F5">
        <w:rPr>
          <w:rFonts w:ascii="Times New Roman" w:hAnsi="Times New Roman" w:cs="Times New Roman"/>
        </w:rPr>
        <w:t xml:space="preserve"> BELLING, Vojtěch. </w:t>
      </w:r>
      <w:r w:rsidRPr="008305F5">
        <w:rPr>
          <w:rFonts w:ascii="Times New Roman" w:hAnsi="Times New Roman" w:cs="Times New Roman"/>
          <w:i/>
        </w:rPr>
        <w:t>Problém demokratické legitimity EU</w:t>
      </w:r>
      <w:r w:rsidRPr="008305F5">
        <w:rPr>
          <w:rFonts w:ascii="Times New Roman" w:hAnsi="Times New Roman" w:cs="Times New Roman"/>
        </w:rPr>
        <w:t xml:space="preserve"> [online]. Občanský institut, 6. února 2009 [cit. 8. února 2016]. Dostupné na &lt;</w:t>
      </w:r>
      <w:hyperlink r:id="rId1" w:history="1">
        <w:r w:rsidRPr="008305F5">
          <w:rPr>
            <w:rStyle w:val="Hypertextovodkaz"/>
            <w:rFonts w:ascii="Times New Roman" w:hAnsi="Times New Roman" w:cs="Times New Roman"/>
          </w:rPr>
          <w:t>http://www.obcinst.cz/problem-demokraticke-legitimity-eu/</w:t>
        </w:r>
      </w:hyperlink>
      <w:r w:rsidRPr="008305F5">
        <w:rPr>
          <w:rFonts w:ascii="Times New Roman" w:hAnsi="Times New Roman" w:cs="Times New Roman"/>
        </w:rPr>
        <w:t>&gt;.</w:t>
      </w:r>
    </w:p>
  </w:footnote>
  <w:footnote w:id="21">
    <w:p w:rsidR="00076524" w:rsidRPr="008305F5" w:rsidRDefault="00076524" w:rsidP="00640F57">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sidRPr="008305F5">
        <w:rPr>
          <w:rFonts w:ascii="Times New Roman" w:hAnsi="Times New Roman" w:cs="Times New Roman"/>
        </w:rPr>
        <w:t xml:space="preserve"> </w:t>
      </w:r>
      <w:r>
        <w:rPr>
          <w:rFonts w:ascii="Times New Roman" w:hAnsi="Times New Roman" w:cs="Times New Roman"/>
        </w:rPr>
        <w:t xml:space="preserve">Viz </w:t>
      </w:r>
      <w:r w:rsidRPr="008305F5">
        <w:rPr>
          <w:rFonts w:ascii="Times New Roman" w:hAnsi="Times New Roman" w:cs="Times New Roman"/>
        </w:rPr>
        <w:t xml:space="preserve">JANS, Theo, PIEDRAFITA, Sonia. </w:t>
      </w:r>
      <w:proofErr w:type="spellStart"/>
      <w:r w:rsidRPr="008305F5">
        <w:rPr>
          <w:rFonts w:ascii="Times New Roman" w:hAnsi="Times New Roman" w:cs="Times New Roman"/>
        </w:rPr>
        <w:t>The</w:t>
      </w:r>
      <w:proofErr w:type="spellEnd"/>
      <w:r w:rsidRPr="008305F5">
        <w:rPr>
          <w:rFonts w:ascii="Times New Roman" w:hAnsi="Times New Roman" w:cs="Times New Roman"/>
        </w:rPr>
        <w:t xml:space="preserve"> Role </w:t>
      </w:r>
      <w:proofErr w:type="spellStart"/>
      <w:r w:rsidRPr="008305F5">
        <w:rPr>
          <w:rFonts w:ascii="Times New Roman" w:hAnsi="Times New Roman" w:cs="Times New Roman"/>
        </w:rPr>
        <w:t>of</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National</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Parliaments</w:t>
      </w:r>
      <w:proofErr w:type="spellEnd"/>
      <w:r w:rsidRPr="008305F5">
        <w:rPr>
          <w:rFonts w:ascii="Times New Roman" w:hAnsi="Times New Roman" w:cs="Times New Roman"/>
        </w:rPr>
        <w:t xml:space="preserve"> in </w:t>
      </w:r>
      <w:proofErr w:type="spellStart"/>
      <w:r w:rsidRPr="008305F5">
        <w:rPr>
          <w:rFonts w:ascii="Times New Roman" w:hAnsi="Times New Roman" w:cs="Times New Roman"/>
        </w:rPr>
        <w:t>European</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Decision-Making</w:t>
      </w:r>
      <w:proofErr w:type="spellEnd"/>
      <w:r w:rsidRPr="008305F5">
        <w:rPr>
          <w:rFonts w:ascii="Times New Roman" w:hAnsi="Times New Roman" w:cs="Times New Roman"/>
        </w:rPr>
        <w:t xml:space="preserve">. </w:t>
      </w:r>
      <w:proofErr w:type="spellStart"/>
      <w:r>
        <w:rPr>
          <w:rFonts w:ascii="Times New Roman" w:hAnsi="Times New Roman" w:cs="Times New Roman"/>
          <w:i/>
        </w:rPr>
        <w:t>Eipascope</w:t>
      </w:r>
      <w:proofErr w:type="spellEnd"/>
      <w:r>
        <w:rPr>
          <w:rFonts w:ascii="Times New Roman" w:hAnsi="Times New Roman" w:cs="Times New Roman"/>
          <w:i/>
        </w:rPr>
        <w:t xml:space="preserve">, </w:t>
      </w:r>
      <w:r w:rsidRPr="008305F5">
        <w:rPr>
          <w:rFonts w:ascii="Times New Roman" w:hAnsi="Times New Roman" w:cs="Times New Roman"/>
        </w:rPr>
        <w:t>2009, no. 1, s. 1</w:t>
      </w:r>
      <w:r>
        <w:rPr>
          <w:rFonts w:ascii="Times New Roman" w:hAnsi="Times New Roman" w:cs="Times New Roman"/>
        </w:rPr>
        <w:t xml:space="preserve">9. </w:t>
      </w:r>
      <w:r w:rsidRPr="008305F5">
        <w:rPr>
          <w:rFonts w:ascii="Times New Roman" w:hAnsi="Times New Roman" w:cs="Times New Roman"/>
        </w:rPr>
        <w:t xml:space="preserve">K tomu ale srov. např. RAUNIO, </w:t>
      </w:r>
      <w:proofErr w:type="spellStart"/>
      <w:r w:rsidRPr="008305F5">
        <w:rPr>
          <w:rFonts w:ascii="Times New Roman" w:hAnsi="Times New Roman" w:cs="Times New Roman"/>
        </w:rPr>
        <w:t>Tapio</w:t>
      </w:r>
      <w:proofErr w:type="spellEnd"/>
      <w:r w:rsidRPr="008305F5">
        <w:rPr>
          <w:rFonts w:ascii="Times New Roman" w:hAnsi="Times New Roman" w:cs="Times New Roman"/>
        </w:rPr>
        <w:t xml:space="preserve">, O´BRENNAN, John. </w:t>
      </w:r>
      <w:proofErr w:type="spellStart"/>
      <w:r w:rsidRPr="008305F5">
        <w:rPr>
          <w:rFonts w:ascii="Times New Roman" w:hAnsi="Times New Roman" w:cs="Times New Roman"/>
          <w:i/>
        </w:rPr>
        <w:t>National</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Parliaments</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within</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the</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Enlarged</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European</w:t>
      </w:r>
      <w:proofErr w:type="spellEnd"/>
      <w:r w:rsidRPr="008305F5">
        <w:rPr>
          <w:rFonts w:ascii="Times New Roman" w:hAnsi="Times New Roman" w:cs="Times New Roman"/>
          <w:i/>
        </w:rPr>
        <w:t xml:space="preserve"> Union </w:t>
      </w:r>
      <w:proofErr w:type="spellStart"/>
      <w:r w:rsidRPr="008305F5">
        <w:rPr>
          <w:rFonts w:ascii="Times New Roman" w:hAnsi="Times New Roman" w:cs="Times New Roman"/>
          <w:i/>
        </w:rPr>
        <w:t>From</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victims</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of</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integration</w:t>
      </w:r>
      <w:proofErr w:type="spellEnd"/>
      <w:r w:rsidRPr="008305F5">
        <w:rPr>
          <w:rFonts w:ascii="Times New Roman" w:hAnsi="Times New Roman" w:cs="Times New Roman"/>
          <w:i/>
        </w:rPr>
        <w:t xml:space="preserve"> to </w:t>
      </w:r>
      <w:proofErr w:type="spellStart"/>
      <w:r w:rsidRPr="008305F5">
        <w:rPr>
          <w:rFonts w:ascii="Times New Roman" w:hAnsi="Times New Roman" w:cs="Times New Roman"/>
          <w:i/>
        </w:rPr>
        <w:t>competitive</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actors</w:t>
      </w:r>
      <w:proofErr w:type="spellEnd"/>
      <w:r w:rsidRPr="008305F5">
        <w:rPr>
          <w:rFonts w:ascii="Times New Roman" w:hAnsi="Times New Roman" w:cs="Times New Roman"/>
          <w:i/>
        </w:rPr>
        <w:t>?</w:t>
      </w:r>
      <w:r w:rsidRPr="008305F5">
        <w:rPr>
          <w:rFonts w:ascii="Times New Roman" w:hAnsi="Times New Roman" w:cs="Times New Roman"/>
        </w:rPr>
        <w:t xml:space="preserve"> </w:t>
      </w:r>
      <w:proofErr w:type="spellStart"/>
      <w:r w:rsidRPr="008305F5">
        <w:rPr>
          <w:rFonts w:ascii="Times New Roman" w:hAnsi="Times New Roman" w:cs="Times New Roman"/>
        </w:rPr>
        <w:t>Abingdon</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Routledge</w:t>
      </w:r>
      <w:proofErr w:type="spellEnd"/>
      <w:r w:rsidRPr="008305F5">
        <w:rPr>
          <w:rFonts w:ascii="Times New Roman" w:hAnsi="Times New Roman" w:cs="Times New Roman"/>
        </w:rPr>
        <w:t xml:space="preserve">, 2007, s. 8-16. Z poslední doby srov. AUEL, Katrin. </w:t>
      </w:r>
      <w:proofErr w:type="spellStart"/>
      <w:r w:rsidRPr="009F1F5F">
        <w:rPr>
          <w:rFonts w:ascii="Times New Roman" w:hAnsi="Times New Roman" w:cs="Times New Roman"/>
        </w:rPr>
        <w:t>The</w:t>
      </w:r>
      <w:proofErr w:type="spellEnd"/>
      <w:r w:rsidRPr="009F1F5F">
        <w:rPr>
          <w:rFonts w:ascii="Times New Roman" w:hAnsi="Times New Roman" w:cs="Times New Roman"/>
        </w:rPr>
        <w:t xml:space="preserve"> </w:t>
      </w:r>
      <w:proofErr w:type="spellStart"/>
      <w:r w:rsidRPr="009F1F5F">
        <w:rPr>
          <w:rFonts w:ascii="Times New Roman" w:hAnsi="Times New Roman" w:cs="Times New Roman"/>
        </w:rPr>
        <w:t>Europeanization</w:t>
      </w:r>
      <w:proofErr w:type="spellEnd"/>
      <w:r w:rsidRPr="009F1F5F">
        <w:rPr>
          <w:rFonts w:ascii="Times New Roman" w:hAnsi="Times New Roman" w:cs="Times New Roman"/>
        </w:rPr>
        <w:t xml:space="preserve"> </w:t>
      </w:r>
      <w:proofErr w:type="spellStart"/>
      <w:r w:rsidRPr="009F1F5F">
        <w:rPr>
          <w:rFonts w:ascii="Times New Roman" w:hAnsi="Times New Roman" w:cs="Times New Roman"/>
        </w:rPr>
        <w:t>of</w:t>
      </w:r>
      <w:proofErr w:type="spellEnd"/>
      <w:r w:rsidRPr="009F1F5F">
        <w:rPr>
          <w:rFonts w:ascii="Times New Roman" w:hAnsi="Times New Roman" w:cs="Times New Roman"/>
        </w:rPr>
        <w:t xml:space="preserve"> </w:t>
      </w:r>
      <w:proofErr w:type="spellStart"/>
      <w:r w:rsidRPr="009F1F5F">
        <w:rPr>
          <w:rFonts w:ascii="Times New Roman" w:hAnsi="Times New Roman" w:cs="Times New Roman"/>
        </w:rPr>
        <w:t>national</w:t>
      </w:r>
      <w:proofErr w:type="spellEnd"/>
      <w:r w:rsidRPr="009F1F5F">
        <w:rPr>
          <w:rFonts w:ascii="Times New Roman" w:hAnsi="Times New Roman" w:cs="Times New Roman"/>
        </w:rPr>
        <w:t xml:space="preserve"> </w:t>
      </w:r>
      <w:proofErr w:type="spellStart"/>
      <w:r w:rsidRPr="009F1F5F">
        <w:rPr>
          <w:rFonts w:ascii="Times New Roman" w:hAnsi="Times New Roman" w:cs="Times New Roman"/>
        </w:rPr>
        <w:t>parliaments</w:t>
      </w:r>
      <w:proofErr w:type="spellEnd"/>
      <w:r>
        <w:rPr>
          <w:rFonts w:ascii="Times New Roman" w:hAnsi="Times New Roman" w:cs="Times New Roman"/>
        </w:rPr>
        <w:t>. In</w:t>
      </w:r>
      <w:r w:rsidRPr="008305F5">
        <w:rPr>
          <w:rFonts w:ascii="Times New Roman" w:hAnsi="Times New Roman" w:cs="Times New Roman"/>
        </w:rPr>
        <w:t xml:space="preserve"> MAGONE, José a kol. </w:t>
      </w:r>
      <w:proofErr w:type="spellStart"/>
      <w:r w:rsidRPr="008305F5">
        <w:rPr>
          <w:rFonts w:ascii="Times New Roman" w:hAnsi="Times New Roman" w:cs="Times New Roman"/>
          <w:i/>
        </w:rPr>
        <w:t>Routledge</w:t>
      </w:r>
      <w:proofErr w:type="spellEnd"/>
      <w:r w:rsidRPr="008305F5">
        <w:rPr>
          <w:rFonts w:ascii="Times New Roman" w:hAnsi="Times New Roman" w:cs="Times New Roman"/>
          <w:i/>
        </w:rPr>
        <w:t xml:space="preserve"> handbook </w:t>
      </w:r>
      <w:proofErr w:type="spellStart"/>
      <w:r w:rsidRPr="008305F5">
        <w:rPr>
          <w:rFonts w:ascii="Times New Roman" w:hAnsi="Times New Roman" w:cs="Times New Roman"/>
          <w:i/>
        </w:rPr>
        <w:t>of</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European</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politics</w:t>
      </w:r>
      <w:proofErr w:type="spellEnd"/>
      <w:r w:rsidRPr="008305F5">
        <w:rPr>
          <w:rFonts w:ascii="Times New Roman" w:hAnsi="Times New Roman" w:cs="Times New Roman"/>
        </w:rPr>
        <w:t xml:space="preserve">. London: </w:t>
      </w:r>
      <w:proofErr w:type="spellStart"/>
      <w:r w:rsidRPr="008305F5">
        <w:rPr>
          <w:rFonts w:ascii="Times New Roman" w:hAnsi="Times New Roman" w:cs="Times New Roman"/>
        </w:rPr>
        <w:t>Routledge</w:t>
      </w:r>
      <w:proofErr w:type="spellEnd"/>
      <w:r w:rsidRPr="008305F5">
        <w:rPr>
          <w:rFonts w:ascii="Times New Roman" w:hAnsi="Times New Roman" w:cs="Times New Roman"/>
        </w:rPr>
        <w:t>, 2015, s. 382.</w:t>
      </w:r>
    </w:p>
  </w:footnote>
  <w:footnote w:id="22">
    <w:p w:rsidR="00076524" w:rsidRPr="008305F5" w:rsidRDefault="00076524" w:rsidP="00640F57">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sidRPr="008305F5">
        <w:rPr>
          <w:rFonts w:ascii="Times New Roman" w:hAnsi="Times New Roman" w:cs="Times New Roman"/>
        </w:rPr>
        <w:t xml:space="preserve"> </w:t>
      </w:r>
      <w:r>
        <w:rPr>
          <w:rFonts w:ascii="Times New Roman" w:hAnsi="Times New Roman" w:cs="Times New Roman"/>
        </w:rPr>
        <w:t xml:space="preserve">Viz </w:t>
      </w:r>
      <w:r w:rsidRPr="008305F5">
        <w:rPr>
          <w:rFonts w:ascii="Times New Roman" w:hAnsi="Times New Roman" w:cs="Times New Roman"/>
        </w:rPr>
        <w:t xml:space="preserve">FROMAGE, Diane. </w:t>
      </w:r>
      <w:proofErr w:type="spellStart"/>
      <w:r w:rsidRPr="008305F5">
        <w:rPr>
          <w:rFonts w:ascii="Times New Roman" w:hAnsi="Times New Roman" w:cs="Times New Roman"/>
        </w:rPr>
        <w:t>The</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changes</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provoked</w:t>
      </w:r>
      <w:proofErr w:type="spellEnd"/>
      <w:r w:rsidRPr="008305F5">
        <w:rPr>
          <w:rFonts w:ascii="Times New Roman" w:hAnsi="Times New Roman" w:cs="Times New Roman"/>
        </w:rPr>
        <w:t xml:space="preserve"> by </w:t>
      </w:r>
      <w:proofErr w:type="spellStart"/>
      <w:r w:rsidRPr="008305F5">
        <w:rPr>
          <w:rFonts w:ascii="Times New Roman" w:hAnsi="Times New Roman" w:cs="Times New Roman"/>
        </w:rPr>
        <w:t>the</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european</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integration</w:t>
      </w:r>
      <w:proofErr w:type="spellEnd"/>
      <w:r w:rsidRPr="008305F5">
        <w:rPr>
          <w:rFonts w:ascii="Times New Roman" w:hAnsi="Times New Roman" w:cs="Times New Roman"/>
        </w:rPr>
        <w:t xml:space="preserve"> proces</w:t>
      </w:r>
      <w:r w:rsidRPr="008305F5">
        <w:rPr>
          <w:rFonts w:ascii="Times New Roman" w:hAnsi="Times New Roman" w:cs="Times New Roman"/>
          <w:i/>
        </w:rPr>
        <w:t xml:space="preserve">. </w:t>
      </w:r>
      <w:proofErr w:type="spellStart"/>
      <w:r w:rsidRPr="008305F5">
        <w:rPr>
          <w:rFonts w:ascii="Times New Roman" w:hAnsi="Times New Roman" w:cs="Times New Roman"/>
          <w:i/>
        </w:rPr>
        <w:t>Revista</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del</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Posgrado</w:t>
      </w:r>
      <w:proofErr w:type="spellEnd"/>
      <w:r>
        <w:rPr>
          <w:rFonts w:ascii="Times New Roman" w:hAnsi="Times New Roman" w:cs="Times New Roman"/>
          <w:i/>
        </w:rPr>
        <w:t xml:space="preserve"> en </w:t>
      </w:r>
      <w:proofErr w:type="spellStart"/>
      <w:r>
        <w:rPr>
          <w:rFonts w:ascii="Times New Roman" w:hAnsi="Times New Roman" w:cs="Times New Roman"/>
          <w:i/>
        </w:rPr>
        <w:t>Derecho</w:t>
      </w:r>
      <w:proofErr w:type="spellEnd"/>
      <w:r>
        <w:rPr>
          <w:rFonts w:ascii="Times New Roman" w:hAnsi="Times New Roman" w:cs="Times New Roman"/>
          <w:i/>
        </w:rPr>
        <w:t xml:space="preserve"> de la UNAM,</w:t>
      </w:r>
      <w:r w:rsidRPr="008305F5">
        <w:rPr>
          <w:rFonts w:ascii="Times New Roman" w:hAnsi="Times New Roman" w:cs="Times New Roman"/>
          <w:i/>
        </w:rPr>
        <w:t xml:space="preserve"> </w:t>
      </w:r>
      <w:r w:rsidRPr="00DA6D8E">
        <w:rPr>
          <w:rFonts w:ascii="Times New Roman" w:hAnsi="Times New Roman" w:cs="Times New Roman"/>
        </w:rPr>
        <w:t>2015, no. 2, s. 120.</w:t>
      </w:r>
      <w:r w:rsidRPr="008305F5">
        <w:rPr>
          <w:rFonts w:ascii="Times New Roman" w:hAnsi="Times New Roman" w:cs="Times New Roman"/>
          <w:i/>
        </w:rPr>
        <w:t xml:space="preserve"> </w:t>
      </w:r>
    </w:p>
  </w:footnote>
  <w:footnote w:id="23">
    <w:p w:rsidR="00076524" w:rsidRPr="008305F5" w:rsidRDefault="00076524" w:rsidP="00640F57">
      <w:pPr>
        <w:pStyle w:val="Textpoznpodarou"/>
        <w:jc w:val="both"/>
        <w:rPr>
          <w:rFonts w:ascii="Times New Roman" w:hAnsi="Times New Roman" w:cs="Times New Roman"/>
        </w:rPr>
      </w:pPr>
      <w:r w:rsidRPr="008305F5">
        <w:rPr>
          <w:rStyle w:val="Znakapoznpodarou"/>
          <w:rFonts w:ascii="Times New Roman" w:hAnsi="Times New Roman" w:cs="Times New Roman"/>
        </w:rPr>
        <w:footnoteRef/>
      </w:r>
      <w:r w:rsidRPr="008305F5">
        <w:rPr>
          <w:rFonts w:ascii="Times New Roman" w:hAnsi="Times New Roman" w:cs="Times New Roman"/>
        </w:rPr>
        <w:t xml:space="preserve"> EURACTIV. </w:t>
      </w:r>
      <w:proofErr w:type="spellStart"/>
      <w:r w:rsidRPr="008305F5">
        <w:rPr>
          <w:rFonts w:ascii="Times New Roman" w:hAnsi="Times New Roman" w:cs="Times New Roman"/>
          <w:i/>
        </w:rPr>
        <w:t>National</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parliaments</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greatest</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winners</w:t>
      </w:r>
      <w:proofErr w:type="spellEnd"/>
      <w:r w:rsidRPr="008305F5">
        <w:rPr>
          <w:rFonts w:ascii="Times New Roman" w:hAnsi="Times New Roman" w:cs="Times New Roman"/>
          <w:i/>
        </w:rPr>
        <w:t xml:space="preserve">’ in </w:t>
      </w:r>
      <w:proofErr w:type="spellStart"/>
      <w:r w:rsidRPr="008305F5">
        <w:rPr>
          <w:rFonts w:ascii="Times New Roman" w:hAnsi="Times New Roman" w:cs="Times New Roman"/>
          <w:i/>
        </w:rPr>
        <w:t>Lisbon</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Treaty</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say</w:t>
      </w:r>
      <w:proofErr w:type="spellEnd"/>
      <w:r w:rsidRPr="008305F5">
        <w:rPr>
          <w:rFonts w:ascii="Times New Roman" w:hAnsi="Times New Roman" w:cs="Times New Roman"/>
          <w:i/>
        </w:rPr>
        <w:t xml:space="preserve"> </w:t>
      </w:r>
      <w:proofErr w:type="spellStart"/>
      <w:r w:rsidRPr="008305F5">
        <w:rPr>
          <w:rFonts w:ascii="Times New Roman" w:hAnsi="Times New Roman" w:cs="Times New Roman"/>
          <w:i/>
        </w:rPr>
        <w:t>MEPs</w:t>
      </w:r>
      <w:proofErr w:type="spellEnd"/>
      <w:r>
        <w:rPr>
          <w:rFonts w:ascii="Times New Roman" w:hAnsi="Times New Roman" w:cs="Times New Roman"/>
        </w:rPr>
        <w:t xml:space="preserve"> [online]. </w:t>
      </w:r>
      <w:r w:rsidRPr="00C0229A">
        <w:rPr>
          <w:rFonts w:ascii="Times New Roman" w:hAnsi="Times New Roman" w:cs="Times New Roman"/>
        </w:rPr>
        <w:t xml:space="preserve">EURACTIV.COM </w:t>
      </w:r>
      <w:proofErr w:type="spellStart"/>
      <w:r w:rsidRPr="00C0229A">
        <w:rPr>
          <w:rFonts w:ascii="Times New Roman" w:hAnsi="Times New Roman" w:cs="Times New Roman"/>
        </w:rPr>
        <w:t>plc</w:t>
      </w:r>
      <w:proofErr w:type="spellEnd"/>
      <w:r w:rsidRPr="008305F5">
        <w:rPr>
          <w:rFonts w:ascii="Times New Roman" w:hAnsi="Times New Roman" w:cs="Times New Roman"/>
        </w:rPr>
        <w:t xml:space="preserve">, 28. května 2012 [cit. 8. února 2016]. Dostupné na &lt; </w:t>
      </w:r>
      <w:hyperlink r:id="rId2" w:history="1">
        <w:r w:rsidRPr="008305F5">
          <w:rPr>
            <w:rStyle w:val="Hypertextovodkaz"/>
            <w:rFonts w:ascii="Times New Roman" w:hAnsi="Times New Roman" w:cs="Times New Roman"/>
          </w:rPr>
          <w:t>http://www.euractiv.com/future-eu/national-parliaments-greatest-winners-lisbon-treaty-meps/article-168884</w:t>
        </w:r>
      </w:hyperlink>
      <w:r>
        <w:rPr>
          <w:rFonts w:ascii="Times New Roman" w:hAnsi="Times New Roman" w:cs="Times New Roman"/>
        </w:rPr>
        <w:t>&gt;</w:t>
      </w:r>
      <w:r w:rsidRPr="008305F5">
        <w:rPr>
          <w:rFonts w:ascii="Times New Roman" w:hAnsi="Times New Roman" w:cs="Times New Roman"/>
        </w:rPr>
        <w:t>.</w:t>
      </w:r>
    </w:p>
  </w:footnote>
  <w:footnote w:id="24">
    <w:p w:rsidR="00076524" w:rsidRDefault="00076524" w:rsidP="00640F57">
      <w:pPr>
        <w:pStyle w:val="Textpoznpodarou"/>
        <w:jc w:val="both"/>
      </w:pPr>
      <w:r w:rsidRPr="008305F5">
        <w:rPr>
          <w:rStyle w:val="Znakapoznpodarou"/>
          <w:rFonts w:ascii="Times New Roman" w:hAnsi="Times New Roman" w:cs="Times New Roman"/>
        </w:rPr>
        <w:footnoteRef/>
      </w:r>
      <w:r w:rsidRPr="008305F5">
        <w:rPr>
          <w:rFonts w:ascii="Times New Roman" w:hAnsi="Times New Roman" w:cs="Times New Roman"/>
        </w:rPr>
        <w:t xml:space="preserve"> P</w:t>
      </w:r>
      <w:r>
        <w:rPr>
          <w:rFonts w:ascii="Times New Roman" w:hAnsi="Times New Roman" w:cs="Times New Roman"/>
        </w:rPr>
        <w:t>ro přehledovou tabulku a ke zvláštnostem v některých ČS</w:t>
      </w:r>
      <w:r w:rsidRPr="008305F5">
        <w:rPr>
          <w:rFonts w:ascii="Times New Roman" w:hAnsi="Times New Roman" w:cs="Times New Roman"/>
        </w:rPr>
        <w:t xml:space="preserve"> viz GRINC, Jan. </w:t>
      </w:r>
      <w:r w:rsidRPr="008305F5">
        <w:rPr>
          <w:rFonts w:ascii="Times New Roman" w:hAnsi="Times New Roman" w:cs="Times New Roman"/>
          <w:i/>
        </w:rPr>
        <w:t>Národní parlamenty a demokratická legitimita Evropské unie</w:t>
      </w:r>
      <w:r w:rsidRPr="008305F5">
        <w:rPr>
          <w:rFonts w:ascii="Times New Roman" w:hAnsi="Times New Roman" w:cs="Times New Roman"/>
        </w:rPr>
        <w:t xml:space="preserve">. Praha: </w:t>
      </w:r>
      <w:proofErr w:type="spellStart"/>
      <w:r w:rsidRPr="008305F5">
        <w:rPr>
          <w:rFonts w:ascii="Times New Roman" w:hAnsi="Times New Roman" w:cs="Times New Roman"/>
        </w:rPr>
        <w:t>Leges</w:t>
      </w:r>
      <w:proofErr w:type="spellEnd"/>
      <w:r w:rsidRPr="008305F5">
        <w:rPr>
          <w:rFonts w:ascii="Times New Roman" w:hAnsi="Times New Roman" w:cs="Times New Roman"/>
        </w:rPr>
        <w:t>, 2015, s. 37-43.</w:t>
      </w:r>
    </w:p>
  </w:footnote>
  <w:footnote w:id="25">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Čl. 12 písm. a) SEU</w:t>
      </w:r>
    </w:p>
  </w:footnote>
  <w:footnote w:id="26">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Viz MAURER, WESSELS: </w:t>
      </w:r>
      <w:proofErr w:type="spellStart"/>
      <w:r w:rsidRPr="00011F45">
        <w:rPr>
          <w:rFonts w:ascii="Times New Roman" w:hAnsi="Times New Roman" w:cs="Times New Roman"/>
          <w:i/>
        </w:rPr>
        <w:t>National</w:t>
      </w:r>
      <w:proofErr w:type="spellEnd"/>
      <w:r w:rsidRPr="00011F45">
        <w:rPr>
          <w:rFonts w:ascii="Times New Roman" w:hAnsi="Times New Roman" w:cs="Times New Roman"/>
          <w:i/>
        </w:rPr>
        <w:t>...</w:t>
      </w:r>
      <w:r w:rsidRPr="00011F45">
        <w:rPr>
          <w:rFonts w:ascii="Times New Roman" w:hAnsi="Times New Roman" w:cs="Times New Roman"/>
        </w:rPr>
        <w:t>, s. 52.</w:t>
      </w:r>
    </w:p>
  </w:footnote>
  <w:footnote w:id="27">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Viz čl. 2 protokolu č. 9. </w:t>
      </w:r>
      <w:proofErr w:type="spellStart"/>
      <w:r w:rsidRPr="00011F45">
        <w:rPr>
          <w:rFonts w:ascii="Times New Roman" w:hAnsi="Times New Roman" w:cs="Times New Roman"/>
        </w:rPr>
        <w:t>Cygan</w:t>
      </w:r>
      <w:proofErr w:type="spellEnd"/>
      <w:r w:rsidRPr="00011F45">
        <w:rPr>
          <w:rFonts w:ascii="Times New Roman" w:hAnsi="Times New Roman" w:cs="Times New Roman"/>
        </w:rPr>
        <w:t xml:space="preserve"> uvádí, že parlamenty byly ve světle amsterodamské úpravy informačně zcela závislé na svých vládách a často získávaly dokumenty pozdě. Dokonce bylo možné daný stav popsat jako informační deficit. Viz CYGAN: </w:t>
      </w:r>
      <w:proofErr w:type="spellStart"/>
      <w:r w:rsidRPr="00011F45">
        <w:rPr>
          <w:rFonts w:ascii="Times New Roman" w:hAnsi="Times New Roman" w:cs="Times New Roman"/>
          <w:i/>
        </w:rPr>
        <w:t>National</w:t>
      </w:r>
      <w:proofErr w:type="spellEnd"/>
      <w:r w:rsidRPr="00011F45">
        <w:rPr>
          <w:rFonts w:ascii="Times New Roman" w:hAnsi="Times New Roman" w:cs="Times New Roman"/>
          <w:i/>
        </w:rPr>
        <w:t>…</w:t>
      </w:r>
      <w:r w:rsidRPr="00011F45">
        <w:rPr>
          <w:rFonts w:ascii="Times New Roman" w:hAnsi="Times New Roman" w:cs="Times New Roman"/>
        </w:rPr>
        <w:t>, s. 519-520.</w:t>
      </w:r>
    </w:p>
  </w:footnote>
  <w:footnote w:id="28">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Viz např. i AUEL, Katrin, CHRISTIANSEN, Thomas. </w:t>
      </w:r>
      <w:proofErr w:type="spellStart"/>
      <w:r w:rsidRPr="00011F45">
        <w:rPr>
          <w:rFonts w:ascii="Times New Roman" w:hAnsi="Times New Roman" w:cs="Times New Roman"/>
        </w:rPr>
        <w:t>After</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Lisbon</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National</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Parliaments</w:t>
      </w:r>
      <w:proofErr w:type="spellEnd"/>
      <w:r w:rsidRPr="00011F45">
        <w:rPr>
          <w:rFonts w:ascii="Times New Roman" w:hAnsi="Times New Roman" w:cs="Times New Roman"/>
        </w:rPr>
        <w:t xml:space="preserve"> in </w:t>
      </w:r>
      <w:proofErr w:type="spellStart"/>
      <w:r w:rsidRPr="00011F45">
        <w:rPr>
          <w:rFonts w:ascii="Times New Roman" w:hAnsi="Times New Roman" w:cs="Times New Roman"/>
        </w:rPr>
        <w:t>the</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European</w:t>
      </w:r>
      <w:proofErr w:type="spellEnd"/>
      <w:r w:rsidRPr="00011F45">
        <w:rPr>
          <w:rFonts w:ascii="Times New Roman" w:hAnsi="Times New Roman" w:cs="Times New Roman"/>
        </w:rPr>
        <w:t xml:space="preserve"> Union. </w:t>
      </w:r>
      <w:proofErr w:type="spellStart"/>
      <w:r w:rsidRPr="00011F45">
        <w:rPr>
          <w:rFonts w:ascii="Times New Roman" w:hAnsi="Times New Roman" w:cs="Times New Roman"/>
          <w:i/>
        </w:rPr>
        <w:t>West</w:t>
      </w:r>
      <w:proofErr w:type="spellEnd"/>
      <w:r w:rsidRPr="00011F45">
        <w:rPr>
          <w:rFonts w:ascii="Times New Roman" w:hAnsi="Times New Roman" w:cs="Times New Roman"/>
          <w:i/>
        </w:rPr>
        <w:t xml:space="preserve"> </w:t>
      </w:r>
      <w:proofErr w:type="spellStart"/>
      <w:r w:rsidRPr="00011F45">
        <w:rPr>
          <w:rFonts w:ascii="Times New Roman" w:hAnsi="Times New Roman" w:cs="Times New Roman"/>
          <w:i/>
        </w:rPr>
        <w:t>European</w:t>
      </w:r>
      <w:proofErr w:type="spellEnd"/>
      <w:r w:rsidRPr="00011F45">
        <w:rPr>
          <w:rFonts w:ascii="Times New Roman" w:hAnsi="Times New Roman" w:cs="Times New Roman"/>
          <w:i/>
        </w:rPr>
        <w:t xml:space="preserve"> </w:t>
      </w:r>
      <w:proofErr w:type="spellStart"/>
      <w:r w:rsidRPr="00011F45">
        <w:rPr>
          <w:rFonts w:ascii="Times New Roman" w:hAnsi="Times New Roman" w:cs="Times New Roman"/>
          <w:i/>
        </w:rPr>
        <w:t>Politics</w:t>
      </w:r>
      <w:proofErr w:type="spellEnd"/>
      <w:r w:rsidRPr="00011F45">
        <w:rPr>
          <w:rFonts w:ascii="Times New Roman" w:hAnsi="Times New Roman" w:cs="Times New Roman"/>
        </w:rPr>
        <w:t>, 2015, vol. 38, no. 2, s. 267.</w:t>
      </w:r>
    </w:p>
  </w:footnote>
  <w:footnote w:id="29">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Pr>
          <w:rFonts w:ascii="Times New Roman" w:hAnsi="Times New Roman" w:cs="Times New Roman"/>
        </w:rPr>
        <w:t xml:space="preserve"> Viz čl. 1 protokolu č. 1</w:t>
      </w:r>
    </w:p>
  </w:footnote>
  <w:footnote w:id="30">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Viz MAURER, WESSELS: </w:t>
      </w:r>
      <w:proofErr w:type="spellStart"/>
      <w:r w:rsidRPr="00011F45">
        <w:rPr>
          <w:rFonts w:ascii="Times New Roman" w:hAnsi="Times New Roman" w:cs="Times New Roman"/>
          <w:i/>
        </w:rPr>
        <w:t>National</w:t>
      </w:r>
      <w:proofErr w:type="spellEnd"/>
      <w:r w:rsidRPr="00011F45">
        <w:rPr>
          <w:rFonts w:ascii="Times New Roman" w:hAnsi="Times New Roman" w:cs="Times New Roman"/>
          <w:i/>
        </w:rPr>
        <w:t>...</w:t>
      </w:r>
      <w:r w:rsidRPr="00011F45">
        <w:rPr>
          <w:rFonts w:ascii="Times New Roman" w:hAnsi="Times New Roman" w:cs="Times New Roman"/>
        </w:rPr>
        <w:t xml:space="preserve">, s. 62. </w:t>
      </w:r>
    </w:p>
  </w:footnote>
  <w:footnote w:id="31">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Pr>
          <w:rFonts w:ascii="Times New Roman" w:hAnsi="Times New Roman" w:cs="Times New Roman"/>
        </w:rPr>
        <w:t xml:space="preserve"> Viz čl. 2 protokolu č. 1</w:t>
      </w:r>
    </w:p>
  </w:footnote>
  <w:footnote w:id="32">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Viz např. JANČIC, </w:t>
      </w:r>
      <w:proofErr w:type="spellStart"/>
      <w:r w:rsidRPr="00011F45">
        <w:rPr>
          <w:rFonts w:ascii="Times New Roman" w:hAnsi="Times New Roman" w:cs="Times New Roman"/>
        </w:rPr>
        <w:t>Davor</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The</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Barroso</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Initiative</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Window</w:t>
      </w:r>
      <w:proofErr w:type="spellEnd"/>
      <w:r w:rsidRPr="00011F45">
        <w:rPr>
          <w:rFonts w:ascii="Times New Roman" w:hAnsi="Times New Roman" w:cs="Times New Roman"/>
        </w:rPr>
        <w:t xml:space="preserve"> Dressing </w:t>
      </w:r>
      <w:proofErr w:type="spellStart"/>
      <w:r w:rsidRPr="00011F45">
        <w:rPr>
          <w:rFonts w:ascii="Times New Roman" w:hAnsi="Times New Roman" w:cs="Times New Roman"/>
        </w:rPr>
        <w:t>or</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Democracy</w:t>
      </w:r>
      <w:proofErr w:type="spellEnd"/>
      <w:r w:rsidRPr="00011F45">
        <w:rPr>
          <w:rFonts w:ascii="Times New Roman" w:hAnsi="Times New Roman" w:cs="Times New Roman"/>
        </w:rPr>
        <w:t xml:space="preserve"> </w:t>
      </w:r>
      <w:proofErr w:type="spellStart"/>
      <w:r w:rsidRPr="00011F45">
        <w:rPr>
          <w:rFonts w:ascii="Times New Roman" w:hAnsi="Times New Roman" w:cs="Times New Roman"/>
        </w:rPr>
        <w:t>Boost</w:t>
      </w:r>
      <w:proofErr w:type="spellEnd"/>
      <w:r w:rsidRPr="00011F45">
        <w:rPr>
          <w:rFonts w:ascii="Times New Roman" w:hAnsi="Times New Roman" w:cs="Times New Roman"/>
        </w:rPr>
        <w:t xml:space="preserve">? </w:t>
      </w:r>
      <w:r w:rsidRPr="00011F45">
        <w:rPr>
          <w:rFonts w:ascii="Times New Roman" w:hAnsi="Times New Roman" w:cs="Times New Roman"/>
          <w:i/>
        </w:rPr>
        <w:t xml:space="preserve">Utrecht </w:t>
      </w:r>
      <w:proofErr w:type="spellStart"/>
      <w:r w:rsidRPr="00011F45">
        <w:rPr>
          <w:rFonts w:ascii="Times New Roman" w:hAnsi="Times New Roman" w:cs="Times New Roman"/>
          <w:i/>
        </w:rPr>
        <w:t>Law</w:t>
      </w:r>
      <w:proofErr w:type="spellEnd"/>
      <w:r w:rsidRPr="00011F45">
        <w:rPr>
          <w:rFonts w:ascii="Times New Roman" w:hAnsi="Times New Roman" w:cs="Times New Roman"/>
          <w:i/>
        </w:rPr>
        <w:t xml:space="preserve"> </w:t>
      </w:r>
      <w:proofErr w:type="spellStart"/>
      <w:r w:rsidRPr="00011F45">
        <w:rPr>
          <w:rFonts w:ascii="Times New Roman" w:hAnsi="Times New Roman" w:cs="Times New Roman"/>
          <w:i/>
        </w:rPr>
        <w:t>Review</w:t>
      </w:r>
      <w:proofErr w:type="spellEnd"/>
      <w:r w:rsidRPr="00011F45">
        <w:rPr>
          <w:rFonts w:ascii="Times New Roman" w:hAnsi="Times New Roman" w:cs="Times New Roman"/>
        </w:rPr>
        <w:t xml:space="preserve">, 2012, vol. 8, </w:t>
      </w:r>
      <w:proofErr w:type="spellStart"/>
      <w:r w:rsidRPr="00011F45">
        <w:rPr>
          <w:rFonts w:ascii="Times New Roman" w:hAnsi="Times New Roman" w:cs="Times New Roman"/>
        </w:rPr>
        <w:t>issue</w:t>
      </w:r>
      <w:proofErr w:type="spellEnd"/>
      <w:r w:rsidRPr="00011F45">
        <w:rPr>
          <w:rFonts w:ascii="Times New Roman" w:hAnsi="Times New Roman" w:cs="Times New Roman"/>
        </w:rPr>
        <w:t xml:space="preserve"> 1, s. 79. </w:t>
      </w:r>
    </w:p>
  </w:footnote>
  <w:footnote w:id="33">
    <w:p w:rsidR="00076524" w:rsidRPr="00011F45"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w:t>
      </w:r>
      <w:r>
        <w:rPr>
          <w:rFonts w:ascii="Times New Roman" w:hAnsi="Times New Roman" w:cs="Times New Roman"/>
        </w:rPr>
        <w:t xml:space="preserve">Viz </w:t>
      </w:r>
      <w:r w:rsidRPr="00011F45">
        <w:rPr>
          <w:rFonts w:ascii="Times New Roman" w:hAnsi="Times New Roman" w:cs="Times New Roman"/>
        </w:rPr>
        <w:t xml:space="preserve">ČAKRT, František. Lisabonská smlouva a národní parlamenty. </w:t>
      </w:r>
      <w:r w:rsidRPr="00011F45">
        <w:rPr>
          <w:rFonts w:ascii="Times New Roman" w:hAnsi="Times New Roman" w:cs="Times New Roman"/>
          <w:i/>
        </w:rPr>
        <w:t>Jurisprudence</w:t>
      </w:r>
      <w:r w:rsidRPr="00011F45">
        <w:rPr>
          <w:rFonts w:ascii="Times New Roman" w:hAnsi="Times New Roman" w:cs="Times New Roman"/>
        </w:rPr>
        <w:t xml:space="preserve">, 2010, č. 4, s. 5. </w:t>
      </w:r>
    </w:p>
  </w:footnote>
  <w:footnote w:id="34">
    <w:p w:rsidR="00076524" w:rsidRPr="002574F2" w:rsidRDefault="00076524" w:rsidP="00011F45">
      <w:pPr>
        <w:pStyle w:val="Textpoznpodarou"/>
        <w:jc w:val="both"/>
        <w:rPr>
          <w:rFonts w:ascii="Times New Roman" w:hAnsi="Times New Roman" w:cs="Times New Roman"/>
        </w:rPr>
      </w:pPr>
      <w:r w:rsidRPr="00011F45">
        <w:rPr>
          <w:rStyle w:val="Znakapoznpodarou"/>
          <w:rFonts w:ascii="Times New Roman" w:hAnsi="Times New Roman" w:cs="Times New Roman"/>
        </w:rPr>
        <w:footnoteRef/>
      </w:r>
      <w:r w:rsidRPr="00011F45">
        <w:rPr>
          <w:rFonts w:ascii="Times New Roman" w:hAnsi="Times New Roman" w:cs="Times New Roman"/>
        </w:rPr>
        <w:t xml:space="preserve"> </w:t>
      </w:r>
      <w:r>
        <w:rPr>
          <w:rFonts w:ascii="Times New Roman" w:hAnsi="Times New Roman" w:cs="Times New Roman"/>
        </w:rPr>
        <w:t>Viz čl. 3 protokolu č. 9</w:t>
      </w:r>
    </w:p>
  </w:footnote>
  <w:footnote w:id="35">
    <w:p w:rsidR="00076524" w:rsidRPr="00B24C90" w:rsidRDefault="00076524" w:rsidP="00C161C8">
      <w:pPr>
        <w:pStyle w:val="Textpoznpodarou"/>
        <w:jc w:val="both"/>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Čl. 12 písm. c) SEU</w:t>
      </w:r>
    </w:p>
  </w:footnote>
  <w:footnote w:id="36">
    <w:p w:rsidR="00076524" w:rsidRPr="00B24C90" w:rsidRDefault="00076524" w:rsidP="00C161C8">
      <w:pPr>
        <w:pStyle w:val="Textpoznpodarou"/>
        <w:jc w:val="both"/>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PIKNA, Bohumil. </w:t>
      </w:r>
      <w:r w:rsidRPr="00B24C90">
        <w:rPr>
          <w:rFonts w:ascii="Times New Roman" w:hAnsi="Times New Roman" w:cs="Times New Roman"/>
          <w:i/>
        </w:rPr>
        <w:t>Evropský prostor svobody, bezpečnosti a práva prizmatem Lisabonské smlouvy</w:t>
      </w:r>
      <w:r w:rsidRPr="00B24C90">
        <w:rPr>
          <w:rFonts w:ascii="Times New Roman" w:hAnsi="Times New Roman" w:cs="Times New Roman"/>
        </w:rPr>
        <w:t>. 2. vyd. Praha: Linde, 2010, s. 185.</w:t>
      </w:r>
    </w:p>
  </w:footnote>
  <w:footnote w:id="37">
    <w:p w:rsidR="00076524" w:rsidRPr="00B24C90" w:rsidRDefault="00076524" w:rsidP="00C161C8">
      <w:pPr>
        <w:pStyle w:val="Textpoznpodarou"/>
        <w:jc w:val="both"/>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Viz GEORGIEV, Jiří. </w:t>
      </w:r>
      <w:r w:rsidRPr="00B24C90">
        <w:rPr>
          <w:rFonts w:ascii="Times New Roman" w:hAnsi="Times New Roman" w:cs="Times New Roman"/>
          <w:i/>
        </w:rPr>
        <w:t>Parlamentní kontrola agendy Evropské unie v Senátu</w:t>
      </w:r>
      <w:r w:rsidRPr="00B24C90">
        <w:rPr>
          <w:rFonts w:ascii="Times New Roman" w:hAnsi="Times New Roman" w:cs="Times New Roman"/>
        </w:rPr>
        <w:t>. 4. vyd. Praha: Kancelář Senátu Parlamentu ČR, 2010, s. 15-19.</w:t>
      </w:r>
    </w:p>
  </w:footnote>
  <w:footnote w:id="38">
    <w:p w:rsidR="00076524" w:rsidRPr="00B24C90" w:rsidRDefault="00076524" w:rsidP="00C161C8">
      <w:pPr>
        <w:pStyle w:val="Textpoznpodarou"/>
        <w:jc w:val="both"/>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w:t>
      </w:r>
      <w:r>
        <w:rPr>
          <w:rFonts w:ascii="Times New Roman" w:hAnsi="Times New Roman" w:cs="Times New Roman"/>
        </w:rPr>
        <w:t>Viz č</w:t>
      </w:r>
      <w:r w:rsidRPr="00B24C90">
        <w:rPr>
          <w:rFonts w:ascii="Times New Roman" w:hAnsi="Times New Roman" w:cs="Times New Roman"/>
        </w:rPr>
        <w:t>l. 85 SFEU</w:t>
      </w:r>
    </w:p>
  </w:footnote>
  <w:footnote w:id="39">
    <w:p w:rsidR="00076524" w:rsidRPr="00B24C90" w:rsidRDefault="00076524" w:rsidP="00C161C8">
      <w:pPr>
        <w:pStyle w:val="Textpoznpodarou"/>
        <w:jc w:val="both"/>
        <w:rPr>
          <w:rFonts w:ascii="Times New Roman" w:hAnsi="Times New Roman" w:cs="Times New Roman"/>
        </w:rPr>
      </w:pPr>
      <w:r w:rsidRPr="00B24C90">
        <w:rPr>
          <w:rStyle w:val="Znakapoznpodarou"/>
          <w:rFonts w:ascii="Times New Roman" w:hAnsi="Times New Roman" w:cs="Times New Roman"/>
        </w:rPr>
        <w:footnoteRef/>
      </w:r>
      <w:r>
        <w:rPr>
          <w:rFonts w:ascii="Times New Roman" w:hAnsi="Times New Roman" w:cs="Times New Roman"/>
        </w:rPr>
        <w:t xml:space="preserve"> Viz č</w:t>
      </w:r>
      <w:r w:rsidRPr="00B24C90">
        <w:rPr>
          <w:rFonts w:ascii="Times New Roman" w:hAnsi="Times New Roman" w:cs="Times New Roman"/>
        </w:rPr>
        <w:t>l. 88 SFEU</w:t>
      </w:r>
    </w:p>
  </w:footnote>
  <w:footnote w:id="40">
    <w:p w:rsidR="00076524" w:rsidRPr="00B24C90" w:rsidRDefault="00076524" w:rsidP="00C161C8">
      <w:pPr>
        <w:pStyle w:val="Textpoznpodarou"/>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Viz PIKNA: </w:t>
      </w:r>
      <w:r w:rsidRPr="00B24C90">
        <w:rPr>
          <w:rFonts w:ascii="Times New Roman" w:hAnsi="Times New Roman" w:cs="Times New Roman"/>
          <w:i/>
        </w:rPr>
        <w:t>Evropský…,</w:t>
      </w:r>
      <w:r w:rsidRPr="00B24C90">
        <w:rPr>
          <w:rFonts w:ascii="Times New Roman" w:hAnsi="Times New Roman" w:cs="Times New Roman"/>
        </w:rPr>
        <w:t xml:space="preserve"> s. 204.</w:t>
      </w:r>
    </w:p>
  </w:footnote>
  <w:footnote w:id="41">
    <w:p w:rsidR="00076524" w:rsidRPr="00B24C90" w:rsidRDefault="00076524" w:rsidP="00C161C8">
      <w:pPr>
        <w:pStyle w:val="Textpoznpodarou"/>
        <w:rPr>
          <w:rFonts w:ascii="Times New Roman" w:hAnsi="Times New Roman" w:cs="Times New Roman"/>
        </w:rPr>
      </w:pPr>
      <w:r w:rsidRPr="00B24C90">
        <w:rPr>
          <w:rStyle w:val="Znakapoznpodarou"/>
          <w:rFonts w:ascii="Times New Roman" w:hAnsi="Times New Roman" w:cs="Times New Roman"/>
        </w:rPr>
        <w:footnoteRef/>
      </w:r>
      <w:r w:rsidRPr="00B24C90">
        <w:rPr>
          <w:rFonts w:ascii="Times New Roman" w:hAnsi="Times New Roman" w:cs="Times New Roman"/>
        </w:rPr>
        <w:t xml:space="preserve"> </w:t>
      </w:r>
      <w:r>
        <w:rPr>
          <w:rFonts w:ascii="Times New Roman" w:hAnsi="Times New Roman" w:cs="Times New Roman"/>
        </w:rPr>
        <w:t>Viz č</w:t>
      </w:r>
      <w:r w:rsidRPr="00B24C90">
        <w:rPr>
          <w:rFonts w:ascii="Times New Roman" w:hAnsi="Times New Roman" w:cs="Times New Roman"/>
        </w:rPr>
        <w:t>l. 48 SFEU</w:t>
      </w:r>
    </w:p>
  </w:footnote>
  <w:footnote w:id="42">
    <w:p w:rsidR="00076524" w:rsidRDefault="00076524" w:rsidP="00C161C8">
      <w:pPr>
        <w:pStyle w:val="Textpoznpodarou"/>
      </w:pPr>
      <w:r w:rsidRPr="00B24C90">
        <w:rPr>
          <w:rStyle w:val="Znakapoznpodarou"/>
          <w:rFonts w:ascii="Times New Roman" w:hAnsi="Times New Roman" w:cs="Times New Roman"/>
        </w:rPr>
        <w:footnoteRef/>
      </w:r>
      <w:r w:rsidRPr="00B24C90">
        <w:rPr>
          <w:rFonts w:ascii="Times New Roman" w:hAnsi="Times New Roman" w:cs="Times New Roman"/>
        </w:rPr>
        <w:t xml:space="preserve"> </w:t>
      </w:r>
      <w:r>
        <w:rPr>
          <w:rFonts w:ascii="Times New Roman" w:hAnsi="Times New Roman" w:cs="Times New Roman"/>
        </w:rPr>
        <w:t>Viz č</w:t>
      </w:r>
      <w:r w:rsidRPr="00B24C90">
        <w:rPr>
          <w:rFonts w:ascii="Times New Roman" w:hAnsi="Times New Roman" w:cs="Times New Roman"/>
        </w:rPr>
        <w:t>l. 82 odst. 3 SFEU a čl. 83 odst. 3 SFEU</w:t>
      </w:r>
    </w:p>
  </w:footnote>
  <w:footnote w:id="43">
    <w:p w:rsidR="00076524" w:rsidRPr="00E05B8A" w:rsidRDefault="00076524" w:rsidP="00C161C8">
      <w:pPr>
        <w:pStyle w:val="Textpoznpodarou"/>
        <w:rPr>
          <w:rFonts w:ascii="Times New Roman" w:hAnsi="Times New Roman" w:cs="Times New Roman"/>
        </w:rPr>
      </w:pPr>
      <w:r w:rsidRPr="00E05B8A">
        <w:rPr>
          <w:rStyle w:val="Znakapoznpodarou"/>
          <w:rFonts w:ascii="Times New Roman" w:hAnsi="Times New Roman" w:cs="Times New Roman"/>
        </w:rPr>
        <w:footnoteRef/>
      </w:r>
      <w:r w:rsidRPr="00E05B8A">
        <w:rPr>
          <w:rFonts w:ascii="Times New Roman" w:hAnsi="Times New Roman" w:cs="Times New Roman"/>
        </w:rPr>
        <w:t xml:space="preserve"> GRINC: </w:t>
      </w:r>
      <w:r w:rsidRPr="00E05B8A">
        <w:rPr>
          <w:rFonts w:ascii="Times New Roman" w:hAnsi="Times New Roman" w:cs="Times New Roman"/>
          <w:i/>
        </w:rPr>
        <w:t xml:space="preserve">Národní…, </w:t>
      </w:r>
      <w:r w:rsidRPr="00E05B8A">
        <w:rPr>
          <w:rFonts w:ascii="Times New Roman" w:hAnsi="Times New Roman" w:cs="Times New Roman"/>
        </w:rPr>
        <w:t>s. 140.</w:t>
      </w:r>
    </w:p>
  </w:footnote>
  <w:footnote w:id="44">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Čl. 12 písm. d) SEU</w:t>
      </w:r>
    </w:p>
  </w:footnote>
  <w:footnote w:id="45">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Čl. 12 písm. e) SEU </w:t>
      </w:r>
    </w:p>
  </w:footnote>
  <w:footnote w:id="46">
    <w:p w:rsidR="00076524" w:rsidRDefault="00076524">
      <w:pPr>
        <w:pStyle w:val="Textpoznpodarou"/>
      </w:pPr>
      <w:r>
        <w:rPr>
          <w:rStyle w:val="Znakapoznpodarou"/>
        </w:rPr>
        <w:footnoteRef/>
      </w:r>
      <w:r>
        <w:t xml:space="preserve"> </w:t>
      </w:r>
      <w:r w:rsidRPr="00920F68">
        <w:rPr>
          <w:rFonts w:ascii="Times New Roman" w:hAnsi="Times New Roman" w:cs="Times New Roman"/>
        </w:rPr>
        <w:t>Čl. 49 SEU</w:t>
      </w:r>
    </w:p>
  </w:footnote>
  <w:footnote w:id="47">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Pr>
          <w:rFonts w:ascii="Times New Roman" w:hAnsi="Times New Roman" w:cs="Times New Roman"/>
        </w:rPr>
        <w:t>Viz např. EUROSKOP</w:t>
      </w:r>
      <w:r w:rsidRPr="000C5181">
        <w:rPr>
          <w:rFonts w:ascii="Times New Roman" w:hAnsi="Times New Roman" w:cs="Times New Roman"/>
        </w:rPr>
        <w:t xml:space="preserve">. </w:t>
      </w:r>
      <w:r w:rsidRPr="00173DB5">
        <w:rPr>
          <w:rFonts w:ascii="Times New Roman" w:hAnsi="Times New Roman" w:cs="Times New Roman"/>
          <w:i/>
        </w:rPr>
        <w:t>Referenda o přistoupení k EU v kandidátských zemích</w:t>
      </w:r>
      <w:r>
        <w:rPr>
          <w:rFonts w:ascii="Times New Roman" w:hAnsi="Times New Roman" w:cs="Times New Roman"/>
        </w:rPr>
        <w:t xml:space="preserve"> [online]. </w:t>
      </w:r>
      <w:r w:rsidRPr="0075456C">
        <w:rPr>
          <w:rFonts w:ascii="Times New Roman" w:hAnsi="Times New Roman" w:cs="Times New Roman"/>
        </w:rPr>
        <w:t>Vláda České republiky</w:t>
      </w:r>
      <w:r w:rsidRPr="000C5181">
        <w:rPr>
          <w:rFonts w:ascii="Times New Roman" w:hAnsi="Times New Roman" w:cs="Times New Roman"/>
        </w:rPr>
        <w:t>, 3. března 2016 [cit. 3. března 2016]. Dostupné na &lt;https://www.euroskop.cz/267/sekce/referenda-o-pristoup</w:t>
      </w:r>
      <w:r>
        <w:rPr>
          <w:rFonts w:ascii="Times New Roman" w:hAnsi="Times New Roman" w:cs="Times New Roman"/>
        </w:rPr>
        <w:t>eni-k-eu-v-kandidatskych-zemich</w:t>
      </w:r>
      <w:r w:rsidRPr="000C5181">
        <w:rPr>
          <w:rFonts w:ascii="Times New Roman" w:hAnsi="Times New Roman" w:cs="Times New Roman"/>
        </w:rPr>
        <w:t>&gt;.</w:t>
      </w:r>
    </w:p>
  </w:footnote>
  <w:footnote w:id="48">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Pr>
          <w:rFonts w:ascii="Times New Roman" w:hAnsi="Times New Roman" w:cs="Times New Roman"/>
        </w:rPr>
        <w:t>Viz č</w:t>
      </w:r>
      <w:r w:rsidRPr="00B4586D">
        <w:rPr>
          <w:rFonts w:ascii="Times New Roman" w:hAnsi="Times New Roman" w:cs="Times New Roman"/>
        </w:rPr>
        <w:t>l. 48 odst. 2 a 4 SEU</w:t>
      </w:r>
      <w:r>
        <w:rPr>
          <w:rFonts w:ascii="Times New Roman" w:hAnsi="Times New Roman" w:cs="Times New Roman"/>
        </w:rPr>
        <w:t>. A viz také</w:t>
      </w:r>
      <w:r w:rsidRPr="00B4586D">
        <w:rPr>
          <w:rFonts w:ascii="Times New Roman" w:hAnsi="Times New Roman" w:cs="Times New Roman"/>
        </w:rPr>
        <w:t xml:space="preserve"> </w:t>
      </w:r>
      <w:r w:rsidRPr="00C072FE">
        <w:rPr>
          <w:rFonts w:ascii="Times New Roman" w:hAnsi="Times New Roman" w:cs="Times New Roman"/>
        </w:rPr>
        <w:t xml:space="preserve">HAMUĽÁK, Ondrej, STEHLÍK, Václav. </w:t>
      </w:r>
      <w:r w:rsidRPr="00AF35B1">
        <w:rPr>
          <w:rFonts w:ascii="Times New Roman" w:hAnsi="Times New Roman" w:cs="Times New Roman"/>
          <w:i/>
        </w:rPr>
        <w:t>Praktikum práva Evropské unie: ústavní základy a soudnictví</w:t>
      </w:r>
      <w:r w:rsidRPr="00C072FE">
        <w:rPr>
          <w:rFonts w:ascii="Times New Roman" w:hAnsi="Times New Roman" w:cs="Times New Roman"/>
        </w:rPr>
        <w:t>.</w:t>
      </w:r>
      <w:r>
        <w:rPr>
          <w:rFonts w:ascii="Times New Roman" w:hAnsi="Times New Roman" w:cs="Times New Roman"/>
        </w:rPr>
        <w:t xml:space="preserve"> 2. vyd. Praha: </w:t>
      </w:r>
      <w:proofErr w:type="spellStart"/>
      <w:r>
        <w:rPr>
          <w:rFonts w:ascii="Times New Roman" w:hAnsi="Times New Roman" w:cs="Times New Roman"/>
        </w:rPr>
        <w:t>Leges</w:t>
      </w:r>
      <w:proofErr w:type="spellEnd"/>
      <w:r>
        <w:rPr>
          <w:rFonts w:ascii="Times New Roman" w:hAnsi="Times New Roman" w:cs="Times New Roman"/>
        </w:rPr>
        <w:t>, 2013,</w:t>
      </w:r>
      <w:r w:rsidRPr="00B4586D">
        <w:rPr>
          <w:rFonts w:ascii="Times New Roman" w:hAnsi="Times New Roman" w:cs="Times New Roman"/>
        </w:rPr>
        <w:t xml:space="preserve"> s. 41</w:t>
      </w:r>
      <w:r>
        <w:rPr>
          <w:rFonts w:ascii="Times New Roman" w:hAnsi="Times New Roman" w:cs="Times New Roman"/>
        </w:rPr>
        <w:t>.</w:t>
      </w:r>
    </w:p>
  </w:footnote>
  <w:footnote w:id="49">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Pr>
          <w:rFonts w:ascii="Times New Roman" w:hAnsi="Times New Roman" w:cs="Times New Roman"/>
        </w:rPr>
        <w:t xml:space="preserve">KRÁL, David, </w:t>
      </w:r>
      <w:r w:rsidRPr="00AF35B1">
        <w:rPr>
          <w:rFonts w:ascii="Times New Roman" w:hAnsi="Times New Roman" w:cs="Times New Roman"/>
        </w:rPr>
        <w:t>BARTOVIC</w:t>
      </w:r>
      <w:r>
        <w:rPr>
          <w:rFonts w:ascii="Times New Roman" w:hAnsi="Times New Roman" w:cs="Times New Roman"/>
        </w:rPr>
        <w:t>, Vladimír</w:t>
      </w:r>
      <w:r w:rsidRPr="00AF35B1">
        <w:rPr>
          <w:rFonts w:ascii="Times New Roman" w:hAnsi="Times New Roman" w:cs="Times New Roman"/>
        </w:rPr>
        <w:t xml:space="preserve">. </w:t>
      </w:r>
      <w:r w:rsidRPr="00AF35B1">
        <w:rPr>
          <w:rFonts w:ascii="Times New Roman" w:hAnsi="Times New Roman" w:cs="Times New Roman"/>
          <w:i/>
        </w:rPr>
        <w:t>Český a slovenský parlament po Lisabonské smlouvě</w:t>
      </w:r>
      <w:r>
        <w:rPr>
          <w:rFonts w:ascii="Times New Roman" w:hAnsi="Times New Roman" w:cs="Times New Roman"/>
        </w:rPr>
        <w:t xml:space="preserve">. </w:t>
      </w:r>
      <w:r w:rsidRPr="00AF35B1">
        <w:rPr>
          <w:rFonts w:ascii="Times New Roman" w:hAnsi="Times New Roman" w:cs="Times New Roman"/>
        </w:rPr>
        <w:t>Praha: Institut pro evropskou politiku EUROPEU</w:t>
      </w:r>
      <w:r>
        <w:rPr>
          <w:rFonts w:ascii="Times New Roman" w:hAnsi="Times New Roman" w:cs="Times New Roman"/>
        </w:rPr>
        <w:t>M, 2010, s.</w:t>
      </w:r>
      <w:r w:rsidRPr="00AF35B1">
        <w:rPr>
          <w:rFonts w:ascii="Times New Roman" w:hAnsi="Times New Roman" w:cs="Times New Roman"/>
        </w:rPr>
        <w:t xml:space="preserve"> 13</w:t>
      </w:r>
      <w:r>
        <w:rPr>
          <w:rFonts w:ascii="Times New Roman" w:hAnsi="Times New Roman" w:cs="Times New Roman"/>
          <w:i/>
        </w:rPr>
        <w:t>.</w:t>
      </w:r>
    </w:p>
  </w:footnote>
  <w:footnote w:id="50">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Viz např. FROMAGE: </w:t>
      </w:r>
      <w:proofErr w:type="spellStart"/>
      <w:r w:rsidRPr="00B4586D">
        <w:rPr>
          <w:rFonts w:ascii="Times New Roman" w:hAnsi="Times New Roman" w:cs="Times New Roman"/>
          <w:i/>
        </w:rPr>
        <w:t>The</w:t>
      </w:r>
      <w:proofErr w:type="spellEnd"/>
      <w:r w:rsidRPr="00B4586D">
        <w:rPr>
          <w:rFonts w:ascii="Times New Roman" w:hAnsi="Times New Roman" w:cs="Times New Roman"/>
          <w:i/>
        </w:rPr>
        <w:t xml:space="preserve"> </w:t>
      </w:r>
      <w:proofErr w:type="spellStart"/>
      <w:r w:rsidRPr="00B4586D">
        <w:rPr>
          <w:rFonts w:ascii="Times New Roman" w:hAnsi="Times New Roman" w:cs="Times New Roman"/>
          <w:i/>
        </w:rPr>
        <w:t>changes</w:t>
      </w:r>
      <w:proofErr w:type="spellEnd"/>
      <w:r w:rsidRPr="00B4586D">
        <w:rPr>
          <w:rFonts w:ascii="Times New Roman" w:hAnsi="Times New Roman" w:cs="Times New Roman"/>
          <w:i/>
        </w:rPr>
        <w:t xml:space="preserve">..., </w:t>
      </w:r>
      <w:r w:rsidRPr="00B4586D">
        <w:rPr>
          <w:rFonts w:ascii="Times New Roman" w:hAnsi="Times New Roman" w:cs="Times New Roman"/>
        </w:rPr>
        <w:t>s. 112.</w:t>
      </w:r>
    </w:p>
  </w:footnote>
  <w:footnote w:id="51">
    <w:p w:rsidR="00076524" w:rsidRPr="00B4586D" w:rsidRDefault="00076524" w:rsidP="00EE3D7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Viz GRINC: </w:t>
      </w:r>
      <w:r>
        <w:rPr>
          <w:rFonts w:ascii="Times New Roman" w:hAnsi="Times New Roman" w:cs="Times New Roman"/>
          <w:i/>
        </w:rPr>
        <w:t>Národní</w:t>
      </w:r>
      <w:r w:rsidRPr="00B4586D">
        <w:rPr>
          <w:rFonts w:ascii="Times New Roman" w:hAnsi="Times New Roman" w:cs="Times New Roman"/>
          <w:i/>
        </w:rPr>
        <w:t>...</w:t>
      </w:r>
      <w:r w:rsidRPr="00B4586D">
        <w:rPr>
          <w:rFonts w:ascii="Times New Roman" w:hAnsi="Times New Roman" w:cs="Times New Roman"/>
        </w:rPr>
        <w:t>, s. 128.</w:t>
      </w:r>
    </w:p>
  </w:footnote>
  <w:footnote w:id="52">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Pr>
          <w:rFonts w:ascii="Times New Roman" w:hAnsi="Times New Roman" w:cs="Times New Roman"/>
        </w:rPr>
        <w:t xml:space="preserve"> Viz čl. 48 odst. 3 SEU</w:t>
      </w:r>
    </w:p>
  </w:footnote>
  <w:footnote w:id="53">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Blíže k samotnému postupu viz čl. 48 odst. 6 SEU</w:t>
      </w:r>
    </w:p>
  </w:footnote>
  <w:footnote w:id="54">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Pr>
          <w:rFonts w:ascii="Times New Roman" w:hAnsi="Times New Roman" w:cs="Times New Roman"/>
        </w:rPr>
        <w:t>SVOBODA, Pavel. K </w:t>
      </w:r>
      <w:proofErr w:type="spellStart"/>
      <w:r>
        <w:rPr>
          <w:rFonts w:ascii="Times New Roman" w:hAnsi="Times New Roman" w:cs="Times New Roman"/>
        </w:rPr>
        <w:t>evropskoprávní</w:t>
      </w:r>
      <w:proofErr w:type="spellEnd"/>
      <w:r>
        <w:rPr>
          <w:rFonts w:ascii="Times New Roman" w:hAnsi="Times New Roman" w:cs="Times New Roman"/>
        </w:rPr>
        <w:t xml:space="preserve"> flexibilitě. </w:t>
      </w:r>
      <w:r w:rsidRPr="008C6583">
        <w:rPr>
          <w:rFonts w:ascii="Times New Roman" w:hAnsi="Times New Roman" w:cs="Times New Roman"/>
          <w:i/>
        </w:rPr>
        <w:t>Právní rozhledy</w:t>
      </w:r>
      <w:r>
        <w:rPr>
          <w:rFonts w:ascii="Times New Roman" w:hAnsi="Times New Roman" w:cs="Times New Roman"/>
        </w:rPr>
        <w:t>, 2011, č. 6, s. 216.</w:t>
      </w:r>
      <w:r w:rsidRPr="00B4586D">
        <w:rPr>
          <w:rFonts w:ascii="Times New Roman" w:hAnsi="Times New Roman" w:cs="Times New Roman"/>
        </w:rPr>
        <w:t xml:space="preserve"> Viz také </w:t>
      </w:r>
      <w:r>
        <w:rPr>
          <w:rFonts w:ascii="Times New Roman" w:hAnsi="Times New Roman" w:cs="Times New Roman"/>
        </w:rPr>
        <w:t xml:space="preserve">Soudní dvůr: </w:t>
      </w:r>
      <w:r w:rsidRPr="008B6A1F">
        <w:rPr>
          <w:rFonts w:ascii="Times New Roman" w:hAnsi="Times New Roman" w:cs="Times New Roman"/>
        </w:rPr>
        <w:t xml:space="preserve">Rozsudek ze dne 27. listopadu 2012, </w:t>
      </w:r>
      <w:proofErr w:type="spellStart"/>
      <w:r w:rsidRPr="00B7359A">
        <w:rPr>
          <w:rFonts w:ascii="Times New Roman" w:hAnsi="Times New Roman" w:cs="Times New Roman"/>
          <w:i/>
        </w:rPr>
        <w:t>Pringle</w:t>
      </w:r>
      <w:proofErr w:type="spellEnd"/>
      <w:r w:rsidRPr="00B7359A">
        <w:rPr>
          <w:rFonts w:ascii="Times New Roman" w:hAnsi="Times New Roman" w:cs="Times New Roman"/>
          <w:i/>
        </w:rPr>
        <w:t xml:space="preserve"> v </w:t>
      </w:r>
      <w:proofErr w:type="spellStart"/>
      <w:r w:rsidRPr="00B7359A">
        <w:rPr>
          <w:rFonts w:ascii="Times New Roman" w:hAnsi="Times New Roman" w:cs="Times New Roman"/>
          <w:i/>
        </w:rPr>
        <w:t>Governement</w:t>
      </w:r>
      <w:proofErr w:type="spellEnd"/>
      <w:r w:rsidRPr="00B7359A">
        <w:rPr>
          <w:rFonts w:ascii="Times New Roman" w:hAnsi="Times New Roman" w:cs="Times New Roman"/>
          <w:i/>
        </w:rPr>
        <w:t xml:space="preserve"> </w:t>
      </w:r>
      <w:proofErr w:type="spellStart"/>
      <w:r w:rsidRPr="00B7359A">
        <w:rPr>
          <w:rFonts w:ascii="Times New Roman" w:hAnsi="Times New Roman" w:cs="Times New Roman"/>
          <w:i/>
        </w:rPr>
        <w:t>of</w:t>
      </w:r>
      <w:proofErr w:type="spellEnd"/>
      <w:r w:rsidRPr="00B7359A">
        <w:rPr>
          <w:rFonts w:ascii="Times New Roman" w:hAnsi="Times New Roman" w:cs="Times New Roman"/>
          <w:i/>
        </w:rPr>
        <w:t xml:space="preserve"> </w:t>
      </w:r>
      <w:proofErr w:type="spellStart"/>
      <w:r w:rsidRPr="00B7359A">
        <w:rPr>
          <w:rFonts w:ascii="Times New Roman" w:hAnsi="Times New Roman" w:cs="Times New Roman"/>
          <w:i/>
        </w:rPr>
        <w:t>Ireland</w:t>
      </w:r>
      <w:proofErr w:type="spellEnd"/>
      <w:r>
        <w:rPr>
          <w:rFonts w:ascii="Times New Roman" w:hAnsi="Times New Roman" w:cs="Times New Roman"/>
        </w:rPr>
        <w:t>, C-370/12, body 71-</w:t>
      </w:r>
      <w:r w:rsidRPr="008B6A1F">
        <w:rPr>
          <w:rFonts w:ascii="Times New Roman" w:hAnsi="Times New Roman" w:cs="Times New Roman"/>
        </w:rPr>
        <w:t>76.</w:t>
      </w:r>
    </w:p>
  </w:footnote>
  <w:footnote w:id="55">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Pr>
          <w:rFonts w:ascii="Times New Roman" w:hAnsi="Times New Roman" w:cs="Times New Roman"/>
        </w:rPr>
        <w:t xml:space="preserve">Viz </w:t>
      </w:r>
      <w:r w:rsidRPr="00613F1A">
        <w:rPr>
          <w:rFonts w:ascii="Times New Roman" w:hAnsi="Times New Roman" w:cs="Times New Roman"/>
        </w:rPr>
        <w:t xml:space="preserve">PIRIS, Jean-Claude. </w:t>
      </w:r>
      <w:proofErr w:type="spellStart"/>
      <w:r w:rsidRPr="00166E73">
        <w:rPr>
          <w:rFonts w:ascii="Times New Roman" w:hAnsi="Times New Roman" w:cs="Times New Roman"/>
          <w:i/>
        </w:rPr>
        <w:t>The</w:t>
      </w:r>
      <w:proofErr w:type="spellEnd"/>
      <w:r w:rsidRPr="00166E73">
        <w:rPr>
          <w:rFonts w:ascii="Times New Roman" w:hAnsi="Times New Roman" w:cs="Times New Roman"/>
          <w:i/>
        </w:rPr>
        <w:t xml:space="preserve"> </w:t>
      </w:r>
      <w:proofErr w:type="spellStart"/>
      <w:r w:rsidRPr="00166E73">
        <w:rPr>
          <w:rFonts w:ascii="Times New Roman" w:hAnsi="Times New Roman" w:cs="Times New Roman"/>
          <w:i/>
        </w:rPr>
        <w:t>Lisbon</w:t>
      </w:r>
      <w:proofErr w:type="spellEnd"/>
      <w:r w:rsidRPr="00166E73">
        <w:rPr>
          <w:rFonts w:ascii="Times New Roman" w:hAnsi="Times New Roman" w:cs="Times New Roman"/>
          <w:i/>
        </w:rPr>
        <w:t xml:space="preserve"> </w:t>
      </w:r>
      <w:proofErr w:type="spellStart"/>
      <w:r w:rsidRPr="00166E73">
        <w:rPr>
          <w:rFonts w:ascii="Times New Roman" w:hAnsi="Times New Roman" w:cs="Times New Roman"/>
          <w:i/>
        </w:rPr>
        <w:t>treaty</w:t>
      </w:r>
      <w:proofErr w:type="spellEnd"/>
      <w:r w:rsidRPr="00166E73">
        <w:rPr>
          <w:rFonts w:ascii="Times New Roman" w:hAnsi="Times New Roman" w:cs="Times New Roman"/>
          <w:i/>
        </w:rPr>
        <w:t xml:space="preserve">: a </w:t>
      </w:r>
      <w:proofErr w:type="spellStart"/>
      <w:r w:rsidRPr="00166E73">
        <w:rPr>
          <w:rFonts w:ascii="Times New Roman" w:hAnsi="Times New Roman" w:cs="Times New Roman"/>
          <w:i/>
        </w:rPr>
        <w:t>legal</w:t>
      </w:r>
      <w:proofErr w:type="spellEnd"/>
      <w:r w:rsidRPr="00166E73">
        <w:rPr>
          <w:rFonts w:ascii="Times New Roman" w:hAnsi="Times New Roman" w:cs="Times New Roman"/>
          <w:i/>
        </w:rPr>
        <w:t xml:space="preserve"> and </w:t>
      </w:r>
      <w:proofErr w:type="spellStart"/>
      <w:r w:rsidRPr="00166E73">
        <w:rPr>
          <w:rFonts w:ascii="Times New Roman" w:hAnsi="Times New Roman" w:cs="Times New Roman"/>
          <w:i/>
        </w:rPr>
        <w:t>political</w:t>
      </w:r>
      <w:proofErr w:type="spellEnd"/>
      <w:r w:rsidRPr="00166E73">
        <w:rPr>
          <w:rFonts w:ascii="Times New Roman" w:hAnsi="Times New Roman" w:cs="Times New Roman"/>
          <w:i/>
        </w:rPr>
        <w:t xml:space="preserve"> </w:t>
      </w:r>
      <w:proofErr w:type="spellStart"/>
      <w:r w:rsidRPr="00166E73">
        <w:rPr>
          <w:rFonts w:ascii="Times New Roman" w:hAnsi="Times New Roman" w:cs="Times New Roman"/>
          <w:i/>
        </w:rPr>
        <w:t>analysis</w:t>
      </w:r>
      <w:proofErr w:type="spellEnd"/>
      <w:r w:rsidRPr="00613F1A">
        <w:rPr>
          <w:rFonts w:ascii="Times New Roman" w:hAnsi="Times New Roman" w:cs="Times New Roman"/>
        </w:rPr>
        <w:t xml:space="preserve">. Cambridge: Cambridge University </w:t>
      </w:r>
      <w:proofErr w:type="spellStart"/>
      <w:r w:rsidRPr="00613F1A">
        <w:rPr>
          <w:rFonts w:ascii="Times New Roman" w:hAnsi="Times New Roman" w:cs="Times New Roman"/>
        </w:rPr>
        <w:t>Press</w:t>
      </w:r>
      <w:proofErr w:type="spellEnd"/>
      <w:r w:rsidRPr="00613F1A">
        <w:rPr>
          <w:rFonts w:ascii="Times New Roman" w:hAnsi="Times New Roman" w:cs="Times New Roman"/>
        </w:rPr>
        <w:t>, 2010,</w:t>
      </w:r>
      <w:r>
        <w:rPr>
          <w:rFonts w:ascii="Times New Roman" w:hAnsi="Times New Roman" w:cs="Times New Roman"/>
        </w:rPr>
        <w:t xml:space="preserve"> s. 132. Srov. ale také: </w:t>
      </w:r>
      <w:r w:rsidRPr="003E65DC">
        <w:rPr>
          <w:rFonts w:ascii="Times New Roman" w:hAnsi="Times New Roman" w:cs="Times New Roman"/>
          <w:i/>
        </w:rPr>
        <w:t>„K tomu, aby mohla novelizovaná SFEU vstoupit v platnost, není ratifikace členským státem nezbytná. Postačí výslovné schválení i jiným způsobem.“</w:t>
      </w:r>
      <w:r>
        <w:rPr>
          <w:rFonts w:ascii="Times New Roman" w:hAnsi="Times New Roman" w:cs="Times New Roman"/>
          <w:i/>
        </w:rPr>
        <w:t xml:space="preserve"> </w:t>
      </w:r>
      <w:r>
        <w:rPr>
          <w:rFonts w:ascii="Times New Roman" w:hAnsi="Times New Roman" w:cs="Times New Roman"/>
        </w:rPr>
        <w:t>SYLLOVÁ:</w:t>
      </w:r>
      <w:r w:rsidRPr="007B26F7">
        <w:rPr>
          <w:rFonts w:ascii="Times New Roman" w:hAnsi="Times New Roman" w:cs="Times New Roman"/>
        </w:rPr>
        <w:t xml:space="preserve"> </w:t>
      </w:r>
      <w:r>
        <w:rPr>
          <w:rFonts w:ascii="Times New Roman" w:hAnsi="Times New Roman" w:cs="Times New Roman"/>
          <w:i/>
        </w:rPr>
        <w:t xml:space="preserve">Lisabonská…, </w:t>
      </w:r>
      <w:r w:rsidRPr="007B26F7">
        <w:rPr>
          <w:rFonts w:ascii="Times New Roman" w:hAnsi="Times New Roman" w:cs="Times New Roman"/>
        </w:rPr>
        <w:t>s. 178</w:t>
      </w:r>
      <w:r>
        <w:rPr>
          <w:rFonts w:ascii="Times New Roman" w:hAnsi="Times New Roman" w:cs="Times New Roman"/>
        </w:rPr>
        <w:t xml:space="preserve"> (čl. 48 SEU)</w:t>
      </w:r>
      <w:r w:rsidRPr="007B26F7">
        <w:rPr>
          <w:rFonts w:ascii="Times New Roman" w:hAnsi="Times New Roman" w:cs="Times New Roman"/>
        </w:rPr>
        <w:t>.</w:t>
      </w:r>
      <w:r w:rsidRPr="00B4586D">
        <w:rPr>
          <w:rFonts w:ascii="Times New Roman" w:hAnsi="Times New Roman" w:cs="Times New Roman"/>
        </w:rPr>
        <w:t xml:space="preserve"> </w:t>
      </w:r>
    </w:p>
  </w:footnote>
  <w:footnote w:id="56">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Viz GRINC: </w:t>
      </w:r>
      <w:r>
        <w:rPr>
          <w:rFonts w:ascii="Times New Roman" w:hAnsi="Times New Roman" w:cs="Times New Roman"/>
          <w:i/>
        </w:rPr>
        <w:t>Národní</w:t>
      </w:r>
      <w:r w:rsidRPr="00B4586D">
        <w:rPr>
          <w:rFonts w:ascii="Times New Roman" w:hAnsi="Times New Roman" w:cs="Times New Roman"/>
          <w:i/>
        </w:rPr>
        <w:t>...</w:t>
      </w:r>
      <w:r>
        <w:rPr>
          <w:rFonts w:ascii="Times New Roman" w:hAnsi="Times New Roman" w:cs="Times New Roman"/>
        </w:rPr>
        <w:t>, s. 132 a</w:t>
      </w:r>
      <w:r w:rsidRPr="00B4586D">
        <w:rPr>
          <w:rFonts w:ascii="Times New Roman" w:hAnsi="Times New Roman" w:cs="Times New Roman"/>
        </w:rPr>
        <w:t xml:space="preserve"> 133</w:t>
      </w:r>
      <w:r>
        <w:rPr>
          <w:rFonts w:ascii="Times New Roman" w:hAnsi="Times New Roman" w:cs="Times New Roman"/>
        </w:rPr>
        <w:t>. K</w:t>
      </w:r>
      <w:r w:rsidRPr="00B4586D">
        <w:rPr>
          <w:rFonts w:ascii="Times New Roman" w:hAnsi="Times New Roman" w:cs="Times New Roman"/>
        </w:rPr>
        <w:t xml:space="preserve"> další</w:t>
      </w:r>
      <w:r>
        <w:rPr>
          <w:rFonts w:ascii="Times New Roman" w:hAnsi="Times New Roman" w:cs="Times New Roman"/>
        </w:rPr>
        <w:t>m</w:t>
      </w:r>
      <w:r w:rsidRPr="00B4586D">
        <w:rPr>
          <w:rFonts w:ascii="Times New Roman" w:hAnsi="Times New Roman" w:cs="Times New Roman"/>
        </w:rPr>
        <w:t xml:space="preserve"> rozhodnutí</w:t>
      </w:r>
      <w:r>
        <w:rPr>
          <w:rFonts w:ascii="Times New Roman" w:hAnsi="Times New Roman" w:cs="Times New Roman"/>
        </w:rPr>
        <w:t>m</w:t>
      </w:r>
      <w:r w:rsidRPr="00B4586D">
        <w:rPr>
          <w:rFonts w:ascii="Times New Roman" w:hAnsi="Times New Roman" w:cs="Times New Roman"/>
        </w:rPr>
        <w:t xml:space="preserve"> vyžadující</w:t>
      </w:r>
      <w:r>
        <w:rPr>
          <w:rFonts w:ascii="Times New Roman" w:hAnsi="Times New Roman" w:cs="Times New Roman"/>
        </w:rPr>
        <w:t>m</w:t>
      </w:r>
      <w:r w:rsidRPr="00B4586D">
        <w:rPr>
          <w:rFonts w:ascii="Times New Roman" w:hAnsi="Times New Roman" w:cs="Times New Roman"/>
        </w:rPr>
        <w:t xml:space="preserve"> k pla</w:t>
      </w:r>
      <w:r>
        <w:rPr>
          <w:rFonts w:ascii="Times New Roman" w:hAnsi="Times New Roman" w:cs="Times New Roman"/>
        </w:rPr>
        <w:t>tnosti schválení ČS,</w:t>
      </w:r>
      <w:r w:rsidRPr="00B4586D">
        <w:rPr>
          <w:rFonts w:ascii="Times New Roman" w:hAnsi="Times New Roman" w:cs="Times New Roman"/>
        </w:rPr>
        <w:t xml:space="preserve"> evolutivní</w:t>
      </w:r>
      <w:r>
        <w:rPr>
          <w:rFonts w:ascii="Times New Roman" w:hAnsi="Times New Roman" w:cs="Times New Roman"/>
        </w:rPr>
        <w:t>m klauzulím, případně doložce</w:t>
      </w:r>
      <w:r w:rsidRPr="00B4586D">
        <w:rPr>
          <w:rFonts w:ascii="Times New Roman" w:hAnsi="Times New Roman" w:cs="Times New Roman"/>
        </w:rPr>
        <w:t xml:space="preserve"> flexibility</w:t>
      </w:r>
      <w:r>
        <w:rPr>
          <w:rFonts w:ascii="Times New Roman" w:hAnsi="Times New Roman" w:cs="Times New Roman"/>
        </w:rPr>
        <w:t xml:space="preserve"> viz </w:t>
      </w:r>
      <w:r w:rsidRPr="00B4586D">
        <w:rPr>
          <w:rFonts w:ascii="Times New Roman" w:hAnsi="Times New Roman" w:cs="Times New Roman"/>
        </w:rPr>
        <w:t xml:space="preserve">GRINC: </w:t>
      </w:r>
      <w:r>
        <w:rPr>
          <w:rFonts w:ascii="Times New Roman" w:hAnsi="Times New Roman" w:cs="Times New Roman"/>
          <w:i/>
        </w:rPr>
        <w:t>Národní</w:t>
      </w:r>
      <w:r w:rsidRPr="00B4586D">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s. 138-</w:t>
      </w:r>
      <w:r w:rsidRPr="00B4586D">
        <w:rPr>
          <w:rFonts w:ascii="Times New Roman" w:hAnsi="Times New Roman" w:cs="Times New Roman"/>
        </w:rPr>
        <w:t>142</w:t>
      </w:r>
      <w:r>
        <w:rPr>
          <w:rFonts w:ascii="Times New Roman" w:hAnsi="Times New Roman" w:cs="Times New Roman"/>
        </w:rPr>
        <w:t>. A viz také</w:t>
      </w:r>
      <w:r w:rsidRPr="00B4586D">
        <w:rPr>
          <w:rFonts w:ascii="Times New Roman" w:hAnsi="Times New Roman" w:cs="Times New Roman"/>
        </w:rPr>
        <w:t xml:space="preserve"> </w:t>
      </w:r>
      <w:r>
        <w:rPr>
          <w:rFonts w:ascii="Times New Roman" w:hAnsi="Times New Roman" w:cs="Times New Roman"/>
        </w:rPr>
        <w:t xml:space="preserve">SYLLOVÁ: </w:t>
      </w:r>
      <w:r>
        <w:rPr>
          <w:rFonts w:ascii="Times New Roman" w:hAnsi="Times New Roman" w:cs="Times New Roman"/>
          <w:i/>
        </w:rPr>
        <w:t>Lisabonská</w:t>
      </w:r>
      <w:r w:rsidRPr="006376D2">
        <w:rPr>
          <w:rFonts w:ascii="Times New Roman" w:hAnsi="Times New Roman" w:cs="Times New Roman"/>
          <w:i/>
        </w:rPr>
        <w:t>…</w:t>
      </w:r>
      <w:r w:rsidRPr="006376D2">
        <w:rPr>
          <w:rFonts w:ascii="Times New Roman" w:hAnsi="Times New Roman" w:cs="Times New Roman"/>
        </w:rPr>
        <w:t>, s. 177</w:t>
      </w:r>
      <w:r>
        <w:rPr>
          <w:rFonts w:ascii="Times New Roman" w:hAnsi="Times New Roman" w:cs="Times New Roman"/>
        </w:rPr>
        <w:t xml:space="preserve"> (čl. 48 SEU)</w:t>
      </w:r>
      <w:r w:rsidRPr="006376D2">
        <w:rPr>
          <w:rFonts w:ascii="Times New Roman" w:hAnsi="Times New Roman" w:cs="Times New Roman"/>
        </w:rPr>
        <w:t>.</w:t>
      </w:r>
    </w:p>
  </w:footnote>
  <w:footnote w:id="57">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Blíže k samotnému postupu, jakož i oblastem, ve kterých jej lze využít</w:t>
      </w:r>
      <w:r>
        <w:rPr>
          <w:rFonts w:ascii="Times New Roman" w:hAnsi="Times New Roman" w:cs="Times New Roman"/>
        </w:rPr>
        <w:t>,</w:t>
      </w:r>
      <w:r w:rsidRPr="00B4586D">
        <w:rPr>
          <w:rFonts w:ascii="Times New Roman" w:hAnsi="Times New Roman" w:cs="Times New Roman"/>
        </w:rPr>
        <w:t xml:space="preserve"> viz čl. 48 odst. 7 SEU</w:t>
      </w:r>
    </w:p>
  </w:footnote>
  <w:footnote w:id="58">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Pr>
          <w:rFonts w:ascii="Times New Roman" w:hAnsi="Times New Roman" w:cs="Times New Roman"/>
        </w:rPr>
        <w:t xml:space="preserve"> Viz PIRIS: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Lisbon</w:t>
      </w:r>
      <w:proofErr w:type="spellEnd"/>
      <w:r w:rsidRPr="00BE4D5F">
        <w:rPr>
          <w:rFonts w:ascii="Times New Roman" w:hAnsi="Times New Roman" w:cs="Times New Roman"/>
          <w:i/>
        </w:rPr>
        <w:t>…</w:t>
      </w:r>
      <w:r>
        <w:rPr>
          <w:rFonts w:ascii="Times New Roman" w:hAnsi="Times New Roman" w:cs="Times New Roman"/>
        </w:rPr>
        <w:t>,</w:t>
      </w:r>
      <w:r w:rsidRPr="00B4586D">
        <w:rPr>
          <w:rFonts w:ascii="Times New Roman" w:hAnsi="Times New Roman" w:cs="Times New Roman"/>
        </w:rPr>
        <w:t xml:space="preserve"> s. 132</w:t>
      </w:r>
      <w:r>
        <w:rPr>
          <w:rFonts w:ascii="Times New Roman" w:hAnsi="Times New Roman" w:cs="Times New Roman"/>
        </w:rPr>
        <w:t>.</w:t>
      </w:r>
    </w:p>
  </w:footnote>
  <w:footnote w:id="59">
    <w:p w:rsidR="00076524" w:rsidRPr="00B4586D" w:rsidRDefault="00076524" w:rsidP="00AF2B85">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Pr>
          <w:rFonts w:ascii="Times New Roman" w:hAnsi="Times New Roman" w:cs="Times New Roman"/>
        </w:rPr>
        <w:t xml:space="preserve"> Viz </w:t>
      </w:r>
      <w:r w:rsidRPr="00B4586D">
        <w:rPr>
          <w:rFonts w:ascii="Times New Roman" w:hAnsi="Times New Roman" w:cs="Times New Roman"/>
        </w:rPr>
        <w:t>také</w:t>
      </w:r>
      <w:r>
        <w:rPr>
          <w:rFonts w:ascii="Times New Roman" w:hAnsi="Times New Roman" w:cs="Times New Roman"/>
        </w:rPr>
        <w:t xml:space="preserve"> čl. 6</w:t>
      </w:r>
      <w:r w:rsidRPr="00B4586D">
        <w:rPr>
          <w:rFonts w:ascii="Times New Roman" w:hAnsi="Times New Roman" w:cs="Times New Roman"/>
        </w:rPr>
        <w:t xml:space="preserve"> protokol</w:t>
      </w:r>
      <w:r>
        <w:rPr>
          <w:rFonts w:ascii="Times New Roman" w:hAnsi="Times New Roman" w:cs="Times New Roman"/>
        </w:rPr>
        <w:t>u</w:t>
      </w:r>
      <w:r w:rsidRPr="00B4586D">
        <w:rPr>
          <w:rFonts w:ascii="Times New Roman" w:hAnsi="Times New Roman" w:cs="Times New Roman"/>
        </w:rPr>
        <w:t xml:space="preserve"> č. 1</w:t>
      </w:r>
    </w:p>
  </w:footnote>
  <w:footnote w:id="60">
    <w:p w:rsidR="00076524" w:rsidRPr="00B4586D" w:rsidRDefault="00076524" w:rsidP="0005606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Pojem „červená karta“ je užíván i v souvislosti se </w:t>
      </w:r>
      <w:r>
        <w:rPr>
          <w:rFonts w:ascii="Times New Roman" w:hAnsi="Times New Roman" w:cs="Times New Roman"/>
        </w:rPr>
        <w:t>zvláštní přechodovou klauzulí</w:t>
      </w:r>
      <w:r w:rsidRPr="00B4586D">
        <w:rPr>
          <w:rFonts w:ascii="Times New Roman" w:hAnsi="Times New Roman" w:cs="Times New Roman"/>
        </w:rPr>
        <w:t xml:space="preserve"> v čl. 81 odst</w:t>
      </w:r>
      <w:r>
        <w:rPr>
          <w:rFonts w:ascii="Times New Roman" w:hAnsi="Times New Roman" w:cs="Times New Roman"/>
        </w:rPr>
        <w:t>. 3 SFEU. V obou případech ale nejde o navazující stupeň na karty v rámci systému včasného varování</w:t>
      </w:r>
      <w:r w:rsidRPr="00B4586D">
        <w:rPr>
          <w:rFonts w:ascii="Times New Roman" w:hAnsi="Times New Roman" w:cs="Times New Roman"/>
        </w:rPr>
        <w:t xml:space="preserve">. Viz </w:t>
      </w:r>
      <w:r w:rsidRPr="00016206">
        <w:rPr>
          <w:rFonts w:ascii="Times New Roman" w:hAnsi="Times New Roman" w:cs="Times New Roman"/>
        </w:rPr>
        <w:t>HAMU</w:t>
      </w:r>
      <w:r>
        <w:rPr>
          <w:rFonts w:ascii="Times New Roman" w:hAnsi="Times New Roman" w:cs="Times New Roman"/>
        </w:rPr>
        <w:t xml:space="preserve">ĽÁK, STEHLÍK: </w:t>
      </w:r>
      <w:r>
        <w:rPr>
          <w:rFonts w:ascii="Times New Roman" w:hAnsi="Times New Roman" w:cs="Times New Roman"/>
          <w:i/>
        </w:rPr>
        <w:t>Praktikum..</w:t>
      </w:r>
      <w:r w:rsidRPr="007D022C">
        <w:rPr>
          <w:rFonts w:ascii="Times New Roman" w:hAnsi="Times New Roman" w:cs="Times New Roman"/>
          <w:i/>
        </w:rPr>
        <w:t>.</w:t>
      </w:r>
      <w:r>
        <w:rPr>
          <w:rFonts w:ascii="Times New Roman" w:hAnsi="Times New Roman" w:cs="Times New Roman"/>
        </w:rPr>
        <w:t xml:space="preserve">, </w:t>
      </w:r>
      <w:r w:rsidRPr="00B4586D">
        <w:rPr>
          <w:rFonts w:ascii="Times New Roman" w:hAnsi="Times New Roman" w:cs="Times New Roman"/>
        </w:rPr>
        <w:t>s. 42</w:t>
      </w:r>
      <w:r>
        <w:rPr>
          <w:rFonts w:ascii="Times New Roman" w:hAnsi="Times New Roman" w:cs="Times New Roman"/>
        </w:rPr>
        <w:t>.</w:t>
      </w:r>
    </w:p>
  </w:footnote>
  <w:footnote w:id="61">
    <w:p w:rsidR="00076524" w:rsidRPr="00B4586D" w:rsidRDefault="00076524" w:rsidP="0005606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w:t>
      </w:r>
      <w:r w:rsidRPr="002B43D9">
        <w:rPr>
          <w:rFonts w:ascii="Times New Roman" w:hAnsi="Times New Roman" w:cs="Times New Roman"/>
        </w:rPr>
        <w:t xml:space="preserve">SYLLOVÁ: </w:t>
      </w:r>
      <w:r w:rsidRPr="002B43D9">
        <w:rPr>
          <w:rFonts w:ascii="Times New Roman" w:hAnsi="Times New Roman" w:cs="Times New Roman"/>
          <w:i/>
        </w:rPr>
        <w:t>Lisabonská…</w:t>
      </w:r>
      <w:r w:rsidRPr="002B43D9">
        <w:rPr>
          <w:rFonts w:ascii="Times New Roman" w:hAnsi="Times New Roman" w:cs="Times New Roman"/>
        </w:rPr>
        <w:t>, s. 180</w:t>
      </w:r>
      <w:r>
        <w:rPr>
          <w:rFonts w:ascii="Times New Roman" w:hAnsi="Times New Roman" w:cs="Times New Roman"/>
        </w:rPr>
        <w:t xml:space="preserve"> (čl. 48 SEU)</w:t>
      </w:r>
      <w:r w:rsidRPr="002B43D9">
        <w:rPr>
          <w:rFonts w:ascii="Times New Roman" w:hAnsi="Times New Roman" w:cs="Times New Roman"/>
        </w:rPr>
        <w:t>.</w:t>
      </w:r>
      <w:r>
        <w:rPr>
          <w:rFonts w:ascii="Times New Roman" w:hAnsi="Times New Roman" w:cs="Times New Roman"/>
        </w:rPr>
        <w:t xml:space="preserve"> </w:t>
      </w:r>
      <w:r w:rsidRPr="00B4586D">
        <w:rPr>
          <w:rFonts w:ascii="Times New Roman" w:hAnsi="Times New Roman" w:cs="Times New Roman"/>
        </w:rPr>
        <w:t>Viz</w:t>
      </w:r>
      <w:r>
        <w:rPr>
          <w:rFonts w:ascii="Times New Roman" w:hAnsi="Times New Roman" w:cs="Times New Roman"/>
        </w:rPr>
        <w:t xml:space="preserve"> také</w:t>
      </w:r>
      <w:r w:rsidRPr="00B4586D">
        <w:rPr>
          <w:rFonts w:ascii="Times New Roman" w:hAnsi="Times New Roman" w:cs="Times New Roman"/>
        </w:rPr>
        <w:t xml:space="preserve"> např. </w:t>
      </w:r>
      <w:r w:rsidRPr="00D47C25">
        <w:rPr>
          <w:rFonts w:ascii="Times New Roman" w:hAnsi="Times New Roman" w:cs="Times New Roman"/>
          <w:color w:val="000000"/>
          <w:shd w:val="clear" w:color="auto" w:fill="FFFFFF"/>
        </w:rPr>
        <w:t>§ 109k odst. 4 a vazbu na § 109i písm. c) zákona č. 90/1995 Sb., o jednacím řádu Poslanecké sněmovn</w:t>
      </w:r>
      <w:r>
        <w:rPr>
          <w:rFonts w:ascii="Times New Roman" w:hAnsi="Times New Roman" w:cs="Times New Roman"/>
          <w:color w:val="000000"/>
          <w:shd w:val="clear" w:color="auto" w:fill="FFFFFF"/>
        </w:rPr>
        <w:t xml:space="preserve">y, ve znění pozdějších předpisů. A dále viz např. § 119n a vazbu na § </w:t>
      </w:r>
      <w:proofErr w:type="gramStart"/>
      <w:r>
        <w:rPr>
          <w:rFonts w:ascii="Times New Roman" w:hAnsi="Times New Roman" w:cs="Times New Roman"/>
          <w:color w:val="000000"/>
          <w:shd w:val="clear" w:color="auto" w:fill="FFFFFF"/>
        </w:rPr>
        <w:t>119m</w:t>
      </w:r>
      <w:proofErr w:type="gramEnd"/>
      <w:r>
        <w:rPr>
          <w:rFonts w:ascii="Times New Roman" w:hAnsi="Times New Roman" w:cs="Times New Roman"/>
          <w:color w:val="000000"/>
          <w:shd w:val="clear" w:color="auto" w:fill="FFFFFF"/>
        </w:rPr>
        <w:t xml:space="preserve"> zákona č. 107/1999 Sb., </w:t>
      </w:r>
      <w:r w:rsidRPr="00332D7E">
        <w:rPr>
          <w:rFonts w:ascii="Times New Roman" w:hAnsi="Times New Roman" w:cs="Times New Roman"/>
          <w:color w:val="000000"/>
          <w:shd w:val="clear" w:color="auto" w:fill="FFFFFF"/>
        </w:rPr>
        <w:t xml:space="preserve">o jednacím řádu Senátu, ve znění pozdějších předpisů. </w:t>
      </w:r>
      <w:r>
        <w:rPr>
          <w:rFonts w:ascii="Times New Roman" w:hAnsi="Times New Roman" w:cs="Times New Roman"/>
          <w:color w:val="000000"/>
          <w:shd w:val="clear" w:color="auto" w:fill="FFFFFF"/>
        </w:rPr>
        <w:t xml:space="preserve"> </w:t>
      </w:r>
    </w:p>
  </w:footnote>
  <w:footnote w:id="62">
    <w:p w:rsidR="00076524" w:rsidRPr="00E01591" w:rsidRDefault="00076524" w:rsidP="00056064">
      <w:pPr>
        <w:pStyle w:val="Textpoznpodarou"/>
        <w:jc w:val="both"/>
        <w:rPr>
          <w:rFonts w:ascii="Times New Roman" w:hAnsi="Times New Roman" w:cs="Times New Roman"/>
          <w:strike/>
        </w:rPr>
      </w:pPr>
      <w:r w:rsidRPr="00B4586D">
        <w:rPr>
          <w:rStyle w:val="Znakapoznpodarou"/>
          <w:rFonts w:ascii="Times New Roman" w:hAnsi="Times New Roman" w:cs="Times New Roman"/>
        </w:rPr>
        <w:footnoteRef/>
      </w:r>
      <w:r>
        <w:rPr>
          <w:rFonts w:ascii="Times New Roman" w:hAnsi="Times New Roman" w:cs="Times New Roman"/>
        </w:rPr>
        <w:t xml:space="preserve"> Viz PIRIS: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Lisbon</w:t>
      </w:r>
      <w:proofErr w:type="spellEnd"/>
      <w:r w:rsidRPr="00BE4D5F">
        <w:rPr>
          <w:rFonts w:ascii="Times New Roman" w:hAnsi="Times New Roman" w:cs="Times New Roman"/>
          <w:i/>
        </w:rPr>
        <w:t>…</w:t>
      </w:r>
      <w:r>
        <w:rPr>
          <w:rFonts w:ascii="Times New Roman" w:hAnsi="Times New Roman" w:cs="Times New Roman"/>
        </w:rPr>
        <w:t>,</w:t>
      </w:r>
      <w:r w:rsidRPr="00B4586D">
        <w:rPr>
          <w:rFonts w:ascii="Times New Roman" w:hAnsi="Times New Roman" w:cs="Times New Roman"/>
        </w:rPr>
        <w:t xml:space="preserve"> s. 108-109</w:t>
      </w:r>
      <w:r>
        <w:rPr>
          <w:rFonts w:ascii="Times New Roman" w:hAnsi="Times New Roman" w:cs="Times New Roman"/>
        </w:rPr>
        <w:t>.</w:t>
      </w:r>
    </w:p>
  </w:footnote>
  <w:footnote w:id="63">
    <w:p w:rsidR="00076524" w:rsidRPr="00B4586D" w:rsidRDefault="00076524" w:rsidP="00056064">
      <w:pPr>
        <w:pStyle w:val="Textpoznpodarou"/>
        <w:jc w:val="both"/>
        <w:rPr>
          <w:rFonts w:ascii="Times New Roman" w:hAnsi="Times New Roman" w:cs="Times New Roman"/>
        </w:rPr>
      </w:pPr>
      <w:r w:rsidRPr="00B4586D">
        <w:rPr>
          <w:rStyle w:val="Znakapoznpodarou"/>
          <w:rFonts w:ascii="Times New Roman" w:hAnsi="Times New Roman" w:cs="Times New Roman"/>
        </w:rPr>
        <w:footnoteRef/>
      </w:r>
      <w:r w:rsidRPr="00B4586D">
        <w:rPr>
          <w:rFonts w:ascii="Times New Roman" w:hAnsi="Times New Roman" w:cs="Times New Roman"/>
        </w:rPr>
        <w:t xml:space="preserve"> Viz např. </w:t>
      </w:r>
      <w:r w:rsidRPr="0021762A">
        <w:rPr>
          <w:rFonts w:ascii="Times New Roman" w:hAnsi="Times New Roman" w:cs="Times New Roman"/>
          <w:color w:val="000000"/>
          <w:shd w:val="clear" w:color="auto" w:fill="FFFFFF"/>
        </w:rPr>
        <w:t>§ 109i zákona č. 90/1995 Sb., o jednacím řádu Poslanecké sněmovny</w:t>
      </w:r>
      <w:r>
        <w:rPr>
          <w:rFonts w:ascii="Times New Roman" w:hAnsi="Times New Roman" w:cs="Times New Roman"/>
          <w:color w:val="000000"/>
          <w:shd w:val="clear" w:color="auto" w:fill="FFFFFF"/>
        </w:rPr>
        <w:t>, ve znění pozdějších předpisů. Nebo viz</w:t>
      </w:r>
      <w:r w:rsidRPr="00B4586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119k zákona č. 107/1999 Sb., </w:t>
      </w:r>
      <w:r w:rsidRPr="0021762A">
        <w:rPr>
          <w:rFonts w:ascii="Times New Roman" w:hAnsi="Times New Roman" w:cs="Times New Roman"/>
          <w:color w:val="000000"/>
          <w:shd w:val="clear" w:color="auto" w:fill="FFFFFF"/>
        </w:rPr>
        <w:t>o jednacím řádu Senátu, ve znění pozdějších předpisů.</w:t>
      </w:r>
    </w:p>
  </w:footnote>
  <w:footnote w:id="64">
    <w:p w:rsidR="00076524" w:rsidRPr="001A1813" w:rsidRDefault="00076524" w:rsidP="00056064">
      <w:pPr>
        <w:pStyle w:val="Textpoznpodarou"/>
        <w:jc w:val="both"/>
        <w:rPr>
          <w:rFonts w:ascii="Times New Roman" w:hAnsi="Times New Roman" w:cs="Times New Roman"/>
        </w:rPr>
      </w:pPr>
      <w:r w:rsidRPr="001A1813">
        <w:rPr>
          <w:rStyle w:val="Znakapoznpodarou"/>
          <w:rFonts w:ascii="Times New Roman" w:hAnsi="Times New Roman" w:cs="Times New Roman"/>
        </w:rPr>
        <w:footnoteRef/>
      </w:r>
      <w:r w:rsidRPr="001A1813">
        <w:rPr>
          <w:rFonts w:ascii="Times New Roman" w:hAnsi="Times New Roman" w:cs="Times New Roman"/>
        </w:rPr>
        <w:t xml:space="preserve"> </w:t>
      </w:r>
      <w:r>
        <w:rPr>
          <w:rFonts w:ascii="Times New Roman" w:hAnsi="Times New Roman" w:cs="Times New Roman"/>
        </w:rPr>
        <w:t>Čl. 12 písm. f</w:t>
      </w:r>
      <w:r w:rsidRPr="00B4586D">
        <w:rPr>
          <w:rFonts w:ascii="Times New Roman" w:hAnsi="Times New Roman" w:cs="Times New Roman"/>
        </w:rPr>
        <w:t>) SEU</w:t>
      </w:r>
    </w:p>
  </w:footnote>
  <w:footnote w:id="65">
    <w:p w:rsidR="00076524" w:rsidRPr="00D21C66" w:rsidRDefault="00076524" w:rsidP="00D21C66">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Viz např. EVROPSKÝ PARLAMENT</w:t>
      </w:r>
      <w:r w:rsidRPr="007B71FF">
        <w:rPr>
          <w:rFonts w:ascii="Times New Roman" w:hAnsi="Times New Roman" w:cs="Times New Roman"/>
        </w:rPr>
        <w:t xml:space="preserve">. </w:t>
      </w:r>
      <w:r w:rsidRPr="00FD4568">
        <w:rPr>
          <w:rFonts w:ascii="Times New Roman" w:hAnsi="Times New Roman" w:cs="Times New Roman"/>
          <w:i/>
        </w:rPr>
        <w:t>Vnitrostátní parlamenty v EU</w:t>
      </w:r>
      <w:r>
        <w:rPr>
          <w:rFonts w:ascii="Times New Roman" w:hAnsi="Times New Roman" w:cs="Times New Roman"/>
        </w:rPr>
        <w:t xml:space="preserve"> [online]. Evropská unie</w:t>
      </w:r>
      <w:r w:rsidRPr="007B71FF">
        <w:rPr>
          <w:rFonts w:ascii="Times New Roman" w:hAnsi="Times New Roman" w:cs="Times New Roman"/>
        </w:rPr>
        <w:t>, 9. září 2016 [</w:t>
      </w:r>
      <w:r>
        <w:rPr>
          <w:rFonts w:ascii="Times New Roman" w:hAnsi="Times New Roman" w:cs="Times New Roman"/>
        </w:rPr>
        <w:t xml:space="preserve">cit. 9. září 2016]. Dostupné na </w:t>
      </w:r>
      <w:r w:rsidRPr="007B71FF">
        <w:rPr>
          <w:rFonts w:ascii="Times New Roman" w:hAnsi="Times New Roman" w:cs="Times New Roman"/>
        </w:rPr>
        <w:t>&lt;http://www.europarl.europa.eu/aboutparliament/cs/20150201PVL</w:t>
      </w:r>
      <w:r>
        <w:rPr>
          <w:rFonts w:ascii="Times New Roman" w:hAnsi="Times New Roman" w:cs="Times New Roman"/>
        </w:rPr>
        <w:t xml:space="preserve"> </w:t>
      </w:r>
      <w:r w:rsidRPr="007B71FF">
        <w:rPr>
          <w:rFonts w:ascii="Times New Roman" w:hAnsi="Times New Roman" w:cs="Times New Roman"/>
        </w:rPr>
        <w:t>00007/N%C3%A1ro</w:t>
      </w:r>
      <w:r>
        <w:rPr>
          <w:rFonts w:ascii="Times New Roman" w:hAnsi="Times New Roman" w:cs="Times New Roman"/>
        </w:rPr>
        <w:t>dn%C3%ADparlament</w:t>
      </w:r>
      <w:r w:rsidRPr="007B71FF">
        <w:rPr>
          <w:rFonts w:ascii="Times New Roman" w:hAnsi="Times New Roman" w:cs="Times New Roman"/>
        </w:rPr>
        <w:t>&gt;.</w:t>
      </w:r>
    </w:p>
  </w:footnote>
  <w:footnote w:id="66">
    <w:p w:rsidR="00076524" w:rsidRPr="007E642E" w:rsidRDefault="00076524" w:rsidP="00482FC8">
      <w:pPr>
        <w:pStyle w:val="Textpoznpodarou"/>
        <w:jc w:val="both"/>
        <w:rPr>
          <w:rFonts w:ascii="Times New Roman" w:hAnsi="Times New Roman" w:cs="Times New Roman"/>
        </w:rPr>
      </w:pPr>
      <w:r w:rsidRPr="007E642E">
        <w:rPr>
          <w:rStyle w:val="Znakapoznpodarou"/>
          <w:rFonts w:ascii="Times New Roman" w:hAnsi="Times New Roman" w:cs="Times New Roman"/>
        </w:rPr>
        <w:footnoteRef/>
      </w:r>
      <w:r w:rsidRPr="007E642E">
        <w:rPr>
          <w:rFonts w:ascii="Times New Roman" w:hAnsi="Times New Roman" w:cs="Times New Roman"/>
        </w:rPr>
        <w:t xml:space="preserve"> </w:t>
      </w:r>
      <w:r>
        <w:rPr>
          <w:rFonts w:ascii="Times New Roman" w:hAnsi="Times New Roman" w:cs="Times New Roman"/>
        </w:rPr>
        <w:t>Viz čl. 9 a 10</w:t>
      </w:r>
      <w:r w:rsidRPr="00B12848">
        <w:rPr>
          <w:rFonts w:ascii="Times New Roman" w:hAnsi="Times New Roman" w:cs="Times New Roman"/>
        </w:rPr>
        <w:t xml:space="preserve"> protokolu č. 1.</w:t>
      </w:r>
      <w:r>
        <w:rPr>
          <w:rFonts w:ascii="Times New Roman" w:hAnsi="Times New Roman" w:cs="Times New Roman"/>
        </w:rPr>
        <w:t xml:space="preserve"> Zajímavé je i srovnání s čl. 4 až 7 předchozího protokolu č. 9. Viz zejm. uvedení použití zásady subsidiarity v demonstrativním výčtu v čl. 6.</w:t>
      </w:r>
    </w:p>
  </w:footnote>
  <w:footnote w:id="67">
    <w:p w:rsidR="00076524" w:rsidRPr="007E642E" w:rsidRDefault="00076524" w:rsidP="00482FC8">
      <w:pPr>
        <w:pStyle w:val="Textpoznpodarou"/>
        <w:jc w:val="both"/>
        <w:rPr>
          <w:rFonts w:ascii="Times New Roman" w:hAnsi="Times New Roman" w:cs="Times New Roman"/>
        </w:rPr>
      </w:pPr>
      <w:r w:rsidRPr="007E642E">
        <w:rPr>
          <w:rStyle w:val="Znakapoznpodarou"/>
          <w:rFonts w:ascii="Times New Roman" w:hAnsi="Times New Roman" w:cs="Times New Roman"/>
        </w:rPr>
        <w:footnoteRef/>
      </w:r>
      <w:r w:rsidRPr="007E642E">
        <w:rPr>
          <w:rFonts w:ascii="Times New Roman" w:hAnsi="Times New Roman" w:cs="Times New Roman"/>
        </w:rPr>
        <w:t xml:space="preserve"> </w:t>
      </w:r>
      <w:r>
        <w:rPr>
          <w:rFonts w:ascii="Times New Roman" w:hAnsi="Times New Roman" w:cs="Times New Roman"/>
        </w:rPr>
        <w:t xml:space="preserve">Viz </w:t>
      </w:r>
      <w:r w:rsidRPr="00590013">
        <w:rPr>
          <w:rFonts w:ascii="Times New Roman" w:hAnsi="Times New Roman" w:cs="Times New Roman"/>
        </w:rPr>
        <w:t xml:space="preserve">BENZ, Arthur. </w:t>
      </w:r>
      <w:proofErr w:type="spellStart"/>
      <w:r w:rsidRPr="00590013">
        <w:rPr>
          <w:rFonts w:ascii="Times New Roman" w:hAnsi="Times New Roman" w:cs="Times New Roman"/>
        </w:rPr>
        <w:t>Linking</w:t>
      </w:r>
      <w:proofErr w:type="spellEnd"/>
      <w:r w:rsidRPr="00590013">
        <w:rPr>
          <w:rFonts w:ascii="Times New Roman" w:hAnsi="Times New Roman" w:cs="Times New Roman"/>
        </w:rPr>
        <w:t xml:space="preserve"> </w:t>
      </w:r>
      <w:proofErr w:type="spellStart"/>
      <w:r w:rsidRPr="00590013">
        <w:rPr>
          <w:rFonts w:ascii="Times New Roman" w:hAnsi="Times New Roman" w:cs="Times New Roman"/>
        </w:rPr>
        <w:t>multiple</w:t>
      </w:r>
      <w:proofErr w:type="spellEnd"/>
      <w:r w:rsidRPr="00590013">
        <w:rPr>
          <w:rFonts w:ascii="Times New Roman" w:hAnsi="Times New Roman" w:cs="Times New Roman"/>
        </w:rPr>
        <w:t xml:space="preserve"> </w:t>
      </w:r>
      <w:proofErr w:type="spellStart"/>
      <w:r w:rsidRPr="00590013">
        <w:rPr>
          <w:rFonts w:ascii="Times New Roman" w:hAnsi="Times New Roman" w:cs="Times New Roman"/>
        </w:rPr>
        <w:t>demoi</w:t>
      </w:r>
      <w:proofErr w:type="spellEnd"/>
      <w:r w:rsidRPr="00590013">
        <w:rPr>
          <w:rFonts w:ascii="Times New Roman" w:hAnsi="Times New Roman" w:cs="Times New Roman"/>
        </w:rPr>
        <w:t>. Inter-</w:t>
      </w:r>
      <w:proofErr w:type="spellStart"/>
      <w:r w:rsidRPr="00590013">
        <w:rPr>
          <w:rFonts w:ascii="Times New Roman" w:hAnsi="Times New Roman" w:cs="Times New Roman"/>
        </w:rPr>
        <w:t>par</w:t>
      </w:r>
      <w:r>
        <w:rPr>
          <w:rFonts w:ascii="Times New Roman" w:hAnsi="Times New Roman" w:cs="Times New Roman"/>
        </w:rPr>
        <w:t>liamentary</w:t>
      </w:r>
      <w:proofErr w:type="spellEnd"/>
      <w:r>
        <w:rPr>
          <w:rFonts w:ascii="Times New Roman" w:hAnsi="Times New Roman" w:cs="Times New Roman"/>
        </w:rPr>
        <w:t xml:space="preserve"> relations in </w:t>
      </w:r>
      <w:proofErr w:type="spellStart"/>
      <w:r>
        <w:rPr>
          <w:rFonts w:ascii="Times New Roman" w:hAnsi="Times New Roman" w:cs="Times New Roman"/>
        </w:rPr>
        <w:t>the</w:t>
      </w:r>
      <w:proofErr w:type="spellEnd"/>
      <w:r>
        <w:rPr>
          <w:rFonts w:ascii="Times New Roman" w:hAnsi="Times New Roman" w:cs="Times New Roman"/>
        </w:rPr>
        <w:t xml:space="preserve"> EU. </w:t>
      </w:r>
      <w:r w:rsidRPr="0015612C">
        <w:rPr>
          <w:rFonts w:ascii="Times New Roman" w:hAnsi="Times New Roman" w:cs="Times New Roman"/>
          <w:i/>
        </w:rPr>
        <w:t>IEV-Online</w:t>
      </w:r>
      <w:r>
        <w:rPr>
          <w:rFonts w:ascii="Times New Roman" w:hAnsi="Times New Roman" w:cs="Times New Roman"/>
        </w:rPr>
        <w:t>,</w:t>
      </w:r>
      <w:r w:rsidRPr="00590013">
        <w:rPr>
          <w:rFonts w:ascii="Times New Roman" w:hAnsi="Times New Roman" w:cs="Times New Roman"/>
        </w:rPr>
        <w:t xml:space="preserve"> 2011, </w:t>
      </w:r>
      <w:proofErr w:type="spellStart"/>
      <w:r w:rsidRPr="00590013">
        <w:rPr>
          <w:rFonts w:ascii="Times New Roman" w:hAnsi="Times New Roman" w:cs="Times New Roman"/>
        </w:rPr>
        <w:t>nr</w:t>
      </w:r>
      <w:proofErr w:type="spellEnd"/>
      <w:r>
        <w:rPr>
          <w:rFonts w:ascii="Times New Roman" w:hAnsi="Times New Roman" w:cs="Times New Roman"/>
        </w:rPr>
        <w:t xml:space="preserve">. 1, s. 9. K roli COSAC v testovacím provozu kontroly subsidiarity před platností LS viz </w:t>
      </w:r>
      <w:r w:rsidRPr="003E1513">
        <w:rPr>
          <w:rFonts w:ascii="Times New Roman" w:hAnsi="Times New Roman" w:cs="Times New Roman"/>
        </w:rPr>
        <w:t xml:space="preserve">ČAKRT: </w:t>
      </w:r>
      <w:r w:rsidRPr="003E1513">
        <w:rPr>
          <w:rFonts w:ascii="Times New Roman" w:hAnsi="Times New Roman" w:cs="Times New Roman"/>
          <w:i/>
        </w:rPr>
        <w:t>Lisabonská...</w:t>
      </w:r>
      <w:r w:rsidRPr="003E1513">
        <w:rPr>
          <w:rFonts w:ascii="Times New Roman" w:hAnsi="Times New Roman" w:cs="Times New Roman"/>
        </w:rPr>
        <w:t>, s. 8-9.</w:t>
      </w:r>
    </w:p>
  </w:footnote>
  <w:footnote w:id="68">
    <w:p w:rsidR="00076524" w:rsidRPr="007E642E" w:rsidRDefault="00076524" w:rsidP="00482FC8">
      <w:pPr>
        <w:pStyle w:val="Textpoznpodarou"/>
        <w:jc w:val="both"/>
        <w:rPr>
          <w:rFonts w:ascii="Times New Roman" w:hAnsi="Times New Roman" w:cs="Times New Roman"/>
        </w:rPr>
      </w:pPr>
      <w:r w:rsidRPr="007E642E">
        <w:rPr>
          <w:rStyle w:val="Znakapoznpodarou"/>
          <w:rFonts w:ascii="Times New Roman" w:hAnsi="Times New Roman" w:cs="Times New Roman"/>
        </w:rPr>
        <w:footnoteRef/>
      </w:r>
      <w:r>
        <w:rPr>
          <w:rFonts w:ascii="Times New Roman" w:hAnsi="Times New Roman" w:cs="Times New Roman"/>
        </w:rPr>
        <w:t xml:space="preserve"> Viz </w:t>
      </w:r>
      <w:r w:rsidRPr="00D11B43">
        <w:rPr>
          <w:rFonts w:ascii="Times New Roman" w:hAnsi="Times New Roman" w:cs="Times New Roman"/>
        </w:rPr>
        <w:t xml:space="preserve">KANIOK, Petr. </w:t>
      </w:r>
      <w:r w:rsidRPr="00071FEC">
        <w:rPr>
          <w:rFonts w:ascii="Times New Roman" w:hAnsi="Times New Roman" w:cs="Times New Roman"/>
          <w:i/>
        </w:rPr>
        <w:t>Národní parlamenty a evropská integrace: kolektivní aktér politického systému EU?</w:t>
      </w:r>
      <w:r>
        <w:rPr>
          <w:rFonts w:ascii="Times New Roman" w:hAnsi="Times New Roman" w:cs="Times New Roman"/>
          <w:i/>
        </w:rPr>
        <w:t xml:space="preserve"> </w:t>
      </w:r>
      <w:r w:rsidRPr="00DE3327">
        <w:rPr>
          <w:rFonts w:ascii="Times New Roman" w:hAnsi="Times New Roman" w:cs="Times New Roman"/>
        </w:rPr>
        <w:t>Brno</w:t>
      </w:r>
      <w:r>
        <w:rPr>
          <w:rFonts w:ascii="Times New Roman" w:hAnsi="Times New Roman" w:cs="Times New Roman"/>
        </w:rPr>
        <w:t xml:space="preserve">, 2015, </w:t>
      </w:r>
      <w:r w:rsidRPr="007E642E">
        <w:rPr>
          <w:rFonts w:ascii="Times New Roman" w:hAnsi="Times New Roman" w:cs="Times New Roman"/>
        </w:rPr>
        <w:t>s. 41</w:t>
      </w:r>
      <w:r>
        <w:rPr>
          <w:rFonts w:ascii="Times New Roman" w:hAnsi="Times New Roman" w:cs="Times New Roman"/>
        </w:rPr>
        <w:t xml:space="preserve">. </w:t>
      </w:r>
      <w:r w:rsidRPr="002A5EFA">
        <w:rPr>
          <w:rFonts w:ascii="Times New Roman" w:hAnsi="Times New Roman" w:cs="Times New Roman"/>
        </w:rPr>
        <w:t>Habilitační práce</w:t>
      </w:r>
      <w:r>
        <w:rPr>
          <w:rFonts w:ascii="Times New Roman" w:hAnsi="Times New Roman" w:cs="Times New Roman"/>
        </w:rPr>
        <w:t xml:space="preserve">. Masarykova univerzita, </w:t>
      </w:r>
      <w:r w:rsidRPr="00A66095">
        <w:rPr>
          <w:rFonts w:ascii="Times New Roman" w:hAnsi="Times New Roman" w:cs="Times New Roman"/>
        </w:rPr>
        <w:t>Fakulta sociálních studií</w:t>
      </w:r>
      <w:r>
        <w:rPr>
          <w:rFonts w:ascii="Times New Roman" w:hAnsi="Times New Roman" w:cs="Times New Roman"/>
        </w:rPr>
        <w:t xml:space="preserve">, </w:t>
      </w:r>
      <w:r w:rsidRPr="00A66095">
        <w:rPr>
          <w:rFonts w:ascii="Times New Roman" w:hAnsi="Times New Roman" w:cs="Times New Roman"/>
        </w:rPr>
        <w:t>Katedra mezinárodních vztahů a evropských studií</w:t>
      </w:r>
      <w:r>
        <w:rPr>
          <w:rFonts w:ascii="Times New Roman" w:hAnsi="Times New Roman" w:cs="Times New Roman"/>
        </w:rPr>
        <w:t>.</w:t>
      </w:r>
    </w:p>
  </w:footnote>
  <w:footnote w:id="69">
    <w:p w:rsidR="00076524" w:rsidRPr="007F58E0" w:rsidRDefault="00076524" w:rsidP="00482FC8">
      <w:pPr>
        <w:pStyle w:val="Textpoznpodarou"/>
        <w:jc w:val="both"/>
        <w:rPr>
          <w:rFonts w:ascii="Times New Roman" w:hAnsi="Times New Roman" w:cs="Times New Roman"/>
        </w:rPr>
      </w:pPr>
      <w:r w:rsidRPr="007F58E0">
        <w:rPr>
          <w:rStyle w:val="Znakapoznpodarou"/>
          <w:rFonts w:ascii="Times New Roman" w:hAnsi="Times New Roman" w:cs="Times New Roman"/>
        </w:rPr>
        <w:footnoteRef/>
      </w:r>
      <w:r w:rsidRPr="007F58E0">
        <w:rPr>
          <w:rFonts w:ascii="Times New Roman" w:hAnsi="Times New Roman" w:cs="Times New Roman"/>
          <w:i/>
        </w:rPr>
        <w:t xml:space="preserve">„Oblast transpozice směrnic bývá velmi často vyhrazována delegovanému zákonodárství, protože je vzhledem k limitovanému uvážení chápána jako činnost více technická než politická“ </w:t>
      </w:r>
      <w:r w:rsidRPr="006E182B">
        <w:rPr>
          <w:rFonts w:ascii="Times New Roman" w:hAnsi="Times New Roman" w:cs="Times New Roman"/>
        </w:rPr>
        <w:t xml:space="preserve">KYSELA, Jan. </w:t>
      </w:r>
      <w:r w:rsidRPr="006E182B">
        <w:rPr>
          <w:rFonts w:ascii="Times New Roman" w:hAnsi="Times New Roman" w:cs="Times New Roman"/>
          <w:i/>
        </w:rPr>
        <w:t>Zákonodárství bez parlamentů</w:t>
      </w:r>
      <w:r w:rsidRPr="006E182B">
        <w:rPr>
          <w:rFonts w:ascii="Times New Roman" w:hAnsi="Times New Roman" w:cs="Times New Roman"/>
        </w:rPr>
        <w:t>. Praha: Univerzita Karlova v Praze, Právnická fakulta, 2006, s.</w:t>
      </w:r>
      <w:r w:rsidRPr="006E182B">
        <w:rPr>
          <w:rFonts w:ascii="Times New Roman" w:hAnsi="Times New Roman" w:cs="Times New Roman"/>
          <w:i/>
        </w:rPr>
        <w:t xml:space="preserve"> 149.</w:t>
      </w:r>
    </w:p>
  </w:footnote>
  <w:footnote w:id="70">
    <w:p w:rsidR="00076524" w:rsidRPr="00967C82" w:rsidRDefault="00076524" w:rsidP="00967C82">
      <w:pPr>
        <w:pStyle w:val="Textpoznpodarou"/>
        <w:jc w:val="both"/>
        <w:rPr>
          <w:rFonts w:ascii="Times New Roman" w:hAnsi="Times New Roman" w:cs="Times New Roman"/>
        </w:rPr>
      </w:pPr>
      <w:r w:rsidRPr="00967C82">
        <w:rPr>
          <w:rStyle w:val="Znakapoznpodarou"/>
          <w:rFonts w:ascii="Times New Roman" w:hAnsi="Times New Roman" w:cs="Times New Roman"/>
        </w:rPr>
        <w:footnoteRef/>
      </w:r>
      <w:r w:rsidRPr="00967C82">
        <w:rPr>
          <w:rFonts w:ascii="Times New Roman" w:hAnsi="Times New Roman" w:cs="Times New Roman"/>
        </w:rPr>
        <w:t xml:space="preserve"> Viz SPRUNGK, Carina. </w:t>
      </w:r>
      <w:proofErr w:type="spellStart"/>
      <w:r w:rsidRPr="00967C82">
        <w:rPr>
          <w:rFonts w:ascii="Times New Roman" w:hAnsi="Times New Roman" w:cs="Times New Roman"/>
        </w:rPr>
        <w:t>Legislative</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Transposition</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of</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Directives</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Exploring</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the</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Other</w:t>
      </w:r>
      <w:proofErr w:type="spellEnd"/>
      <w:r w:rsidRPr="00967C82">
        <w:rPr>
          <w:rFonts w:ascii="Times New Roman" w:hAnsi="Times New Roman" w:cs="Times New Roman"/>
        </w:rPr>
        <w:t xml:space="preserve"> Role </w:t>
      </w:r>
      <w:proofErr w:type="spellStart"/>
      <w:r w:rsidRPr="00967C82">
        <w:rPr>
          <w:rFonts w:ascii="Times New Roman" w:hAnsi="Times New Roman" w:cs="Times New Roman"/>
        </w:rPr>
        <w:t>of</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National</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Parliaments</w:t>
      </w:r>
      <w:proofErr w:type="spellEnd"/>
      <w:r w:rsidRPr="00967C82">
        <w:rPr>
          <w:rFonts w:ascii="Times New Roman" w:hAnsi="Times New Roman" w:cs="Times New Roman"/>
        </w:rPr>
        <w:t xml:space="preserve"> in </w:t>
      </w:r>
      <w:proofErr w:type="spellStart"/>
      <w:r w:rsidRPr="00967C82">
        <w:rPr>
          <w:rFonts w:ascii="Times New Roman" w:hAnsi="Times New Roman" w:cs="Times New Roman"/>
        </w:rPr>
        <w:t>the</w:t>
      </w:r>
      <w:proofErr w:type="spellEnd"/>
      <w:r w:rsidRPr="00967C82">
        <w:rPr>
          <w:rFonts w:ascii="Times New Roman" w:hAnsi="Times New Roman" w:cs="Times New Roman"/>
        </w:rPr>
        <w:t xml:space="preserve"> </w:t>
      </w:r>
      <w:proofErr w:type="spellStart"/>
      <w:r w:rsidRPr="00967C82">
        <w:rPr>
          <w:rFonts w:ascii="Times New Roman" w:hAnsi="Times New Roman" w:cs="Times New Roman"/>
        </w:rPr>
        <w:t>European</w:t>
      </w:r>
      <w:proofErr w:type="spellEnd"/>
      <w:r w:rsidRPr="00967C82">
        <w:rPr>
          <w:rFonts w:ascii="Times New Roman" w:hAnsi="Times New Roman" w:cs="Times New Roman"/>
        </w:rPr>
        <w:t xml:space="preserve"> Union. </w:t>
      </w:r>
      <w:proofErr w:type="spellStart"/>
      <w:r w:rsidRPr="00967C82">
        <w:rPr>
          <w:rFonts w:ascii="Times New Roman" w:hAnsi="Times New Roman" w:cs="Times New Roman"/>
          <w:i/>
        </w:rPr>
        <w:t>Journal</w:t>
      </w:r>
      <w:proofErr w:type="spellEnd"/>
      <w:r w:rsidRPr="00967C82">
        <w:rPr>
          <w:rFonts w:ascii="Times New Roman" w:hAnsi="Times New Roman" w:cs="Times New Roman"/>
          <w:i/>
        </w:rPr>
        <w:t xml:space="preserve"> </w:t>
      </w:r>
      <w:proofErr w:type="spellStart"/>
      <w:r w:rsidRPr="00967C82">
        <w:rPr>
          <w:rFonts w:ascii="Times New Roman" w:hAnsi="Times New Roman" w:cs="Times New Roman"/>
          <w:i/>
        </w:rPr>
        <w:t>of</w:t>
      </w:r>
      <w:proofErr w:type="spellEnd"/>
      <w:r w:rsidRPr="00967C82">
        <w:rPr>
          <w:rFonts w:ascii="Times New Roman" w:hAnsi="Times New Roman" w:cs="Times New Roman"/>
          <w:i/>
        </w:rPr>
        <w:t xml:space="preserve"> </w:t>
      </w:r>
      <w:proofErr w:type="spellStart"/>
      <w:r w:rsidRPr="00967C82">
        <w:rPr>
          <w:rFonts w:ascii="Times New Roman" w:hAnsi="Times New Roman" w:cs="Times New Roman"/>
          <w:i/>
        </w:rPr>
        <w:t>common</w:t>
      </w:r>
      <w:proofErr w:type="spellEnd"/>
      <w:r w:rsidRPr="00967C82">
        <w:rPr>
          <w:rFonts w:ascii="Times New Roman" w:hAnsi="Times New Roman" w:cs="Times New Roman"/>
          <w:i/>
        </w:rPr>
        <w:t xml:space="preserve"> market </w:t>
      </w:r>
      <w:proofErr w:type="spellStart"/>
      <w:r w:rsidRPr="00967C82">
        <w:rPr>
          <w:rFonts w:ascii="Times New Roman" w:hAnsi="Times New Roman" w:cs="Times New Roman"/>
          <w:i/>
        </w:rPr>
        <w:t>studies</w:t>
      </w:r>
      <w:proofErr w:type="spellEnd"/>
      <w:r w:rsidRPr="00967C82">
        <w:rPr>
          <w:rFonts w:ascii="Times New Roman" w:hAnsi="Times New Roman" w:cs="Times New Roman"/>
        </w:rPr>
        <w:t xml:space="preserve">, 2013, vol. 51, </w:t>
      </w:r>
      <w:proofErr w:type="spellStart"/>
      <w:r w:rsidRPr="00967C82">
        <w:rPr>
          <w:rFonts w:ascii="Times New Roman" w:hAnsi="Times New Roman" w:cs="Times New Roman"/>
        </w:rPr>
        <w:t>issue</w:t>
      </w:r>
      <w:proofErr w:type="spellEnd"/>
      <w:r w:rsidRPr="00967C82">
        <w:rPr>
          <w:rFonts w:ascii="Times New Roman" w:hAnsi="Times New Roman" w:cs="Times New Roman"/>
        </w:rPr>
        <w:t xml:space="preserve"> 2, s. 298.</w:t>
      </w:r>
    </w:p>
  </w:footnote>
  <w:footnote w:id="71">
    <w:p w:rsidR="00076524" w:rsidRPr="00967C82" w:rsidRDefault="00076524" w:rsidP="00967C82">
      <w:pPr>
        <w:pStyle w:val="Textpoznpodarou"/>
        <w:jc w:val="both"/>
        <w:rPr>
          <w:rFonts w:ascii="Times New Roman" w:hAnsi="Times New Roman" w:cs="Times New Roman"/>
        </w:rPr>
      </w:pPr>
      <w:r w:rsidRPr="00967C82">
        <w:rPr>
          <w:rStyle w:val="Znakapoznpodarou"/>
          <w:rFonts w:ascii="Times New Roman" w:hAnsi="Times New Roman" w:cs="Times New Roman"/>
        </w:rPr>
        <w:footnoteRef/>
      </w:r>
      <w:r w:rsidRPr="00967C82">
        <w:rPr>
          <w:rFonts w:ascii="Times New Roman" w:hAnsi="Times New Roman" w:cs="Times New Roman"/>
        </w:rPr>
        <w:t xml:space="preserve">  Viz </w:t>
      </w:r>
      <w:r>
        <w:rPr>
          <w:rFonts w:ascii="Times New Roman" w:hAnsi="Times New Roman" w:cs="Times New Roman"/>
        </w:rPr>
        <w:t>tamtéž</w:t>
      </w:r>
      <w:r w:rsidRPr="00967C82">
        <w:rPr>
          <w:rFonts w:ascii="Times New Roman" w:hAnsi="Times New Roman" w:cs="Times New Roman"/>
        </w:rPr>
        <w:t xml:space="preserve">, s. 312. </w:t>
      </w:r>
    </w:p>
  </w:footnote>
  <w:footnote w:id="72">
    <w:p w:rsidR="00076524" w:rsidRPr="00967C82" w:rsidRDefault="00076524" w:rsidP="00967C82">
      <w:pPr>
        <w:pStyle w:val="Textpoznpodarou"/>
        <w:jc w:val="both"/>
        <w:rPr>
          <w:rFonts w:ascii="Times New Roman" w:hAnsi="Times New Roman" w:cs="Times New Roman"/>
        </w:rPr>
      </w:pPr>
      <w:r w:rsidRPr="00967C82">
        <w:rPr>
          <w:rStyle w:val="Znakapoznpodarou"/>
          <w:rFonts w:ascii="Times New Roman" w:hAnsi="Times New Roman" w:cs="Times New Roman"/>
        </w:rPr>
        <w:footnoteRef/>
      </w:r>
      <w:r>
        <w:rPr>
          <w:rFonts w:ascii="Times New Roman" w:hAnsi="Times New Roman" w:cs="Times New Roman"/>
        </w:rPr>
        <w:t xml:space="preserve"> Čl. 10 odst. </w:t>
      </w:r>
      <w:r w:rsidRPr="00967C82">
        <w:rPr>
          <w:rFonts w:ascii="Times New Roman" w:hAnsi="Times New Roman" w:cs="Times New Roman"/>
        </w:rPr>
        <w:t>2. SEU</w:t>
      </w:r>
    </w:p>
  </w:footnote>
  <w:footnote w:id="73">
    <w:p w:rsidR="00076524" w:rsidRPr="00B56869" w:rsidRDefault="00076524" w:rsidP="00967C82">
      <w:pPr>
        <w:pStyle w:val="Textpoznpodarou"/>
        <w:jc w:val="both"/>
        <w:rPr>
          <w:rFonts w:ascii="Times New Roman" w:hAnsi="Times New Roman" w:cs="Times New Roman"/>
        </w:rPr>
      </w:pPr>
      <w:r w:rsidRPr="00967C82">
        <w:rPr>
          <w:rStyle w:val="Znakapoznpodarou"/>
          <w:rFonts w:ascii="Times New Roman" w:hAnsi="Times New Roman" w:cs="Times New Roman"/>
        </w:rPr>
        <w:footnoteRef/>
      </w:r>
      <w:r>
        <w:rPr>
          <w:rFonts w:ascii="Times New Roman" w:hAnsi="Times New Roman" w:cs="Times New Roman"/>
        </w:rPr>
        <w:t xml:space="preserve"> V této souvislosti</w:t>
      </w:r>
      <w:r w:rsidRPr="00967C82">
        <w:rPr>
          <w:rFonts w:ascii="Times New Roman" w:hAnsi="Times New Roman" w:cs="Times New Roman"/>
        </w:rPr>
        <w:t xml:space="preserve"> upozorněme ještě na znění čl. 5 protokolu</w:t>
      </w:r>
      <w:r>
        <w:rPr>
          <w:rFonts w:ascii="Times New Roman" w:hAnsi="Times New Roman" w:cs="Times New Roman"/>
        </w:rPr>
        <w:t xml:space="preserve"> č. 1</w:t>
      </w:r>
      <w:r w:rsidRPr="00967C82">
        <w:rPr>
          <w:rFonts w:ascii="Times New Roman" w:hAnsi="Times New Roman" w:cs="Times New Roman"/>
        </w:rPr>
        <w:t xml:space="preserve">: </w:t>
      </w:r>
      <w:r w:rsidRPr="00967C82">
        <w:rPr>
          <w:rFonts w:ascii="Times New Roman" w:hAnsi="Times New Roman" w:cs="Times New Roman"/>
          <w:i/>
        </w:rPr>
        <w:t>„Pořady jednání a výsledky zasedání Rady včetně zápisů ze zasedání, na nichž Rada jedná o návrzích legislativních aktů, se předávají přímo vnitrostátním parlamentům současně jako vládám členských států.“</w:t>
      </w:r>
    </w:p>
  </w:footnote>
  <w:footnote w:id="74">
    <w:p w:rsidR="00076524" w:rsidRPr="00B56869" w:rsidRDefault="00076524" w:rsidP="00A3402A">
      <w:pPr>
        <w:pStyle w:val="Textpoznpodarou"/>
        <w:jc w:val="both"/>
        <w:rPr>
          <w:rFonts w:ascii="Times New Roman" w:hAnsi="Times New Roman" w:cs="Times New Roman"/>
        </w:rPr>
      </w:pPr>
      <w:r w:rsidRPr="00B56869">
        <w:rPr>
          <w:rStyle w:val="Znakapoznpodarou"/>
          <w:rFonts w:ascii="Times New Roman" w:hAnsi="Times New Roman" w:cs="Times New Roman"/>
        </w:rPr>
        <w:footnoteRef/>
      </w:r>
      <w:r w:rsidRPr="00B56869">
        <w:rPr>
          <w:rFonts w:ascii="Times New Roman" w:hAnsi="Times New Roman" w:cs="Times New Roman"/>
        </w:rPr>
        <w:t xml:space="preserve"> </w:t>
      </w:r>
      <w:r>
        <w:rPr>
          <w:rFonts w:ascii="Times New Roman" w:hAnsi="Times New Roman" w:cs="Times New Roman"/>
        </w:rPr>
        <w:t xml:space="preserve">Viz </w:t>
      </w:r>
      <w:r w:rsidRPr="00B56869">
        <w:rPr>
          <w:rFonts w:ascii="Times New Roman" w:hAnsi="Times New Roman" w:cs="Times New Roman"/>
        </w:rPr>
        <w:t xml:space="preserve">KIIVER, Philipp. </w:t>
      </w:r>
      <w:proofErr w:type="spellStart"/>
      <w:r>
        <w:rPr>
          <w:rFonts w:ascii="Times New Roman" w:hAnsi="Times New Roman" w:cs="Times New Roman"/>
          <w:i/>
        </w:rPr>
        <w:t>The</w:t>
      </w:r>
      <w:proofErr w:type="spellEnd"/>
      <w:r>
        <w:rPr>
          <w:rFonts w:ascii="Times New Roman" w:hAnsi="Times New Roman" w:cs="Times New Roman"/>
          <w:i/>
        </w:rPr>
        <w:t xml:space="preserve"> Early </w:t>
      </w:r>
      <w:proofErr w:type="spellStart"/>
      <w:r>
        <w:rPr>
          <w:rFonts w:ascii="Times New Roman" w:hAnsi="Times New Roman" w:cs="Times New Roman"/>
          <w:i/>
        </w:rPr>
        <w:t>Warning</w:t>
      </w:r>
      <w:proofErr w:type="spellEnd"/>
      <w:r>
        <w:rPr>
          <w:rFonts w:ascii="Times New Roman" w:hAnsi="Times New Roman" w:cs="Times New Roman"/>
          <w:i/>
        </w:rPr>
        <w:t xml:space="preserve"> </w:t>
      </w:r>
      <w:proofErr w:type="spellStart"/>
      <w:r>
        <w:rPr>
          <w:rFonts w:ascii="Times New Roman" w:hAnsi="Times New Roman" w:cs="Times New Roman"/>
          <w:i/>
        </w:rPr>
        <w:t>Syste</w:t>
      </w:r>
      <w:r w:rsidRPr="005D6715">
        <w:rPr>
          <w:rFonts w:ascii="Times New Roman" w:hAnsi="Times New Roman" w:cs="Times New Roman"/>
          <w:i/>
        </w:rPr>
        <w:t>m</w:t>
      </w:r>
      <w:proofErr w:type="spellEnd"/>
      <w:r w:rsidRPr="005D6715">
        <w:rPr>
          <w:rFonts w:ascii="Times New Roman" w:hAnsi="Times New Roman" w:cs="Times New Roman"/>
          <w:i/>
        </w:rPr>
        <w:t xml:space="preserve"> </w:t>
      </w:r>
      <w:proofErr w:type="spellStart"/>
      <w:r w:rsidRPr="005D6715">
        <w:rPr>
          <w:rFonts w:ascii="Times New Roman" w:hAnsi="Times New Roman" w:cs="Times New Roman"/>
          <w:i/>
        </w:rPr>
        <w:t>for</w:t>
      </w:r>
      <w:proofErr w:type="spellEnd"/>
      <w:r w:rsidRPr="005D6715">
        <w:rPr>
          <w:rFonts w:ascii="Times New Roman" w:hAnsi="Times New Roman" w:cs="Times New Roman"/>
          <w:i/>
        </w:rPr>
        <w:t xml:space="preserve"> </w:t>
      </w:r>
      <w:proofErr w:type="spellStart"/>
      <w:r w:rsidRPr="005D6715">
        <w:rPr>
          <w:rFonts w:ascii="Times New Roman" w:hAnsi="Times New Roman" w:cs="Times New Roman"/>
          <w:i/>
        </w:rPr>
        <w:t>the</w:t>
      </w:r>
      <w:proofErr w:type="spellEnd"/>
      <w:r w:rsidRPr="005D6715">
        <w:rPr>
          <w:rFonts w:ascii="Times New Roman" w:hAnsi="Times New Roman" w:cs="Times New Roman"/>
          <w:i/>
        </w:rPr>
        <w:t xml:space="preserve"> </w:t>
      </w:r>
      <w:proofErr w:type="spellStart"/>
      <w:r>
        <w:rPr>
          <w:rFonts w:ascii="Times New Roman" w:hAnsi="Times New Roman" w:cs="Times New Roman"/>
          <w:i/>
        </w:rPr>
        <w:t>Pr</w:t>
      </w:r>
      <w:r w:rsidRPr="005D6715">
        <w:rPr>
          <w:rFonts w:ascii="Times New Roman" w:hAnsi="Times New Roman" w:cs="Times New Roman"/>
          <w:i/>
        </w:rPr>
        <w:t>inciple</w:t>
      </w:r>
      <w:proofErr w:type="spellEnd"/>
      <w:r w:rsidRPr="005D6715">
        <w:rPr>
          <w:rFonts w:ascii="Times New Roman" w:hAnsi="Times New Roman" w:cs="Times New Roman"/>
          <w:i/>
        </w:rPr>
        <w:t xml:space="preserve"> </w:t>
      </w:r>
      <w:proofErr w:type="spellStart"/>
      <w:r w:rsidRPr="005D6715">
        <w:rPr>
          <w:rFonts w:ascii="Times New Roman" w:hAnsi="Times New Roman" w:cs="Times New Roman"/>
          <w:i/>
        </w:rPr>
        <w:t>of</w:t>
      </w:r>
      <w:proofErr w:type="spellEnd"/>
      <w:r w:rsidRPr="005D6715">
        <w:rPr>
          <w:rFonts w:ascii="Times New Roman" w:hAnsi="Times New Roman" w:cs="Times New Roman"/>
          <w:i/>
        </w:rPr>
        <w:t xml:space="preserve"> Subsidiarity, </w:t>
      </w:r>
      <w:proofErr w:type="spellStart"/>
      <w:r w:rsidRPr="005D6715">
        <w:rPr>
          <w:rFonts w:ascii="Times New Roman" w:hAnsi="Times New Roman" w:cs="Times New Roman"/>
          <w:i/>
        </w:rPr>
        <w:t>Constitutional</w:t>
      </w:r>
      <w:proofErr w:type="spellEnd"/>
      <w:r w:rsidRPr="005D6715">
        <w:rPr>
          <w:rFonts w:ascii="Times New Roman" w:hAnsi="Times New Roman" w:cs="Times New Roman"/>
          <w:i/>
        </w:rPr>
        <w:t xml:space="preserve"> </w:t>
      </w:r>
      <w:proofErr w:type="spellStart"/>
      <w:r w:rsidRPr="005D6715">
        <w:rPr>
          <w:rFonts w:ascii="Times New Roman" w:hAnsi="Times New Roman" w:cs="Times New Roman"/>
          <w:i/>
        </w:rPr>
        <w:t>theory</w:t>
      </w:r>
      <w:proofErr w:type="spellEnd"/>
      <w:r w:rsidRPr="005D6715">
        <w:rPr>
          <w:rFonts w:ascii="Times New Roman" w:hAnsi="Times New Roman" w:cs="Times New Roman"/>
          <w:i/>
        </w:rPr>
        <w:t xml:space="preserve"> and </w:t>
      </w:r>
      <w:proofErr w:type="spellStart"/>
      <w:r w:rsidRPr="005D6715">
        <w:rPr>
          <w:rFonts w:ascii="Times New Roman" w:hAnsi="Times New Roman" w:cs="Times New Roman"/>
          <w:i/>
        </w:rPr>
        <w:t>empirical</w:t>
      </w:r>
      <w:proofErr w:type="spellEnd"/>
      <w:r w:rsidRPr="005D6715">
        <w:rPr>
          <w:rFonts w:ascii="Times New Roman" w:hAnsi="Times New Roman" w:cs="Times New Roman"/>
          <w:i/>
        </w:rPr>
        <w:t xml:space="preserve"> reality</w:t>
      </w:r>
      <w:r w:rsidRPr="00B56869">
        <w:rPr>
          <w:rFonts w:ascii="Times New Roman" w:hAnsi="Times New Roman" w:cs="Times New Roman"/>
        </w:rPr>
        <w:t xml:space="preserve">. </w:t>
      </w:r>
      <w:proofErr w:type="spellStart"/>
      <w:r w:rsidRPr="00AC53A3">
        <w:rPr>
          <w:rFonts w:ascii="Times New Roman" w:hAnsi="Times New Roman" w:cs="Times New Roman"/>
        </w:rPr>
        <w:t>Abingdon</w:t>
      </w:r>
      <w:proofErr w:type="spellEnd"/>
      <w:r w:rsidRPr="00AC53A3">
        <w:rPr>
          <w:rFonts w:ascii="Times New Roman" w:hAnsi="Times New Roman" w:cs="Times New Roman"/>
        </w:rPr>
        <w:t xml:space="preserve">: </w:t>
      </w:r>
      <w:proofErr w:type="spellStart"/>
      <w:r w:rsidRPr="00AC53A3">
        <w:rPr>
          <w:rFonts w:ascii="Times New Roman" w:hAnsi="Times New Roman" w:cs="Times New Roman"/>
        </w:rPr>
        <w:t>Routledge</w:t>
      </w:r>
      <w:proofErr w:type="spellEnd"/>
      <w:r>
        <w:rPr>
          <w:rFonts w:ascii="Times New Roman" w:hAnsi="Times New Roman" w:cs="Times New Roman"/>
        </w:rPr>
        <w:t>, 2012,</w:t>
      </w:r>
      <w:r w:rsidRPr="00B56869">
        <w:rPr>
          <w:rFonts w:ascii="Times New Roman" w:hAnsi="Times New Roman" w:cs="Times New Roman"/>
        </w:rPr>
        <w:t xml:space="preserve"> s. 11.</w:t>
      </w:r>
    </w:p>
  </w:footnote>
  <w:footnote w:id="75">
    <w:p w:rsidR="00076524" w:rsidRPr="00B56869" w:rsidRDefault="00076524" w:rsidP="00A3402A">
      <w:pPr>
        <w:pStyle w:val="Textpoznpodarou"/>
        <w:jc w:val="both"/>
        <w:rPr>
          <w:rFonts w:ascii="Times New Roman" w:hAnsi="Times New Roman" w:cs="Times New Roman"/>
        </w:rPr>
      </w:pPr>
      <w:r w:rsidRPr="00B56869">
        <w:rPr>
          <w:rStyle w:val="Znakapoznpodarou"/>
          <w:rFonts w:ascii="Times New Roman" w:hAnsi="Times New Roman" w:cs="Times New Roman"/>
        </w:rPr>
        <w:footnoteRef/>
      </w:r>
      <w:r w:rsidRPr="00B56869">
        <w:rPr>
          <w:rFonts w:ascii="Times New Roman" w:hAnsi="Times New Roman" w:cs="Times New Roman"/>
        </w:rPr>
        <w:t xml:space="preserve"> Může docházet i ke kontrole předsedy vlády či hlavy státu účastnících se jednání ER, zde se jí ale nebudeme zabývat. </w:t>
      </w:r>
    </w:p>
  </w:footnote>
  <w:footnote w:id="76">
    <w:p w:rsidR="00076524" w:rsidRDefault="00076524" w:rsidP="00A3402A">
      <w:pPr>
        <w:pStyle w:val="Textpoznpodarou"/>
        <w:jc w:val="both"/>
      </w:pPr>
      <w:r w:rsidRPr="00B56869">
        <w:rPr>
          <w:rStyle w:val="Znakapoznpodarou"/>
          <w:rFonts w:ascii="Times New Roman" w:hAnsi="Times New Roman" w:cs="Times New Roman"/>
        </w:rPr>
        <w:footnoteRef/>
      </w:r>
      <w:r w:rsidRPr="00B56869">
        <w:rPr>
          <w:rFonts w:ascii="Times New Roman" w:hAnsi="Times New Roman" w:cs="Times New Roman"/>
        </w:rPr>
        <w:t xml:space="preserve"> Viz čl. 12 SEU a protokoly č. 1 a 2</w:t>
      </w:r>
    </w:p>
  </w:footnote>
  <w:footnote w:id="77">
    <w:p w:rsidR="00076524" w:rsidRPr="00B81F32" w:rsidRDefault="00076524" w:rsidP="00C161C8">
      <w:pPr>
        <w:pStyle w:val="Textpoznpodarou"/>
        <w:rPr>
          <w:rFonts w:ascii="Times New Roman" w:hAnsi="Times New Roman" w:cs="Times New Roman"/>
        </w:rPr>
      </w:pPr>
      <w:r w:rsidRPr="00B81F32">
        <w:rPr>
          <w:rStyle w:val="Znakapoznpodarou"/>
          <w:rFonts w:ascii="Times New Roman" w:hAnsi="Times New Roman" w:cs="Times New Roman"/>
        </w:rPr>
        <w:footnoteRef/>
      </w:r>
      <w:r w:rsidRPr="00B81F32">
        <w:rPr>
          <w:rFonts w:ascii="Times New Roman" w:hAnsi="Times New Roman" w:cs="Times New Roman"/>
        </w:rPr>
        <w:t xml:space="preserve"> Viz CYGAN: </w:t>
      </w:r>
      <w:proofErr w:type="spellStart"/>
      <w:r w:rsidRPr="00486187">
        <w:rPr>
          <w:rFonts w:ascii="Times New Roman" w:hAnsi="Times New Roman" w:cs="Times New Roman"/>
          <w:i/>
        </w:rPr>
        <w:t>National</w:t>
      </w:r>
      <w:proofErr w:type="spellEnd"/>
      <w:r w:rsidRPr="00486187">
        <w:rPr>
          <w:rFonts w:ascii="Times New Roman" w:hAnsi="Times New Roman" w:cs="Times New Roman"/>
          <w:i/>
        </w:rPr>
        <w:t>…</w:t>
      </w:r>
      <w:r w:rsidRPr="00B81F32">
        <w:rPr>
          <w:rFonts w:ascii="Times New Roman" w:hAnsi="Times New Roman" w:cs="Times New Roman"/>
        </w:rPr>
        <w:t>, s. 519-520 a 530.</w:t>
      </w:r>
    </w:p>
  </w:footnote>
  <w:footnote w:id="78">
    <w:p w:rsidR="00076524" w:rsidRPr="00B81F32" w:rsidRDefault="00076524" w:rsidP="00C161C8">
      <w:pPr>
        <w:pStyle w:val="Textpoznpodarou"/>
        <w:rPr>
          <w:rFonts w:ascii="Times New Roman" w:hAnsi="Times New Roman" w:cs="Times New Roman"/>
        </w:rPr>
      </w:pPr>
      <w:r w:rsidRPr="00B81F32">
        <w:rPr>
          <w:rStyle w:val="Znakapoznpodarou"/>
          <w:rFonts w:ascii="Times New Roman" w:hAnsi="Times New Roman" w:cs="Times New Roman"/>
        </w:rPr>
        <w:footnoteRef/>
      </w:r>
      <w:r w:rsidRPr="00B81F32">
        <w:rPr>
          <w:rFonts w:ascii="Times New Roman" w:hAnsi="Times New Roman" w:cs="Times New Roman"/>
        </w:rPr>
        <w:t xml:space="preserve"> </w:t>
      </w:r>
      <w:r w:rsidRPr="005E7F68">
        <w:rPr>
          <w:rFonts w:ascii="Times New Roman" w:hAnsi="Times New Roman" w:cs="Times New Roman"/>
        </w:rPr>
        <w:t xml:space="preserve">Viz GRINC: </w:t>
      </w:r>
      <w:r w:rsidRPr="005E7F68">
        <w:rPr>
          <w:rFonts w:ascii="Times New Roman" w:hAnsi="Times New Roman" w:cs="Times New Roman"/>
          <w:i/>
        </w:rPr>
        <w:t xml:space="preserve">Národní…, </w:t>
      </w:r>
      <w:r w:rsidRPr="00B81F32">
        <w:rPr>
          <w:rFonts w:ascii="Times New Roman" w:hAnsi="Times New Roman" w:cs="Times New Roman"/>
        </w:rPr>
        <w:t xml:space="preserve">s. 145-146. </w:t>
      </w:r>
    </w:p>
  </w:footnote>
  <w:footnote w:id="79">
    <w:p w:rsidR="00076524" w:rsidRPr="00B81F32" w:rsidRDefault="00076524" w:rsidP="00BA0A82">
      <w:pPr>
        <w:pStyle w:val="Textpoznpodarou"/>
        <w:jc w:val="both"/>
        <w:rPr>
          <w:rFonts w:ascii="Times New Roman" w:hAnsi="Times New Roman" w:cs="Times New Roman"/>
        </w:rPr>
      </w:pPr>
      <w:r w:rsidRPr="00B81F32">
        <w:rPr>
          <w:rStyle w:val="Znakapoznpodarou"/>
          <w:rFonts w:ascii="Times New Roman" w:hAnsi="Times New Roman" w:cs="Times New Roman"/>
        </w:rPr>
        <w:footnoteRef/>
      </w:r>
      <w:r w:rsidRPr="00B81F32">
        <w:rPr>
          <w:rFonts w:ascii="Times New Roman" w:hAnsi="Times New Roman" w:cs="Times New Roman"/>
        </w:rPr>
        <w:t xml:space="preserve"> Viz </w:t>
      </w:r>
      <w:r w:rsidRPr="002574F2">
        <w:rPr>
          <w:rFonts w:ascii="Times New Roman" w:hAnsi="Times New Roman" w:cs="Times New Roman"/>
        </w:rPr>
        <w:t xml:space="preserve">AUEL, </w:t>
      </w:r>
      <w:r>
        <w:rPr>
          <w:rFonts w:ascii="Times New Roman" w:hAnsi="Times New Roman" w:cs="Times New Roman"/>
        </w:rPr>
        <w:t xml:space="preserve">CHRISTIANSEN: </w:t>
      </w:r>
      <w:proofErr w:type="spellStart"/>
      <w:r w:rsidRPr="003B590C">
        <w:rPr>
          <w:rFonts w:ascii="Times New Roman" w:hAnsi="Times New Roman" w:cs="Times New Roman"/>
          <w:i/>
        </w:rPr>
        <w:t>After</w:t>
      </w:r>
      <w:proofErr w:type="spellEnd"/>
      <w:r w:rsidRPr="003B590C">
        <w:rPr>
          <w:rFonts w:ascii="Times New Roman" w:hAnsi="Times New Roman" w:cs="Times New Roman"/>
          <w:i/>
        </w:rPr>
        <w:t>…</w:t>
      </w:r>
      <w:r>
        <w:rPr>
          <w:rFonts w:ascii="Times New Roman" w:hAnsi="Times New Roman" w:cs="Times New Roman"/>
        </w:rPr>
        <w:t>, s. 268.</w:t>
      </w:r>
      <w:r w:rsidRPr="00B81F32">
        <w:rPr>
          <w:rFonts w:ascii="Times New Roman" w:hAnsi="Times New Roman" w:cs="Times New Roman"/>
        </w:rPr>
        <w:t xml:space="preserve"> Blíže k parlamentním výhradám pak viz</w:t>
      </w:r>
      <w:r>
        <w:rPr>
          <w:rFonts w:ascii="Times New Roman" w:hAnsi="Times New Roman" w:cs="Times New Roman"/>
        </w:rPr>
        <w:t xml:space="preserve"> např.</w:t>
      </w:r>
      <w:r w:rsidRPr="00B81F32">
        <w:rPr>
          <w:rFonts w:ascii="Times New Roman" w:hAnsi="Times New Roman" w:cs="Times New Roman"/>
        </w:rPr>
        <w:t xml:space="preserve"> </w:t>
      </w:r>
      <w:r w:rsidRPr="00BA0A82">
        <w:rPr>
          <w:rFonts w:ascii="Times New Roman" w:hAnsi="Times New Roman" w:cs="Times New Roman"/>
        </w:rPr>
        <w:t xml:space="preserve">AUEL, Katrin, ROZENBERG, Olivier, THOMAS, Anja. </w:t>
      </w:r>
      <w:proofErr w:type="spellStart"/>
      <w:r w:rsidRPr="00BA0A82">
        <w:rPr>
          <w:rFonts w:ascii="Times New Roman" w:hAnsi="Times New Roman" w:cs="Times New Roman"/>
        </w:rPr>
        <w:t>Lost</w:t>
      </w:r>
      <w:proofErr w:type="spellEnd"/>
      <w:r w:rsidRPr="00BA0A82">
        <w:rPr>
          <w:rFonts w:ascii="Times New Roman" w:hAnsi="Times New Roman" w:cs="Times New Roman"/>
        </w:rPr>
        <w:t xml:space="preserve"> in </w:t>
      </w:r>
      <w:proofErr w:type="spellStart"/>
      <w:r w:rsidRPr="00BA0A82">
        <w:rPr>
          <w:rFonts w:ascii="Times New Roman" w:hAnsi="Times New Roman" w:cs="Times New Roman"/>
        </w:rPr>
        <w:t>Transaction</w:t>
      </w:r>
      <w:proofErr w:type="spellEnd"/>
      <w:r w:rsidRPr="00BA0A82">
        <w:rPr>
          <w:rFonts w:ascii="Times New Roman" w:hAnsi="Times New Roman" w:cs="Times New Roman"/>
        </w:rPr>
        <w:t xml:space="preserve">? </w:t>
      </w:r>
      <w:proofErr w:type="spellStart"/>
      <w:r w:rsidRPr="00BA0A82">
        <w:rPr>
          <w:rFonts w:ascii="Times New Roman" w:hAnsi="Times New Roman" w:cs="Times New Roman"/>
        </w:rPr>
        <w:t>Parliamentary</w:t>
      </w:r>
      <w:proofErr w:type="spellEnd"/>
      <w:r w:rsidRPr="00BA0A82">
        <w:rPr>
          <w:rFonts w:ascii="Times New Roman" w:hAnsi="Times New Roman" w:cs="Times New Roman"/>
        </w:rPr>
        <w:t xml:space="preserve"> </w:t>
      </w:r>
      <w:proofErr w:type="spellStart"/>
      <w:r w:rsidRPr="00BA0A82">
        <w:rPr>
          <w:rFonts w:ascii="Times New Roman" w:hAnsi="Times New Roman" w:cs="Times New Roman"/>
        </w:rPr>
        <w:t>Reserves</w:t>
      </w:r>
      <w:proofErr w:type="spellEnd"/>
      <w:r w:rsidRPr="00BA0A82">
        <w:rPr>
          <w:rFonts w:ascii="Times New Roman" w:hAnsi="Times New Roman" w:cs="Times New Roman"/>
        </w:rPr>
        <w:t xml:space="preserve"> in EU </w:t>
      </w:r>
      <w:proofErr w:type="spellStart"/>
      <w:r w:rsidRPr="00BA0A82">
        <w:rPr>
          <w:rFonts w:ascii="Times New Roman" w:hAnsi="Times New Roman" w:cs="Times New Roman"/>
        </w:rPr>
        <w:t>bargains</w:t>
      </w:r>
      <w:proofErr w:type="spellEnd"/>
      <w:r w:rsidRPr="00BA0A82">
        <w:rPr>
          <w:rFonts w:ascii="Times New Roman" w:hAnsi="Times New Roman" w:cs="Times New Roman"/>
        </w:rPr>
        <w:t xml:space="preserve">. </w:t>
      </w:r>
      <w:r w:rsidRPr="00CF5DEF">
        <w:rPr>
          <w:rFonts w:ascii="Times New Roman" w:hAnsi="Times New Roman" w:cs="Times New Roman"/>
          <w:i/>
        </w:rPr>
        <w:t>OPAL</w:t>
      </w:r>
      <w:r>
        <w:rPr>
          <w:rFonts w:ascii="Times New Roman" w:hAnsi="Times New Roman" w:cs="Times New Roman"/>
          <w:i/>
        </w:rPr>
        <w:t xml:space="preserve">, </w:t>
      </w:r>
      <w:r>
        <w:rPr>
          <w:rFonts w:ascii="Times New Roman" w:hAnsi="Times New Roman" w:cs="Times New Roman"/>
        </w:rPr>
        <w:t>2012, no. 10,</w:t>
      </w:r>
      <w:r w:rsidRPr="00BA0A82">
        <w:rPr>
          <w:rFonts w:ascii="Times New Roman" w:hAnsi="Times New Roman" w:cs="Times New Roman"/>
        </w:rPr>
        <w:t xml:space="preserve"> s.</w:t>
      </w:r>
      <w:r>
        <w:rPr>
          <w:rFonts w:ascii="Times New Roman" w:hAnsi="Times New Roman" w:cs="Times New Roman"/>
        </w:rPr>
        <w:t xml:space="preserve"> 1-30.</w:t>
      </w:r>
      <w:r w:rsidRPr="00BA0A82">
        <w:rPr>
          <w:rFonts w:ascii="Times New Roman" w:hAnsi="Times New Roman" w:cs="Times New Roman"/>
        </w:rPr>
        <w:t xml:space="preserve"> </w:t>
      </w:r>
    </w:p>
  </w:footnote>
  <w:footnote w:id="80">
    <w:p w:rsidR="00076524" w:rsidRPr="00B81F32" w:rsidRDefault="00076524" w:rsidP="00C161C8">
      <w:pPr>
        <w:pStyle w:val="Textpoznpodarou"/>
        <w:rPr>
          <w:rFonts w:ascii="Times New Roman" w:hAnsi="Times New Roman" w:cs="Times New Roman"/>
        </w:rPr>
      </w:pPr>
      <w:r w:rsidRPr="00B81F32">
        <w:rPr>
          <w:rStyle w:val="Znakapoznpodarou"/>
          <w:rFonts w:ascii="Times New Roman" w:hAnsi="Times New Roman" w:cs="Times New Roman"/>
        </w:rPr>
        <w:footnoteRef/>
      </w:r>
      <w:r w:rsidRPr="00B81F32">
        <w:rPr>
          <w:rFonts w:ascii="Times New Roman" w:hAnsi="Times New Roman" w:cs="Times New Roman"/>
        </w:rPr>
        <w:t xml:space="preserve"> </w:t>
      </w:r>
      <w:r w:rsidRPr="00EC1993">
        <w:rPr>
          <w:rFonts w:ascii="Times New Roman" w:hAnsi="Times New Roman" w:cs="Times New Roman"/>
        </w:rPr>
        <w:t xml:space="preserve">Viz např. KARLAS, Jan. </w:t>
      </w:r>
      <w:r w:rsidRPr="00CB31ED">
        <w:rPr>
          <w:rFonts w:ascii="Times New Roman" w:hAnsi="Times New Roman" w:cs="Times New Roman"/>
          <w:i/>
        </w:rPr>
        <w:t>Národní parlamenty a kontrola evropských záležitostí: komparativní analýza</w:t>
      </w:r>
      <w:r>
        <w:rPr>
          <w:rFonts w:ascii="Times New Roman" w:hAnsi="Times New Roman" w:cs="Times New Roman"/>
        </w:rPr>
        <w:t>. Praha: Karolinum, 2011,</w:t>
      </w:r>
      <w:r w:rsidRPr="00B81F32">
        <w:rPr>
          <w:rFonts w:ascii="Times New Roman" w:hAnsi="Times New Roman" w:cs="Times New Roman"/>
        </w:rPr>
        <w:t xml:space="preserve"> s. 97-98.</w:t>
      </w:r>
    </w:p>
  </w:footnote>
  <w:footnote w:id="81">
    <w:p w:rsidR="00076524" w:rsidRDefault="00076524" w:rsidP="00F5269A">
      <w:pPr>
        <w:pStyle w:val="Textpoznpodarou"/>
        <w:jc w:val="both"/>
      </w:pPr>
      <w:r w:rsidRPr="00B81F32">
        <w:rPr>
          <w:rStyle w:val="Znakapoznpodarou"/>
          <w:rFonts w:ascii="Times New Roman" w:hAnsi="Times New Roman" w:cs="Times New Roman"/>
        </w:rPr>
        <w:footnoteRef/>
      </w:r>
      <w:r>
        <w:rPr>
          <w:rFonts w:ascii="Times New Roman" w:hAnsi="Times New Roman" w:cs="Times New Roman"/>
        </w:rPr>
        <w:t xml:space="preserve"> Viz </w:t>
      </w:r>
      <w:r w:rsidRPr="00B81F32">
        <w:rPr>
          <w:rFonts w:ascii="Times New Roman" w:hAnsi="Times New Roman" w:cs="Times New Roman"/>
        </w:rPr>
        <w:t>CYGAN</w:t>
      </w:r>
      <w:r>
        <w:rPr>
          <w:rFonts w:ascii="Times New Roman" w:hAnsi="Times New Roman" w:cs="Times New Roman"/>
        </w:rPr>
        <w:t xml:space="preserve">: </w:t>
      </w:r>
      <w:proofErr w:type="spellStart"/>
      <w:r w:rsidRPr="00F616B5">
        <w:rPr>
          <w:rFonts w:ascii="Times New Roman" w:hAnsi="Times New Roman" w:cs="Times New Roman"/>
          <w:i/>
        </w:rPr>
        <w:t>National</w:t>
      </w:r>
      <w:proofErr w:type="spellEnd"/>
      <w:r w:rsidRPr="00F616B5">
        <w:rPr>
          <w:rFonts w:ascii="Times New Roman" w:hAnsi="Times New Roman" w:cs="Times New Roman"/>
          <w:i/>
        </w:rPr>
        <w:t>…</w:t>
      </w:r>
      <w:r>
        <w:rPr>
          <w:rFonts w:ascii="Times New Roman" w:hAnsi="Times New Roman" w:cs="Times New Roman"/>
        </w:rPr>
        <w:t xml:space="preserve">, </w:t>
      </w:r>
      <w:r w:rsidRPr="00B81F32">
        <w:rPr>
          <w:rFonts w:ascii="Times New Roman" w:hAnsi="Times New Roman" w:cs="Times New Roman"/>
        </w:rPr>
        <w:t>s. 527</w:t>
      </w:r>
      <w:r>
        <w:rPr>
          <w:rFonts w:ascii="Times New Roman" w:hAnsi="Times New Roman" w:cs="Times New Roman"/>
        </w:rPr>
        <w:t>.</w:t>
      </w:r>
    </w:p>
  </w:footnote>
  <w:footnote w:id="82">
    <w:p w:rsidR="00076524" w:rsidRPr="006D4C22" w:rsidRDefault="00076524" w:rsidP="00F5269A">
      <w:pPr>
        <w:pStyle w:val="Textpoznpodarou"/>
        <w:jc w:val="both"/>
        <w:rPr>
          <w:rFonts w:ascii="Times New Roman" w:hAnsi="Times New Roman" w:cs="Times New Roman"/>
        </w:rPr>
      </w:pPr>
      <w:r w:rsidRPr="00051686">
        <w:rPr>
          <w:rStyle w:val="Znakapoznpodarou"/>
          <w:rFonts w:ascii="Times New Roman" w:hAnsi="Times New Roman" w:cs="Times New Roman"/>
        </w:rPr>
        <w:footnoteRef/>
      </w:r>
      <w:r w:rsidRPr="00051686">
        <w:rPr>
          <w:rFonts w:ascii="Times New Roman" w:hAnsi="Times New Roman" w:cs="Times New Roman"/>
        </w:rPr>
        <w:t xml:space="preserve"> Viz JENSEN, </w:t>
      </w:r>
      <w:proofErr w:type="spellStart"/>
      <w:r w:rsidRPr="00051686">
        <w:rPr>
          <w:rFonts w:ascii="Times New Roman" w:hAnsi="Times New Roman" w:cs="Times New Roman"/>
        </w:rPr>
        <w:t>Mads</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Dagnis</w:t>
      </w:r>
      <w:proofErr w:type="spellEnd"/>
      <w:r w:rsidRPr="00051686">
        <w:rPr>
          <w:rFonts w:ascii="Times New Roman" w:hAnsi="Times New Roman" w:cs="Times New Roman"/>
        </w:rPr>
        <w:t xml:space="preserve">, MARTINSEN, Dorte </w:t>
      </w:r>
      <w:proofErr w:type="spellStart"/>
      <w:r w:rsidRPr="00051686">
        <w:rPr>
          <w:rFonts w:ascii="Times New Roman" w:hAnsi="Times New Roman" w:cs="Times New Roman"/>
        </w:rPr>
        <w:t>Sindbjerg</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Out</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of</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time</w:t>
      </w:r>
      <w:proofErr w:type="spellEnd"/>
      <w:r w:rsidRPr="00051686">
        <w:rPr>
          <w:rFonts w:ascii="Times New Roman" w:hAnsi="Times New Roman" w:cs="Times New Roman"/>
        </w:rPr>
        <w:t xml:space="preserve">? – </w:t>
      </w:r>
      <w:proofErr w:type="spellStart"/>
      <w:r w:rsidRPr="00051686">
        <w:rPr>
          <w:rFonts w:ascii="Times New Roman" w:hAnsi="Times New Roman" w:cs="Times New Roman"/>
        </w:rPr>
        <w:t>National</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parliaments</w:t>
      </w:r>
      <w:proofErr w:type="spellEnd"/>
      <w:r w:rsidRPr="00051686">
        <w:rPr>
          <w:rFonts w:ascii="Times New Roman" w:hAnsi="Times New Roman" w:cs="Times New Roman"/>
        </w:rPr>
        <w:t xml:space="preserve"> and early </w:t>
      </w:r>
      <w:proofErr w:type="spellStart"/>
      <w:r w:rsidRPr="00051686">
        <w:rPr>
          <w:rFonts w:ascii="Times New Roman" w:hAnsi="Times New Roman" w:cs="Times New Roman"/>
        </w:rPr>
        <w:t>decision</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making</w:t>
      </w:r>
      <w:proofErr w:type="spellEnd"/>
      <w:r w:rsidRPr="00051686">
        <w:rPr>
          <w:rFonts w:ascii="Times New Roman" w:hAnsi="Times New Roman" w:cs="Times New Roman"/>
        </w:rPr>
        <w:t xml:space="preserve"> in </w:t>
      </w:r>
      <w:proofErr w:type="spellStart"/>
      <w:r w:rsidRPr="00051686">
        <w:rPr>
          <w:rFonts w:ascii="Times New Roman" w:hAnsi="Times New Roman" w:cs="Times New Roman"/>
        </w:rPr>
        <w:t>the</w:t>
      </w:r>
      <w:proofErr w:type="spellEnd"/>
      <w:r w:rsidRPr="00051686">
        <w:rPr>
          <w:rFonts w:ascii="Times New Roman" w:hAnsi="Times New Roman" w:cs="Times New Roman"/>
        </w:rPr>
        <w:t xml:space="preserve"> </w:t>
      </w:r>
      <w:proofErr w:type="spellStart"/>
      <w:r w:rsidRPr="00051686">
        <w:rPr>
          <w:rFonts w:ascii="Times New Roman" w:hAnsi="Times New Roman" w:cs="Times New Roman"/>
        </w:rPr>
        <w:t>European</w:t>
      </w:r>
      <w:proofErr w:type="spellEnd"/>
      <w:r w:rsidRPr="00051686">
        <w:rPr>
          <w:rFonts w:ascii="Times New Roman" w:hAnsi="Times New Roman" w:cs="Times New Roman"/>
        </w:rPr>
        <w:t xml:space="preserve"> Union. </w:t>
      </w:r>
      <w:r>
        <w:rPr>
          <w:rFonts w:ascii="Times New Roman" w:hAnsi="Times New Roman" w:cs="Times New Roman"/>
          <w:i/>
        </w:rPr>
        <w:t xml:space="preserve">OPAL, </w:t>
      </w:r>
      <w:r w:rsidRPr="00051686">
        <w:rPr>
          <w:rFonts w:ascii="Times New Roman" w:hAnsi="Times New Roman" w:cs="Times New Roman"/>
        </w:rPr>
        <w:t xml:space="preserve">2012, no. 8, </w:t>
      </w:r>
      <w:r>
        <w:rPr>
          <w:rFonts w:ascii="Times New Roman" w:hAnsi="Times New Roman" w:cs="Times New Roman"/>
        </w:rPr>
        <w:t>s. 1-29</w:t>
      </w:r>
      <w:r w:rsidRPr="00051686">
        <w:rPr>
          <w:rFonts w:ascii="Times New Roman" w:hAnsi="Times New Roman" w:cs="Times New Roman"/>
        </w:rPr>
        <w:t xml:space="preserve">. </w:t>
      </w:r>
    </w:p>
  </w:footnote>
  <w:footnote w:id="83">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např. DRULÁKOVÁ, Radka. </w:t>
      </w:r>
      <w:r w:rsidRPr="000E0CBD">
        <w:rPr>
          <w:rFonts w:ascii="Times New Roman" w:hAnsi="Times New Roman" w:cs="Times New Roman"/>
          <w:i/>
        </w:rPr>
        <w:t>Subsidiarita v Evropské unii:</w:t>
      </w:r>
      <w:r w:rsidRPr="0043321C">
        <w:rPr>
          <w:rFonts w:ascii="Times New Roman" w:hAnsi="Times New Roman" w:cs="Times New Roman"/>
        </w:rPr>
        <w:t xml:space="preserve"> </w:t>
      </w:r>
      <w:r w:rsidRPr="0043321C">
        <w:rPr>
          <w:rFonts w:ascii="Times New Roman" w:hAnsi="Times New Roman" w:cs="Times New Roman"/>
          <w:i/>
        </w:rPr>
        <w:t xml:space="preserve">Právní princip nebo užitečný symbol? </w:t>
      </w:r>
      <w:r w:rsidRPr="0043321C">
        <w:rPr>
          <w:rFonts w:ascii="Times New Roman" w:hAnsi="Times New Roman" w:cs="Times New Roman"/>
        </w:rPr>
        <w:t xml:space="preserve">Praha: </w:t>
      </w:r>
      <w:proofErr w:type="spellStart"/>
      <w:r w:rsidRPr="0043321C">
        <w:rPr>
          <w:rFonts w:ascii="Times New Roman" w:hAnsi="Times New Roman" w:cs="Times New Roman"/>
        </w:rPr>
        <w:t>Oeconomica</w:t>
      </w:r>
      <w:proofErr w:type="spellEnd"/>
      <w:r w:rsidRPr="0043321C">
        <w:rPr>
          <w:rFonts w:ascii="Times New Roman" w:hAnsi="Times New Roman" w:cs="Times New Roman"/>
        </w:rPr>
        <w:t>, 2010</w:t>
      </w:r>
      <w:r w:rsidRPr="0043321C">
        <w:rPr>
          <w:rFonts w:ascii="Times New Roman" w:hAnsi="Times New Roman" w:cs="Times New Roman"/>
          <w:i/>
        </w:rPr>
        <w:t xml:space="preserve">, </w:t>
      </w:r>
      <w:r w:rsidRPr="0043321C">
        <w:rPr>
          <w:rFonts w:ascii="Times New Roman" w:hAnsi="Times New Roman" w:cs="Times New Roman"/>
        </w:rPr>
        <w:t>s. 23-33.</w:t>
      </w:r>
    </w:p>
  </w:footnote>
  <w:footnote w:id="84">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např. ŠABATKA, Michal. Filosofická východiska principu subsidiarity. In GEORGIEV, Jiří (</w:t>
      </w:r>
      <w:proofErr w:type="spellStart"/>
      <w:r w:rsidRPr="0043321C">
        <w:rPr>
          <w:rFonts w:ascii="Times New Roman" w:hAnsi="Times New Roman" w:cs="Times New Roman"/>
        </w:rPr>
        <w:t>ed</w:t>
      </w:r>
      <w:proofErr w:type="spellEnd"/>
      <w:r w:rsidRPr="0043321C">
        <w:rPr>
          <w:rFonts w:ascii="Times New Roman" w:hAnsi="Times New Roman" w:cs="Times New Roman"/>
        </w:rPr>
        <w:t xml:space="preserve">). </w:t>
      </w:r>
      <w:r w:rsidRPr="0043321C">
        <w:rPr>
          <w:rFonts w:ascii="Times New Roman" w:hAnsi="Times New Roman" w:cs="Times New Roman"/>
          <w:i/>
        </w:rPr>
        <w:t>Princip subsidiarity v právní teorii a praxi</w:t>
      </w:r>
      <w:r w:rsidRPr="0043321C">
        <w:rPr>
          <w:rFonts w:ascii="Times New Roman" w:hAnsi="Times New Roman" w:cs="Times New Roman"/>
        </w:rPr>
        <w:t>. Praha: CEVRO Institut, 2007, s. 25-31.</w:t>
      </w:r>
    </w:p>
  </w:footnote>
  <w:footnote w:id="85">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KANIOK: </w:t>
      </w:r>
      <w:r w:rsidRPr="0043321C">
        <w:rPr>
          <w:rFonts w:ascii="Times New Roman" w:hAnsi="Times New Roman" w:cs="Times New Roman"/>
          <w:i/>
        </w:rPr>
        <w:t>Národní…</w:t>
      </w:r>
      <w:r w:rsidRPr="0043321C">
        <w:rPr>
          <w:rFonts w:ascii="Times New Roman" w:hAnsi="Times New Roman" w:cs="Times New Roman"/>
        </w:rPr>
        <w:t>, s. 11-12.</w:t>
      </w:r>
    </w:p>
  </w:footnote>
  <w:footnote w:id="86">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např. DRULÁKOVÁ: </w:t>
      </w:r>
      <w:r w:rsidRPr="0043321C">
        <w:rPr>
          <w:rFonts w:ascii="Times New Roman" w:hAnsi="Times New Roman" w:cs="Times New Roman"/>
          <w:i/>
        </w:rPr>
        <w:t>Subsidiarita v Evropské…</w:t>
      </w:r>
      <w:r>
        <w:rPr>
          <w:rFonts w:ascii="Times New Roman" w:hAnsi="Times New Roman" w:cs="Times New Roman"/>
        </w:rPr>
        <w:t>, s. 108-</w:t>
      </w:r>
      <w:r w:rsidRPr="0043321C">
        <w:rPr>
          <w:rFonts w:ascii="Times New Roman" w:hAnsi="Times New Roman" w:cs="Times New Roman"/>
        </w:rPr>
        <w:t xml:space="preserve">124 (Subsidiarita v Maastrichtské smlouvě), s. 148-156 (Subsidiarita v Amsterodamské smlouvě), s. 164 (Subsidiarita v návrhu Smlouvy o založení Ústavy pro Evropu). A viz také CRAIG, Paul. Subsidiarity: A </w:t>
      </w:r>
      <w:proofErr w:type="spellStart"/>
      <w:r w:rsidRPr="0043321C">
        <w:rPr>
          <w:rFonts w:ascii="Times New Roman" w:hAnsi="Times New Roman" w:cs="Times New Roman"/>
        </w:rPr>
        <w:t>Political</w:t>
      </w:r>
      <w:proofErr w:type="spellEnd"/>
      <w:r w:rsidRPr="0043321C">
        <w:rPr>
          <w:rFonts w:ascii="Times New Roman" w:hAnsi="Times New Roman" w:cs="Times New Roman"/>
        </w:rPr>
        <w:t xml:space="preserve"> and </w:t>
      </w:r>
      <w:proofErr w:type="spellStart"/>
      <w:r w:rsidRPr="0043321C">
        <w:rPr>
          <w:rFonts w:ascii="Times New Roman" w:hAnsi="Times New Roman" w:cs="Times New Roman"/>
        </w:rPr>
        <w:t>Legal</w:t>
      </w:r>
      <w:proofErr w:type="spellEnd"/>
      <w:r w:rsidRPr="0043321C">
        <w:rPr>
          <w:rFonts w:ascii="Times New Roman" w:hAnsi="Times New Roman" w:cs="Times New Roman"/>
        </w:rPr>
        <w:t xml:space="preserve"> </w:t>
      </w:r>
      <w:proofErr w:type="spellStart"/>
      <w:r w:rsidRPr="0043321C">
        <w:rPr>
          <w:rFonts w:ascii="Times New Roman" w:hAnsi="Times New Roman" w:cs="Times New Roman"/>
        </w:rPr>
        <w:t>Analysis</w:t>
      </w:r>
      <w:proofErr w:type="spellEnd"/>
      <w:r w:rsidRPr="0043321C">
        <w:rPr>
          <w:rFonts w:ascii="Times New Roman" w:hAnsi="Times New Roman" w:cs="Times New Roman"/>
        </w:rPr>
        <w:t xml:space="preserve">. </w:t>
      </w:r>
      <w:proofErr w:type="spellStart"/>
      <w:r w:rsidRPr="0043321C">
        <w:rPr>
          <w:rFonts w:ascii="Times New Roman" w:hAnsi="Times New Roman" w:cs="Times New Roman"/>
          <w:i/>
        </w:rPr>
        <w:t>Journal</w:t>
      </w:r>
      <w:proofErr w:type="spellEnd"/>
      <w:r w:rsidRPr="0043321C">
        <w:rPr>
          <w:rFonts w:ascii="Times New Roman" w:hAnsi="Times New Roman" w:cs="Times New Roman"/>
          <w:i/>
        </w:rPr>
        <w:t xml:space="preserve"> </w:t>
      </w:r>
      <w:proofErr w:type="spellStart"/>
      <w:r w:rsidRPr="0043321C">
        <w:rPr>
          <w:rFonts w:ascii="Times New Roman" w:hAnsi="Times New Roman" w:cs="Times New Roman"/>
          <w:i/>
        </w:rPr>
        <w:t>of</w:t>
      </w:r>
      <w:proofErr w:type="spellEnd"/>
      <w:r w:rsidRPr="0043321C">
        <w:rPr>
          <w:rFonts w:ascii="Times New Roman" w:hAnsi="Times New Roman" w:cs="Times New Roman"/>
          <w:i/>
        </w:rPr>
        <w:t xml:space="preserve"> </w:t>
      </w:r>
      <w:proofErr w:type="spellStart"/>
      <w:r w:rsidRPr="0043321C">
        <w:rPr>
          <w:rFonts w:ascii="Times New Roman" w:hAnsi="Times New Roman" w:cs="Times New Roman"/>
          <w:i/>
        </w:rPr>
        <w:t>Common</w:t>
      </w:r>
      <w:proofErr w:type="spellEnd"/>
      <w:r w:rsidRPr="0043321C">
        <w:rPr>
          <w:rFonts w:ascii="Times New Roman" w:hAnsi="Times New Roman" w:cs="Times New Roman"/>
          <w:i/>
        </w:rPr>
        <w:t xml:space="preserve"> Market </w:t>
      </w:r>
      <w:proofErr w:type="spellStart"/>
      <w:r w:rsidRPr="0043321C">
        <w:rPr>
          <w:rFonts w:ascii="Times New Roman" w:hAnsi="Times New Roman" w:cs="Times New Roman"/>
          <w:i/>
        </w:rPr>
        <w:t>Studies</w:t>
      </w:r>
      <w:proofErr w:type="spellEnd"/>
      <w:r w:rsidRPr="0043321C">
        <w:rPr>
          <w:rFonts w:ascii="Times New Roman" w:hAnsi="Times New Roman" w:cs="Times New Roman"/>
          <w:i/>
        </w:rPr>
        <w:t>,</w:t>
      </w:r>
      <w:r w:rsidRPr="0043321C">
        <w:rPr>
          <w:rFonts w:ascii="Times New Roman" w:hAnsi="Times New Roman" w:cs="Times New Roman"/>
        </w:rPr>
        <w:t xml:space="preserve"> </w:t>
      </w:r>
      <w:r w:rsidRPr="00BA5D99">
        <w:rPr>
          <w:rFonts w:ascii="Times New Roman" w:hAnsi="Times New Roman" w:cs="Times New Roman"/>
        </w:rPr>
        <w:t xml:space="preserve">2012, vol. 50, </w:t>
      </w:r>
      <w:proofErr w:type="spellStart"/>
      <w:r w:rsidRPr="00BA5D99">
        <w:rPr>
          <w:rFonts w:ascii="Times New Roman" w:hAnsi="Times New Roman" w:cs="Times New Roman"/>
        </w:rPr>
        <w:t>issue</w:t>
      </w:r>
      <w:proofErr w:type="spellEnd"/>
      <w:r w:rsidRPr="00BA5D99">
        <w:rPr>
          <w:rFonts w:ascii="Times New Roman" w:hAnsi="Times New Roman" w:cs="Times New Roman"/>
        </w:rPr>
        <w:t xml:space="preserve"> S1, s. 72-73</w:t>
      </w:r>
      <w:r w:rsidRPr="0043321C">
        <w:rPr>
          <w:rFonts w:ascii="Times New Roman" w:hAnsi="Times New Roman" w:cs="Times New Roman"/>
          <w:i/>
        </w:rPr>
        <w:t>.</w:t>
      </w:r>
      <w:r w:rsidRPr="0043321C">
        <w:rPr>
          <w:rFonts w:ascii="Times New Roman" w:hAnsi="Times New Roman" w:cs="Times New Roman"/>
        </w:rPr>
        <w:t xml:space="preserve"> </w:t>
      </w:r>
    </w:p>
  </w:footnote>
  <w:footnote w:id="87">
    <w:p w:rsidR="00076524" w:rsidRPr="0043321C" w:rsidRDefault="00076524">
      <w:pPr>
        <w:pStyle w:val="Textpoznpodarou"/>
        <w:rPr>
          <w:rFonts w:ascii="Times New Roman" w:hAnsi="Times New Roman" w:cs="Times New Roman"/>
        </w:rPr>
      </w:pPr>
      <w:r w:rsidRPr="0043321C">
        <w:rPr>
          <w:rStyle w:val="Znakapoznpodarou"/>
          <w:rFonts w:ascii="Times New Roman" w:hAnsi="Times New Roman" w:cs="Times New Roman"/>
        </w:rPr>
        <w:footnoteRef/>
      </w:r>
      <w:r>
        <w:rPr>
          <w:rFonts w:ascii="Times New Roman" w:hAnsi="Times New Roman" w:cs="Times New Roman"/>
        </w:rPr>
        <w:t xml:space="preserve"> Čl. 5 odst. 3</w:t>
      </w:r>
      <w:r w:rsidRPr="0043321C">
        <w:rPr>
          <w:rFonts w:ascii="Times New Roman" w:hAnsi="Times New Roman" w:cs="Times New Roman"/>
        </w:rPr>
        <w:t xml:space="preserve"> SEU</w:t>
      </w:r>
    </w:p>
  </w:footnote>
  <w:footnote w:id="88">
    <w:p w:rsidR="00076524" w:rsidRPr="0043321C" w:rsidRDefault="00076524" w:rsidP="000C21A2">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čl. 5 odst. 1 a 2 SEU. A dále šířeji viz např. ZBÍRAL, Robert. </w:t>
      </w:r>
      <w:r w:rsidRPr="00921CFC">
        <w:rPr>
          <w:rFonts w:ascii="Times New Roman" w:hAnsi="Times New Roman" w:cs="Times New Roman"/>
        </w:rPr>
        <w:t>Rozdělení kompetencí mezi Evropskou unií a</w:t>
      </w:r>
      <w:r>
        <w:rPr>
          <w:rFonts w:ascii="Times New Roman" w:hAnsi="Times New Roman" w:cs="Times New Roman"/>
        </w:rPr>
        <w:t xml:space="preserve"> </w:t>
      </w:r>
      <w:r w:rsidRPr="00921CFC">
        <w:rPr>
          <w:rFonts w:ascii="Times New Roman" w:hAnsi="Times New Roman" w:cs="Times New Roman"/>
        </w:rPr>
        <w:t>členskými státy</w:t>
      </w:r>
      <w:r>
        <w:rPr>
          <w:rFonts w:ascii="Times New Roman" w:hAnsi="Times New Roman" w:cs="Times New Roman"/>
        </w:rPr>
        <w:t>. In</w:t>
      </w:r>
      <w:r w:rsidRPr="0043321C">
        <w:rPr>
          <w:rFonts w:ascii="Times New Roman" w:hAnsi="Times New Roman" w:cs="Times New Roman"/>
        </w:rPr>
        <w:t xml:space="preserve"> KLÍMA, Karel a kol. </w:t>
      </w:r>
      <w:r w:rsidRPr="0043321C">
        <w:rPr>
          <w:rFonts w:ascii="Times New Roman" w:hAnsi="Times New Roman" w:cs="Times New Roman"/>
          <w:i/>
        </w:rPr>
        <w:t>Evropské právo</w:t>
      </w:r>
      <w:r w:rsidRPr="0043321C">
        <w:rPr>
          <w:rFonts w:ascii="Times New Roman" w:hAnsi="Times New Roman" w:cs="Times New Roman"/>
        </w:rPr>
        <w:t>. Plzeň: Aleš Čeněk, 2011, s. 225-241.</w:t>
      </w:r>
    </w:p>
  </w:footnote>
  <w:footnote w:id="89">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čl. 2 odst. 1 SFEU a taxativní výčet v čl. 3 SFEU. SDEU ve svých rozhodnutích </w:t>
      </w:r>
      <w:r>
        <w:rPr>
          <w:rFonts w:ascii="Times New Roman" w:hAnsi="Times New Roman" w:cs="Times New Roman"/>
        </w:rPr>
        <w:t>potvrdil, že zásada subsidiarity</w:t>
      </w:r>
      <w:r w:rsidRPr="0043321C">
        <w:rPr>
          <w:rFonts w:ascii="Times New Roman" w:hAnsi="Times New Roman" w:cs="Times New Roman"/>
        </w:rPr>
        <w:t xml:space="preserve"> se nevztahuj</w:t>
      </w:r>
      <w:r>
        <w:rPr>
          <w:rFonts w:ascii="Times New Roman" w:hAnsi="Times New Roman" w:cs="Times New Roman"/>
        </w:rPr>
        <w:t>e na výkon výlučných pravomocí. V</w:t>
      </w:r>
      <w:r w:rsidRPr="0043321C">
        <w:rPr>
          <w:rFonts w:ascii="Times New Roman" w:hAnsi="Times New Roman" w:cs="Times New Roman"/>
        </w:rPr>
        <w:t xml:space="preserve">iz např. Soudní dvůr: Rozsudek ze dne 19. prosince 2012, </w:t>
      </w:r>
      <w:proofErr w:type="spellStart"/>
      <w:r w:rsidRPr="0043321C">
        <w:rPr>
          <w:rFonts w:ascii="Times New Roman" w:hAnsi="Times New Roman" w:cs="Times New Roman"/>
          <w:i/>
        </w:rPr>
        <w:t>Mitteldeutsche</w:t>
      </w:r>
      <w:proofErr w:type="spellEnd"/>
      <w:r w:rsidRPr="0043321C">
        <w:rPr>
          <w:rFonts w:ascii="Times New Roman" w:hAnsi="Times New Roman" w:cs="Times New Roman"/>
          <w:i/>
        </w:rPr>
        <w:t xml:space="preserve"> </w:t>
      </w:r>
      <w:proofErr w:type="spellStart"/>
      <w:r w:rsidRPr="0043321C">
        <w:rPr>
          <w:rFonts w:ascii="Times New Roman" w:hAnsi="Times New Roman" w:cs="Times New Roman"/>
          <w:i/>
        </w:rPr>
        <w:t>Flughafen</w:t>
      </w:r>
      <w:proofErr w:type="spellEnd"/>
      <w:r w:rsidRPr="0043321C">
        <w:rPr>
          <w:rFonts w:ascii="Times New Roman" w:hAnsi="Times New Roman" w:cs="Times New Roman"/>
          <w:i/>
        </w:rPr>
        <w:t xml:space="preserve"> AG a </w:t>
      </w:r>
      <w:proofErr w:type="spellStart"/>
      <w:r w:rsidRPr="0043321C">
        <w:rPr>
          <w:rFonts w:ascii="Times New Roman" w:hAnsi="Times New Roman" w:cs="Times New Roman"/>
          <w:i/>
        </w:rPr>
        <w:t>Flughafen</w:t>
      </w:r>
      <w:proofErr w:type="spellEnd"/>
      <w:r w:rsidRPr="0043321C">
        <w:rPr>
          <w:rFonts w:ascii="Times New Roman" w:hAnsi="Times New Roman" w:cs="Times New Roman"/>
          <w:i/>
        </w:rPr>
        <w:t xml:space="preserve"> </w:t>
      </w:r>
      <w:proofErr w:type="spellStart"/>
      <w:r w:rsidRPr="0043321C">
        <w:rPr>
          <w:rFonts w:ascii="Times New Roman" w:hAnsi="Times New Roman" w:cs="Times New Roman"/>
          <w:i/>
        </w:rPr>
        <w:t>Leipz</w:t>
      </w:r>
      <w:r>
        <w:rPr>
          <w:rFonts w:ascii="Times New Roman" w:hAnsi="Times New Roman" w:cs="Times New Roman"/>
          <w:i/>
        </w:rPr>
        <w:t>ig</w:t>
      </w:r>
      <w:proofErr w:type="spellEnd"/>
      <w:r>
        <w:rPr>
          <w:rFonts w:ascii="Times New Roman" w:hAnsi="Times New Roman" w:cs="Times New Roman"/>
          <w:i/>
        </w:rPr>
        <w:t xml:space="preserve">-Halle </w:t>
      </w:r>
      <w:proofErr w:type="spellStart"/>
      <w:r>
        <w:rPr>
          <w:rFonts w:ascii="Times New Roman" w:hAnsi="Times New Roman" w:cs="Times New Roman"/>
          <w:i/>
        </w:rPr>
        <w:t>GmbH</w:t>
      </w:r>
      <w:proofErr w:type="spellEnd"/>
      <w:r>
        <w:rPr>
          <w:rFonts w:ascii="Times New Roman" w:hAnsi="Times New Roman" w:cs="Times New Roman"/>
          <w:i/>
        </w:rPr>
        <w:t xml:space="preserve"> v</w:t>
      </w:r>
      <w:r w:rsidRPr="0043321C">
        <w:rPr>
          <w:rFonts w:ascii="Times New Roman" w:hAnsi="Times New Roman" w:cs="Times New Roman"/>
          <w:i/>
        </w:rPr>
        <w:t xml:space="preserve"> Komise</w:t>
      </w:r>
      <w:r>
        <w:rPr>
          <w:rFonts w:ascii="Times New Roman" w:hAnsi="Times New Roman" w:cs="Times New Roman"/>
        </w:rPr>
        <w:t>, C-288/11 P, body 76-</w:t>
      </w:r>
      <w:r w:rsidRPr="0043321C">
        <w:rPr>
          <w:rFonts w:ascii="Times New Roman" w:hAnsi="Times New Roman" w:cs="Times New Roman"/>
        </w:rPr>
        <w:t>79.</w:t>
      </w:r>
      <w:r w:rsidRPr="0043321C">
        <w:rPr>
          <w:rFonts w:ascii="Times New Roman" w:hAnsi="Times New Roman" w:cs="Times New Roman"/>
          <w:highlight w:val="darkGreen"/>
        </w:rPr>
        <w:t xml:space="preserve"> </w:t>
      </w:r>
    </w:p>
  </w:footnote>
  <w:footnote w:id="90">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Pr>
          <w:rFonts w:ascii="Times New Roman" w:hAnsi="Times New Roman" w:cs="Times New Roman"/>
        </w:rPr>
        <w:t xml:space="preserve"> Viz čl. 2</w:t>
      </w:r>
      <w:r w:rsidRPr="0043321C">
        <w:rPr>
          <w:rFonts w:ascii="Times New Roman" w:hAnsi="Times New Roman" w:cs="Times New Roman"/>
        </w:rPr>
        <w:t xml:space="preserve"> odst. 2 SFEU a demonstrativní výčet v čl. 4 SFEU</w:t>
      </w:r>
    </w:p>
  </w:footnote>
  <w:footnote w:id="91">
    <w:p w:rsidR="00076524" w:rsidRPr="0043321C"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čl. 6 SFEU</w:t>
      </w:r>
    </w:p>
  </w:footnote>
  <w:footnote w:id="92">
    <w:p w:rsidR="00076524" w:rsidRPr="00436738" w:rsidRDefault="00076524" w:rsidP="00B85FF1">
      <w:pPr>
        <w:pStyle w:val="Textpoznpodarou"/>
        <w:jc w:val="both"/>
        <w:rPr>
          <w:rFonts w:ascii="Times New Roman" w:hAnsi="Times New Roman" w:cs="Times New Roman"/>
        </w:rPr>
      </w:pPr>
      <w:r w:rsidRPr="0043321C">
        <w:rPr>
          <w:rStyle w:val="Znakapoznpodarou"/>
          <w:rFonts w:ascii="Times New Roman" w:hAnsi="Times New Roman" w:cs="Times New Roman"/>
        </w:rPr>
        <w:footnoteRef/>
      </w:r>
      <w:r w:rsidRPr="0043321C">
        <w:rPr>
          <w:rFonts w:ascii="Times New Roman" w:hAnsi="Times New Roman" w:cs="Times New Roman"/>
        </w:rPr>
        <w:t xml:space="preserve"> Viz čl. 2 odst. 2 SFEU</w:t>
      </w:r>
    </w:p>
  </w:footnote>
  <w:footnote w:id="93">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Viz čl. 5 odst. 4 SEU. Ta se uplatní i u výlučných pravomocí.</w:t>
      </w:r>
    </w:p>
  </w:footnote>
  <w:footnote w:id="94">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BELLING, Vojtěch, MALÍŘ, Jan, PÍTROVÁ, Lenka. </w:t>
      </w:r>
      <w:r w:rsidRPr="00097F90">
        <w:rPr>
          <w:rFonts w:ascii="Times New Roman" w:hAnsi="Times New Roman" w:cs="Times New Roman"/>
          <w:i/>
        </w:rPr>
        <w:t>Kontrola dělby pravomocí v EU se zřetelem ke kompetenčním excesům</w:t>
      </w:r>
      <w:r w:rsidRPr="00097F90">
        <w:rPr>
          <w:rFonts w:ascii="Times New Roman" w:hAnsi="Times New Roman" w:cs="Times New Roman"/>
        </w:rPr>
        <w:t xml:space="preserve">. Plzeň: Vydavatelství a nakladatelství Aleš Čeněk, 2010, s. 29. Zásada subsidiarity se ale vztahuje i na jiné než pouze zmíněné legislativní akty. Viz SYLLOVÁ: </w:t>
      </w:r>
      <w:r w:rsidRPr="00097F90">
        <w:rPr>
          <w:rFonts w:ascii="Times New Roman" w:hAnsi="Times New Roman" w:cs="Times New Roman"/>
          <w:i/>
        </w:rPr>
        <w:t>Lisabonská…</w:t>
      </w:r>
      <w:r w:rsidRPr="00097F90">
        <w:rPr>
          <w:rFonts w:ascii="Times New Roman" w:hAnsi="Times New Roman" w:cs="Times New Roman"/>
        </w:rPr>
        <w:t>, s. 34 (čl. 5 SEU).</w:t>
      </w:r>
    </w:p>
  </w:footnote>
  <w:footnote w:id="95">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GEORGIEV, Jiří. </w:t>
      </w:r>
      <w:r w:rsidRPr="00532B96">
        <w:rPr>
          <w:rFonts w:ascii="Times New Roman" w:hAnsi="Times New Roman" w:cs="Times New Roman"/>
        </w:rPr>
        <w:t>Předmluva</w:t>
      </w:r>
      <w:r w:rsidRPr="00097F90">
        <w:rPr>
          <w:rFonts w:ascii="Times New Roman" w:hAnsi="Times New Roman" w:cs="Times New Roman"/>
        </w:rPr>
        <w:t>. In GEORGIEV, Jiří (</w:t>
      </w:r>
      <w:proofErr w:type="spellStart"/>
      <w:r w:rsidRPr="00097F90">
        <w:rPr>
          <w:rFonts w:ascii="Times New Roman" w:hAnsi="Times New Roman" w:cs="Times New Roman"/>
        </w:rPr>
        <w:t>ed</w:t>
      </w:r>
      <w:proofErr w:type="spellEnd"/>
      <w:r w:rsidRPr="00097F90">
        <w:rPr>
          <w:rFonts w:ascii="Times New Roman" w:hAnsi="Times New Roman" w:cs="Times New Roman"/>
        </w:rPr>
        <w:t xml:space="preserve">). </w:t>
      </w:r>
      <w:r w:rsidRPr="009C5D8C">
        <w:rPr>
          <w:rFonts w:ascii="Times New Roman" w:hAnsi="Times New Roman" w:cs="Times New Roman"/>
          <w:i/>
        </w:rPr>
        <w:t>Princip subsidiarity v právní teorii a praxi</w:t>
      </w:r>
      <w:r w:rsidRPr="00097F90">
        <w:rPr>
          <w:rFonts w:ascii="Times New Roman" w:hAnsi="Times New Roman" w:cs="Times New Roman"/>
        </w:rPr>
        <w:t>. Praha: CEVRO Institut, 2007, s. 5.</w:t>
      </w:r>
      <w:r>
        <w:rPr>
          <w:rFonts w:ascii="Times New Roman" w:hAnsi="Times New Roman" w:cs="Times New Roman"/>
        </w:rPr>
        <w:t xml:space="preserve"> </w:t>
      </w:r>
    </w:p>
  </w:footnote>
  <w:footnote w:id="96">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Touto úrov</w:t>
      </w:r>
      <w:r>
        <w:rPr>
          <w:rFonts w:ascii="Times New Roman" w:hAnsi="Times New Roman" w:cs="Times New Roman"/>
        </w:rPr>
        <w:t>ní bude buď EU nebo ČS na úrovni</w:t>
      </w:r>
      <w:r w:rsidRPr="00097F90">
        <w:rPr>
          <w:rFonts w:ascii="Times New Roman" w:hAnsi="Times New Roman" w:cs="Times New Roman"/>
        </w:rPr>
        <w:t xml:space="preserve"> ústřední, regionální či místní. V této souvislosti uveďme i krátký výňatek z preambule SEU, která mj. říká, že rozhodnutí jsou </w:t>
      </w:r>
      <w:r w:rsidRPr="00097F90">
        <w:rPr>
          <w:rFonts w:ascii="Times New Roman" w:hAnsi="Times New Roman" w:cs="Times New Roman"/>
          <w:i/>
        </w:rPr>
        <w:t>„přijímána co nejblíže občanům v souladu se zásadou subsidiarity</w:t>
      </w:r>
      <w:r>
        <w:rPr>
          <w:rFonts w:ascii="Times New Roman" w:hAnsi="Times New Roman" w:cs="Times New Roman"/>
          <w:i/>
        </w:rPr>
        <w:t>.</w:t>
      </w:r>
      <w:r>
        <w:rPr>
          <w:rFonts w:ascii="Times New Roman" w:hAnsi="Times New Roman" w:cs="Times New Roman"/>
        </w:rPr>
        <w:t>“</w:t>
      </w:r>
      <w:r w:rsidRPr="00097F90">
        <w:rPr>
          <w:rFonts w:ascii="Times New Roman" w:hAnsi="Times New Roman" w:cs="Times New Roman"/>
        </w:rPr>
        <w:t xml:space="preserve"> </w:t>
      </w:r>
    </w:p>
  </w:footnote>
  <w:footnote w:id="97">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w:t>
      </w:r>
      <w:r>
        <w:rPr>
          <w:rFonts w:ascii="Times New Roman" w:hAnsi="Times New Roman" w:cs="Times New Roman"/>
        </w:rPr>
        <w:t xml:space="preserve">DRULÁKOVÁ, Radka. </w:t>
      </w:r>
      <w:r w:rsidRPr="00573FF4">
        <w:rPr>
          <w:rFonts w:ascii="Times New Roman" w:hAnsi="Times New Roman" w:cs="Times New Roman"/>
          <w:i/>
        </w:rPr>
        <w:t xml:space="preserve">Subsidiarita v Lisabonské </w:t>
      </w:r>
      <w:proofErr w:type="gramStart"/>
      <w:r w:rsidRPr="00573FF4">
        <w:rPr>
          <w:rFonts w:ascii="Times New Roman" w:hAnsi="Times New Roman" w:cs="Times New Roman"/>
          <w:i/>
        </w:rPr>
        <w:t>smlouvě - náprava</w:t>
      </w:r>
      <w:proofErr w:type="gramEnd"/>
      <w:r w:rsidRPr="00573FF4">
        <w:rPr>
          <w:rFonts w:ascii="Times New Roman" w:hAnsi="Times New Roman" w:cs="Times New Roman"/>
          <w:i/>
        </w:rPr>
        <w:t xml:space="preserve"> nedostatků</w:t>
      </w:r>
      <w:r w:rsidRPr="00640B16">
        <w:rPr>
          <w:rFonts w:ascii="Times New Roman" w:hAnsi="Times New Roman" w:cs="Times New Roman"/>
          <w:i/>
        </w:rPr>
        <w:t>?</w:t>
      </w:r>
      <w:r w:rsidRPr="00640B16">
        <w:rPr>
          <w:rFonts w:ascii="Times New Roman" w:hAnsi="Times New Roman" w:cs="Times New Roman"/>
        </w:rPr>
        <w:t xml:space="preserve"> Praha: </w:t>
      </w:r>
      <w:proofErr w:type="spellStart"/>
      <w:r w:rsidRPr="00640B16">
        <w:rPr>
          <w:rFonts w:ascii="Times New Roman" w:hAnsi="Times New Roman" w:cs="Times New Roman"/>
        </w:rPr>
        <w:t>Oeconomica</w:t>
      </w:r>
      <w:proofErr w:type="spellEnd"/>
      <w:r w:rsidRPr="00640B16">
        <w:rPr>
          <w:rFonts w:ascii="Times New Roman" w:hAnsi="Times New Roman" w:cs="Times New Roman"/>
        </w:rPr>
        <w:t>, 2009</w:t>
      </w:r>
      <w:r>
        <w:rPr>
          <w:rFonts w:ascii="Times New Roman" w:hAnsi="Times New Roman" w:cs="Times New Roman"/>
        </w:rPr>
        <w:t>, s. 9.</w:t>
      </w:r>
      <w:r w:rsidRPr="00097F90">
        <w:rPr>
          <w:rFonts w:ascii="Times New Roman" w:hAnsi="Times New Roman" w:cs="Times New Roman"/>
        </w:rPr>
        <w:t xml:space="preserve"> Jinak řečeno</w:t>
      </w:r>
      <w:r>
        <w:rPr>
          <w:rFonts w:ascii="Times New Roman" w:hAnsi="Times New Roman" w:cs="Times New Roman"/>
        </w:rPr>
        <w:t>,</w:t>
      </w:r>
      <w:r w:rsidRPr="00097F90">
        <w:rPr>
          <w:rFonts w:ascii="Times New Roman" w:hAnsi="Times New Roman" w:cs="Times New Roman"/>
        </w:rPr>
        <w:t xml:space="preserve"> politiky by měly být realizovány na té úrovni, která je co nejblíže občanům a zároveň je schopna efektivní realizace. </w:t>
      </w:r>
      <w:r w:rsidRPr="00966B39">
        <w:rPr>
          <w:rFonts w:ascii="Times New Roman" w:hAnsi="Times New Roman" w:cs="Times New Roman"/>
        </w:rPr>
        <w:t>Viz</w:t>
      </w:r>
      <w:r w:rsidRPr="00097F90">
        <w:rPr>
          <w:rFonts w:ascii="Times New Roman" w:hAnsi="Times New Roman" w:cs="Times New Roman"/>
        </w:rPr>
        <w:t xml:space="preserve"> </w:t>
      </w:r>
      <w:r w:rsidRPr="00966B39">
        <w:rPr>
          <w:rFonts w:ascii="Times New Roman" w:hAnsi="Times New Roman" w:cs="Times New Roman"/>
        </w:rPr>
        <w:t xml:space="preserve">DE WILDE, </w:t>
      </w:r>
      <w:proofErr w:type="spellStart"/>
      <w:r w:rsidRPr="00966B39">
        <w:rPr>
          <w:rFonts w:ascii="Times New Roman" w:hAnsi="Times New Roman" w:cs="Times New Roman"/>
        </w:rPr>
        <w:t>Pieter</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Why</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the</w:t>
      </w:r>
      <w:proofErr w:type="spellEnd"/>
      <w:r w:rsidRPr="00966B39">
        <w:rPr>
          <w:rFonts w:ascii="Times New Roman" w:hAnsi="Times New Roman" w:cs="Times New Roman"/>
        </w:rPr>
        <w:t xml:space="preserve"> Early </w:t>
      </w:r>
      <w:proofErr w:type="spellStart"/>
      <w:r w:rsidRPr="00966B39">
        <w:rPr>
          <w:rFonts w:ascii="Times New Roman" w:hAnsi="Times New Roman" w:cs="Times New Roman"/>
        </w:rPr>
        <w:t>Warning</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Mechanism</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does</w:t>
      </w:r>
      <w:proofErr w:type="spellEnd"/>
      <w:r w:rsidRPr="00966B39">
        <w:rPr>
          <w:rFonts w:ascii="Times New Roman" w:hAnsi="Times New Roman" w:cs="Times New Roman"/>
        </w:rPr>
        <w:t xml:space="preserve"> not </w:t>
      </w:r>
      <w:proofErr w:type="spellStart"/>
      <w:r w:rsidRPr="00966B39">
        <w:rPr>
          <w:rFonts w:ascii="Times New Roman" w:hAnsi="Times New Roman" w:cs="Times New Roman"/>
        </w:rPr>
        <w:t>Alleviate</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the</w:t>
      </w:r>
      <w:proofErr w:type="spellEnd"/>
      <w:r w:rsidRPr="00966B39">
        <w:rPr>
          <w:rFonts w:ascii="Times New Roman" w:hAnsi="Times New Roman" w:cs="Times New Roman"/>
        </w:rPr>
        <w:t xml:space="preserve"> </w:t>
      </w:r>
      <w:proofErr w:type="spellStart"/>
      <w:r w:rsidRPr="00966B39">
        <w:rPr>
          <w:rFonts w:ascii="Times New Roman" w:hAnsi="Times New Roman" w:cs="Times New Roman"/>
        </w:rPr>
        <w:t>Democratic</w:t>
      </w:r>
      <w:proofErr w:type="spellEnd"/>
      <w:r w:rsidRPr="00966B39">
        <w:rPr>
          <w:rFonts w:ascii="Times New Roman" w:hAnsi="Times New Roman" w:cs="Times New Roman"/>
        </w:rPr>
        <w:t xml:space="preserve"> Deficit. </w:t>
      </w:r>
      <w:r>
        <w:rPr>
          <w:rFonts w:ascii="Times New Roman" w:hAnsi="Times New Roman" w:cs="Times New Roman"/>
          <w:i/>
        </w:rPr>
        <w:t>OPAL,</w:t>
      </w:r>
      <w:r>
        <w:rPr>
          <w:rFonts w:ascii="Times New Roman" w:hAnsi="Times New Roman" w:cs="Times New Roman"/>
        </w:rPr>
        <w:t xml:space="preserve"> 2012, no. 6, s. 5.</w:t>
      </w:r>
    </w:p>
  </w:footnote>
  <w:footnote w:id="98">
    <w:p w:rsidR="00076524" w:rsidRPr="00097F90" w:rsidRDefault="00076524" w:rsidP="00640B16">
      <w:pPr>
        <w:pStyle w:val="Textpoznpodarou"/>
        <w:jc w:val="both"/>
        <w:rPr>
          <w:rFonts w:ascii="Times New Roman" w:hAnsi="Times New Roman" w:cs="Times New Roman"/>
        </w:rPr>
      </w:pPr>
      <w:r w:rsidRPr="00097F90">
        <w:rPr>
          <w:rStyle w:val="Znakapoznpodarou"/>
          <w:rFonts w:ascii="Times New Roman" w:hAnsi="Times New Roman" w:cs="Times New Roman"/>
        </w:rPr>
        <w:footnoteRef/>
      </w:r>
      <w:r w:rsidRPr="00097F90">
        <w:rPr>
          <w:rFonts w:ascii="Times New Roman" w:hAnsi="Times New Roman" w:cs="Times New Roman"/>
        </w:rPr>
        <w:t xml:space="preserve"> </w:t>
      </w:r>
      <w:r>
        <w:rPr>
          <w:rFonts w:ascii="Times New Roman" w:hAnsi="Times New Roman" w:cs="Times New Roman"/>
        </w:rPr>
        <w:t xml:space="preserve">DRULÁKOVÁ: </w:t>
      </w:r>
      <w:r w:rsidRPr="00001346">
        <w:rPr>
          <w:rFonts w:ascii="Times New Roman" w:hAnsi="Times New Roman" w:cs="Times New Roman"/>
          <w:i/>
        </w:rPr>
        <w:t>Subsidiarita v Lisabonské…</w:t>
      </w:r>
      <w:r>
        <w:rPr>
          <w:rFonts w:ascii="Times New Roman" w:hAnsi="Times New Roman" w:cs="Times New Roman"/>
        </w:rPr>
        <w:t>, s. 7.</w:t>
      </w:r>
    </w:p>
  </w:footnote>
  <w:footnote w:id="99">
    <w:p w:rsidR="00076524" w:rsidRPr="00F7653D" w:rsidRDefault="00076524" w:rsidP="00244C48">
      <w:pPr>
        <w:pStyle w:val="Textpoznpodarou"/>
        <w:jc w:val="both"/>
        <w:rPr>
          <w:rFonts w:ascii="Times New Roman" w:hAnsi="Times New Roman" w:cs="Times New Roman"/>
        </w:rPr>
      </w:pPr>
      <w:r w:rsidRPr="00F7653D">
        <w:rPr>
          <w:rStyle w:val="Znakapoznpodarou"/>
          <w:rFonts w:ascii="Times New Roman" w:hAnsi="Times New Roman" w:cs="Times New Roman"/>
        </w:rPr>
        <w:footnoteRef/>
      </w:r>
      <w:r w:rsidRPr="00F7653D">
        <w:rPr>
          <w:rFonts w:ascii="Times New Roman" w:hAnsi="Times New Roman" w:cs="Times New Roman"/>
        </w:rPr>
        <w:t xml:space="preserve"> Určení výlučných pravomocí bylo ve vztahu k zásadě subsidiarity před LS problematické. Viz DRULÁKOVÁ: </w:t>
      </w:r>
      <w:r w:rsidRPr="00F7653D">
        <w:rPr>
          <w:rFonts w:ascii="Times New Roman" w:hAnsi="Times New Roman" w:cs="Times New Roman"/>
          <w:i/>
        </w:rPr>
        <w:t>Subsidiarita v Lisabonské…</w:t>
      </w:r>
      <w:r w:rsidRPr="00F7653D">
        <w:rPr>
          <w:rFonts w:ascii="Times New Roman" w:hAnsi="Times New Roman" w:cs="Times New Roman"/>
        </w:rPr>
        <w:t>, s. 9.</w:t>
      </w:r>
    </w:p>
  </w:footnote>
  <w:footnote w:id="100">
    <w:p w:rsidR="00076524" w:rsidRPr="00F7653D" w:rsidRDefault="00076524" w:rsidP="00244C48">
      <w:pPr>
        <w:pStyle w:val="Textpoznpodarou"/>
        <w:jc w:val="both"/>
        <w:rPr>
          <w:rFonts w:ascii="Times New Roman" w:hAnsi="Times New Roman" w:cs="Times New Roman"/>
        </w:rPr>
      </w:pPr>
      <w:r w:rsidRPr="00F7653D">
        <w:rPr>
          <w:rStyle w:val="Znakapoznpodarou"/>
          <w:rFonts w:ascii="Times New Roman" w:hAnsi="Times New Roman" w:cs="Times New Roman"/>
        </w:rPr>
        <w:footnoteRef/>
      </w:r>
      <w:r w:rsidRPr="00F7653D">
        <w:rPr>
          <w:rFonts w:ascii="Times New Roman" w:hAnsi="Times New Roman" w:cs="Times New Roman"/>
        </w:rPr>
        <w:t xml:space="preserve"> Viz čl. 5 odst. 3 SEU. </w:t>
      </w:r>
      <w:r w:rsidRPr="00692A21">
        <w:rPr>
          <w:rFonts w:ascii="Times New Roman" w:hAnsi="Times New Roman" w:cs="Times New Roman"/>
        </w:rPr>
        <w:t>Předešleme</w:t>
      </w:r>
      <w:r w:rsidRPr="00F7653D">
        <w:rPr>
          <w:rFonts w:ascii="Times New Roman" w:hAnsi="Times New Roman" w:cs="Times New Roman"/>
        </w:rPr>
        <w:t xml:space="preserve"> také, že orgánem EU je pochopitelně i SDEU</w:t>
      </w:r>
      <w:r>
        <w:rPr>
          <w:rFonts w:ascii="Times New Roman" w:hAnsi="Times New Roman" w:cs="Times New Roman"/>
        </w:rPr>
        <w:t>. V</w:t>
      </w:r>
      <w:r w:rsidRPr="00F7653D">
        <w:rPr>
          <w:rFonts w:ascii="Times New Roman" w:hAnsi="Times New Roman" w:cs="Times New Roman"/>
        </w:rPr>
        <w:t xml:space="preserve">iz čl. </w:t>
      </w:r>
      <w:r>
        <w:rPr>
          <w:rFonts w:ascii="Times New Roman" w:hAnsi="Times New Roman" w:cs="Times New Roman"/>
        </w:rPr>
        <w:t>13 odst. 1 SEU. Pro působení zásady subsidiarity zejm. na</w:t>
      </w:r>
      <w:r w:rsidRPr="00F7653D">
        <w:rPr>
          <w:rFonts w:ascii="Times New Roman" w:hAnsi="Times New Roman" w:cs="Times New Roman"/>
        </w:rPr>
        <w:t xml:space="preserve"> interpretační činnost SD</w:t>
      </w:r>
      <w:r>
        <w:rPr>
          <w:rFonts w:ascii="Times New Roman" w:hAnsi="Times New Roman" w:cs="Times New Roman"/>
        </w:rPr>
        <w:t>EU</w:t>
      </w:r>
      <w:r w:rsidRPr="00F7653D">
        <w:rPr>
          <w:rFonts w:ascii="Times New Roman" w:hAnsi="Times New Roman" w:cs="Times New Roman"/>
        </w:rPr>
        <w:t xml:space="preserve"> viz HORSLEY, Thomas. Subsidiarity and </w:t>
      </w:r>
      <w:proofErr w:type="spellStart"/>
      <w:r w:rsidRPr="00F7653D">
        <w:rPr>
          <w:rFonts w:ascii="Times New Roman" w:hAnsi="Times New Roman" w:cs="Times New Roman"/>
        </w:rPr>
        <w:t>the</w:t>
      </w:r>
      <w:proofErr w:type="spellEnd"/>
      <w:r w:rsidRPr="00F7653D">
        <w:rPr>
          <w:rFonts w:ascii="Times New Roman" w:hAnsi="Times New Roman" w:cs="Times New Roman"/>
        </w:rPr>
        <w:t xml:space="preserve"> </w:t>
      </w:r>
      <w:proofErr w:type="spellStart"/>
      <w:r w:rsidRPr="00F7653D">
        <w:rPr>
          <w:rFonts w:ascii="Times New Roman" w:hAnsi="Times New Roman" w:cs="Times New Roman"/>
        </w:rPr>
        <w:t>European</w:t>
      </w:r>
      <w:proofErr w:type="spellEnd"/>
      <w:r w:rsidRPr="00F7653D">
        <w:rPr>
          <w:rFonts w:ascii="Times New Roman" w:hAnsi="Times New Roman" w:cs="Times New Roman"/>
        </w:rPr>
        <w:t xml:space="preserve"> </w:t>
      </w:r>
      <w:proofErr w:type="spellStart"/>
      <w:r w:rsidRPr="00F7653D">
        <w:rPr>
          <w:rFonts w:ascii="Times New Roman" w:hAnsi="Times New Roman" w:cs="Times New Roman"/>
        </w:rPr>
        <w:t>Court</w:t>
      </w:r>
      <w:proofErr w:type="spellEnd"/>
      <w:r w:rsidRPr="00F7653D">
        <w:rPr>
          <w:rFonts w:ascii="Times New Roman" w:hAnsi="Times New Roman" w:cs="Times New Roman"/>
        </w:rPr>
        <w:t xml:space="preserve"> </w:t>
      </w:r>
      <w:proofErr w:type="spellStart"/>
      <w:r w:rsidRPr="00F7653D">
        <w:rPr>
          <w:rFonts w:ascii="Times New Roman" w:hAnsi="Times New Roman" w:cs="Times New Roman"/>
        </w:rPr>
        <w:t>of</w:t>
      </w:r>
      <w:proofErr w:type="spellEnd"/>
      <w:r w:rsidRPr="00F7653D">
        <w:rPr>
          <w:rFonts w:ascii="Times New Roman" w:hAnsi="Times New Roman" w:cs="Times New Roman"/>
        </w:rPr>
        <w:t xml:space="preserve"> Justice: </w:t>
      </w:r>
      <w:proofErr w:type="spellStart"/>
      <w:r w:rsidRPr="00F7653D">
        <w:rPr>
          <w:rFonts w:ascii="Times New Roman" w:hAnsi="Times New Roman" w:cs="Times New Roman"/>
        </w:rPr>
        <w:t>Missing</w:t>
      </w:r>
      <w:proofErr w:type="spellEnd"/>
      <w:r w:rsidRPr="00F7653D">
        <w:rPr>
          <w:rFonts w:ascii="Times New Roman" w:hAnsi="Times New Roman" w:cs="Times New Roman"/>
        </w:rPr>
        <w:t xml:space="preserve"> </w:t>
      </w:r>
      <w:proofErr w:type="spellStart"/>
      <w:r w:rsidRPr="00F7653D">
        <w:rPr>
          <w:rFonts w:ascii="Times New Roman" w:hAnsi="Times New Roman" w:cs="Times New Roman"/>
        </w:rPr>
        <w:t>Pieces</w:t>
      </w:r>
      <w:proofErr w:type="spellEnd"/>
      <w:r w:rsidRPr="00F7653D">
        <w:rPr>
          <w:rFonts w:ascii="Times New Roman" w:hAnsi="Times New Roman" w:cs="Times New Roman"/>
        </w:rPr>
        <w:t xml:space="preserve"> in </w:t>
      </w:r>
      <w:proofErr w:type="spellStart"/>
      <w:r w:rsidRPr="00F7653D">
        <w:rPr>
          <w:rFonts w:ascii="Times New Roman" w:hAnsi="Times New Roman" w:cs="Times New Roman"/>
        </w:rPr>
        <w:t>the</w:t>
      </w:r>
      <w:proofErr w:type="spellEnd"/>
      <w:r w:rsidRPr="00F7653D">
        <w:rPr>
          <w:rFonts w:ascii="Times New Roman" w:hAnsi="Times New Roman" w:cs="Times New Roman"/>
        </w:rPr>
        <w:t xml:space="preserve"> Subsidiarity </w:t>
      </w:r>
      <w:proofErr w:type="spellStart"/>
      <w:r w:rsidRPr="00F7653D">
        <w:rPr>
          <w:rFonts w:ascii="Times New Roman" w:hAnsi="Times New Roman" w:cs="Times New Roman"/>
        </w:rPr>
        <w:t>Jigsaw</w:t>
      </w:r>
      <w:proofErr w:type="spellEnd"/>
      <w:r w:rsidRPr="00F7653D">
        <w:rPr>
          <w:rFonts w:ascii="Times New Roman" w:hAnsi="Times New Roman" w:cs="Times New Roman"/>
        </w:rPr>
        <w:t xml:space="preserve">? </w:t>
      </w:r>
      <w:proofErr w:type="spellStart"/>
      <w:r w:rsidRPr="00F7653D">
        <w:rPr>
          <w:rFonts w:ascii="Times New Roman" w:hAnsi="Times New Roman" w:cs="Times New Roman"/>
          <w:i/>
        </w:rPr>
        <w:t>Journal</w:t>
      </w:r>
      <w:proofErr w:type="spellEnd"/>
      <w:r w:rsidRPr="00F7653D">
        <w:rPr>
          <w:rFonts w:ascii="Times New Roman" w:hAnsi="Times New Roman" w:cs="Times New Roman"/>
          <w:i/>
        </w:rPr>
        <w:t xml:space="preserve"> </w:t>
      </w:r>
      <w:proofErr w:type="spellStart"/>
      <w:r w:rsidRPr="00F7653D">
        <w:rPr>
          <w:rFonts w:ascii="Times New Roman" w:hAnsi="Times New Roman" w:cs="Times New Roman"/>
          <w:i/>
        </w:rPr>
        <w:t>of</w:t>
      </w:r>
      <w:proofErr w:type="spellEnd"/>
      <w:r w:rsidRPr="00F7653D">
        <w:rPr>
          <w:rFonts w:ascii="Times New Roman" w:hAnsi="Times New Roman" w:cs="Times New Roman"/>
          <w:i/>
        </w:rPr>
        <w:t xml:space="preserve"> </w:t>
      </w:r>
      <w:proofErr w:type="spellStart"/>
      <w:r w:rsidRPr="00F7653D">
        <w:rPr>
          <w:rFonts w:ascii="Times New Roman" w:hAnsi="Times New Roman" w:cs="Times New Roman"/>
          <w:i/>
        </w:rPr>
        <w:t>Common</w:t>
      </w:r>
      <w:proofErr w:type="spellEnd"/>
      <w:r w:rsidRPr="00F7653D">
        <w:rPr>
          <w:rFonts w:ascii="Times New Roman" w:hAnsi="Times New Roman" w:cs="Times New Roman"/>
          <w:i/>
        </w:rPr>
        <w:t xml:space="preserve"> Market </w:t>
      </w:r>
      <w:proofErr w:type="spellStart"/>
      <w:r w:rsidRPr="00F7653D">
        <w:rPr>
          <w:rFonts w:ascii="Times New Roman" w:hAnsi="Times New Roman" w:cs="Times New Roman"/>
          <w:i/>
        </w:rPr>
        <w:t>Studies</w:t>
      </w:r>
      <w:proofErr w:type="spellEnd"/>
      <w:r w:rsidRPr="00F7653D">
        <w:rPr>
          <w:rFonts w:ascii="Times New Roman" w:hAnsi="Times New Roman" w:cs="Times New Roman"/>
        </w:rPr>
        <w:t>, 2012, vol. 50, no. 2, s. 274 a 281.</w:t>
      </w:r>
    </w:p>
  </w:footnote>
  <w:footnote w:id="101">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čl. 1 protokolu č. 2</w:t>
      </w:r>
    </w:p>
  </w:footnote>
  <w:footnote w:id="102">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Čl. 5 odst. 3 SEU</w:t>
      </w:r>
    </w:p>
  </w:footnote>
  <w:footnote w:id="103">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BARTON, Olivia. An </w:t>
      </w:r>
      <w:proofErr w:type="spellStart"/>
      <w:r w:rsidRPr="003B56FA">
        <w:rPr>
          <w:rFonts w:ascii="Times New Roman" w:hAnsi="Times New Roman" w:cs="Times New Roman"/>
        </w:rPr>
        <w:t>Analysis</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of</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the</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Principle</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of</w:t>
      </w:r>
      <w:proofErr w:type="spellEnd"/>
      <w:r w:rsidRPr="003B56FA">
        <w:rPr>
          <w:rFonts w:ascii="Times New Roman" w:hAnsi="Times New Roman" w:cs="Times New Roman"/>
        </w:rPr>
        <w:t xml:space="preserve"> Subsidiarity in </w:t>
      </w:r>
      <w:proofErr w:type="spellStart"/>
      <w:r w:rsidRPr="003B56FA">
        <w:rPr>
          <w:rFonts w:ascii="Times New Roman" w:hAnsi="Times New Roman" w:cs="Times New Roman"/>
        </w:rPr>
        <w:t>European</w:t>
      </w:r>
      <w:proofErr w:type="spellEnd"/>
      <w:r w:rsidRPr="003B56FA">
        <w:rPr>
          <w:rFonts w:ascii="Times New Roman" w:hAnsi="Times New Roman" w:cs="Times New Roman"/>
        </w:rPr>
        <w:t xml:space="preserve"> Union </w:t>
      </w:r>
      <w:proofErr w:type="spellStart"/>
      <w:r w:rsidRPr="003B56FA">
        <w:rPr>
          <w:rFonts w:ascii="Times New Roman" w:hAnsi="Times New Roman" w:cs="Times New Roman"/>
        </w:rPr>
        <w:t>Law</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i/>
        </w:rPr>
        <w:t>North</w:t>
      </w:r>
      <w:proofErr w:type="spellEnd"/>
      <w:r w:rsidRPr="003B56FA">
        <w:rPr>
          <w:rFonts w:ascii="Times New Roman" w:hAnsi="Times New Roman" w:cs="Times New Roman"/>
          <w:i/>
        </w:rPr>
        <w:t xml:space="preserve"> East </w:t>
      </w:r>
      <w:proofErr w:type="spellStart"/>
      <w:r w:rsidRPr="003B56FA">
        <w:rPr>
          <w:rFonts w:ascii="Times New Roman" w:hAnsi="Times New Roman" w:cs="Times New Roman"/>
          <w:i/>
        </w:rPr>
        <w:t>Law</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Review</w:t>
      </w:r>
      <w:proofErr w:type="spellEnd"/>
      <w:r w:rsidRPr="003B56FA">
        <w:rPr>
          <w:rFonts w:ascii="Times New Roman" w:hAnsi="Times New Roman" w:cs="Times New Roman"/>
        </w:rPr>
        <w:t xml:space="preserve">, 2014, vol. 2, </w:t>
      </w:r>
      <w:proofErr w:type="spellStart"/>
      <w:r w:rsidRPr="003B56FA">
        <w:rPr>
          <w:rFonts w:ascii="Times New Roman" w:hAnsi="Times New Roman" w:cs="Times New Roman"/>
        </w:rPr>
        <w:t>issue</w:t>
      </w:r>
      <w:proofErr w:type="spellEnd"/>
      <w:r w:rsidRPr="003B56FA">
        <w:rPr>
          <w:rFonts w:ascii="Times New Roman" w:hAnsi="Times New Roman" w:cs="Times New Roman"/>
        </w:rPr>
        <w:t xml:space="preserve"> 1, s. 85.</w:t>
      </w:r>
      <w:r>
        <w:rPr>
          <w:rFonts w:ascii="Times New Roman" w:hAnsi="Times New Roman" w:cs="Times New Roman"/>
        </w:rPr>
        <w:t xml:space="preserve"> A viz</w:t>
      </w:r>
      <w:r w:rsidRPr="003B56FA">
        <w:rPr>
          <w:rFonts w:ascii="Times New Roman" w:hAnsi="Times New Roman" w:cs="Times New Roman"/>
        </w:rPr>
        <w:t xml:space="preserve"> ESTELLA, Antonio. </w:t>
      </w:r>
      <w:proofErr w:type="spellStart"/>
      <w:r w:rsidRPr="003B56FA">
        <w:rPr>
          <w:rFonts w:ascii="Times New Roman" w:hAnsi="Times New Roman" w:cs="Times New Roman"/>
          <w:i/>
        </w:rPr>
        <w:t>The</w:t>
      </w:r>
      <w:proofErr w:type="spellEnd"/>
      <w:r w:rsidRPr="003B56FA">
        <w:rPr>
          <w:rFonts w:ascii="Times New Roman" w:hAnsi="Times New Roman" w:cs="Times New Roman"/>
          <w:i/>
        </w:rPr>
        <w:t xml:space="preserve"> EU </w:t>
      </w:r>
      <w:proofErr w:type="spellStart"/>
      <w:r w:rsidRPr="003B56FA">
        <w:rPr>
          <w:rFonts w:ascii="Times New Roman" w:hAnsi="Times New Roman" w:cs="Times New Roman"/>
          <w:i/>
        </w:rPr>
        <w:t>Principle</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of</w:t>
      </w:r>
      <w:proofErr w:type="spellEnd"/>
      <w:r w:rsidRPr="003B56FA">
        <w:rPr>
          <w:rFonts w:ascii="Times New Roman" w:hAnsi="Times New Roman" w:cs="Times New Roman"/>
          <w:i/>
        </w:rPr>
        <w:t xml:space="preserve"> Subsidiarity and </w:t>
      </w:r>
      <w:proofErr w:type="spellStart"/>
      <w:r w:rsidRPr="003B56FA">
        <w:rPr>
          <w:rFonts w:ascii="Times New Roman" w:hAnsi="Times New Roman" w:cs="Times New Roman"/>
          <w:i/>
        </w:rPr>
        <w:t>Its</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Critique</w:t>
      </w:r>
      <w:proofErr w:type="spellEnd"/>
      <w:r w:rsidRPr="003B56FA">
        <w:rPr>
          <w:rFonts w:ascii="Times New Roman" w:hAnsi="Times New Roman" w:cs="Times New Roman"/>
        </w:rPr>
        <w:t xml:space="preserve">. New York: Oxford University </w:t>
      </w:r>
      <w:proofErr w:type="spellStart"/>
      <w:r w:rsidRPr="003B56FA">
        <w:rPr>
          <w:rFonts w:ascii="Times New Roman" w:hAnsi="Times New Roman" w:cs="Times New Roman"/>
        </w:rPr>
        <w:t>Press</w:t>
      </w:r>
      <w:proofErr w:type="spellEnd"/>
      <w:r w:rsidRPr="003B56FA">
        <w:rPr>
          <w:rFonts w:ascii="Times New Roman" w:hAnsi="Times New Roman" w:cs="Times New Roman"/>
        </w:rPr>
        <w:t>, 2002, s. 98.</w:t>
      </w:r>
    </w:p>
  </w:footnote>
  <w:footnote w:id="104">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slovo </w:t>
      </w:r>
      <w:r w:rsidRPr="00561B66">
        <w:rPr>
          <w:rFonts w:ascii="Times New Roman" w:hAnsi="Times New Roman" w:cs="Times New Roman"/>
        </w:rPr>
        <w:t>„nemůže“</w:t>
      </w:r>
      <w:r w:rsidRPr="003B56FA">
        <w:rPr>
          <w:rFonts w:ascii="Times New Roman" w:hAnsi="Times New Roman" w:cs="Times New Roman"/>
        </w:rPr>
        <w:t xml:space="preserve"> v čl. 5 odst. 3 SEU. Viz KIIVER: </w:t>
      </w:r>
      <w:proofErr w:type="spellStart"/>
      <w:r w:rsidRPr="003B56FA">
        <w:rPr>
          <w:rFonts w:ascii="Times New Roman" w:hAnsi="Times New Roman" w:cs="Times New Roman"/>
          <w:i/>
        </w:rPr>
        <w:t>The</w:t>
      </w:r>
      <w:proofErr w:type="spellEnd"/>
      <w:r w:rsidRPr="003B56FA">
        <w:rPr>
          <w:rFonts w:ascii="Times New Roman" w:hAnsi="Times New Roman" w:cs="Times New Roman"/>
          <w:i/>
        </w:rPr>
        <w:t xml:space="preserve"> Early…</w:t>
      </w:r>
      <w:r w:rsidRPr="003B56FA">
        <w:rPr>
          <w:rFonts w:ascii="Times New Roman" w:hAnsi="Times New Roman" w:cs="Times New Roman"/>
        </w:rPr>
        <w:t>, s.70.</w:t>
      </w:r>
    </w:p>
  </w:footnote>
  <w:footnote w:id="105">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čl. 5 protokolu č. 30. Viz ESTELLA: </w:t>
      </w:r>
      <w:proofErr w:type="spellStart"/>
      <w:r w:rsidRPr="003B56FA">
        <w:rPr>
          <w:rFonts w:ascii="Times New Roman" w:hAnsi="Times New Roman" w:cs="Times New Roman"/>
          <w:i/>
        </w:rPr>
        <w:t>The</w:t>
      </w:r>
      <w:proofErr w:type="spellEnd"/>
      <w:r w:rsidRPr="003B56FA">
        <w:rPr>
          <w:rFonts w:ascii="Times New Roman" w:hAnsi="Times New Roman" w:cs="Times New Roman"/>
          <w:i/>
        </w:rPr>
        <w:t xml:space="preserve"> EU…</w:t>
      </w:r>
      <w:r w:rsidRPr="003B56FA">
        <w:rPr>
          <w:rFonts w:ascii="Times New Roman" w:hAnsi="Times New Roman" w:cs="Times New Roman"/>
        </w:rPr>
        <w:t xml:space="preserve">, s. 106-114. </w:t>
      </w:r>
    </w:p>
  </w:footnote>
  <w:footnote w:id="106">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Vyvstat může mnoho otázek. Má být posuzována aktuální nebo budoucí, potenciální činnost či úprava členských států? Má se vzít v úvahu 28 individuálních řešení daného problému nebo kolektivní řešení států v podobě jejich vzájemné spolupráce v relevantní oblasti? Blíže viz LAZAR, Carmen. Subsidiarity in </w:t>
      </w:r>
      <w:proofErr w:type="spellStart"/>
      <w:r w:rsidRPr="003B56FA">
        <w:rPr>
          <w:rFonts w:ascii="Times New Roman" w:hAnsi="Times New Roman" w:cs="Times New Roman"/>
        </w:rPr>
        <w:t>the</w:t>
      </w:r>
      <w:proofErr w:type="spellEnd"/>
      <w:r w:rsidRPr="003B56FA">
        <w:rPr>
          <w:rFonts w:ascii="Times New Roman" w:hAnsi="Times New Roman" w:cs="Times New Roman"/>
        </w:rPr>
        <w:t xml:space="preserve"> union </w:t>
      </w:r>
      <w:proofErr w:type="spellStart"/>
      <w:r w:rsidRPr="003B56FA">
        <w:rPr>
          <w:rFonts w:ascii="Times New Roman" w:hAnsi="Times New Roman" w:cs="Times New Roman"/>
        </w:rPr>
        <w:t>law</w:t>
      </w:r>
      <w:proofErr w:type="spellEnd"/>
      <w:r w:rsidRPr="003B56FA">
        <w:rPr>
          <w:rFonts w:ascii="Times New Roman" w:hAnsi="Times New Roman" w:cs="Times New Roman"/>
        </w:rPr>
        <w:t xml:space="preserve">: a </w:t>
      </w:r>
      <w:proofErr w:type="spellStart"/>
      <w:r w:rsidRPr="003B56FA">
        <w:rPr>
          <w:rFonts w:ascii="Times New Roman" w:hAnsi="Times New Roman" w:cs="Times New Roman"/>
        </w:rPr>
        <w:t>success</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or</w:t>
      </w:r>
      <w:proofErr w:type="spellEnd"/>
      <w:r w:rsidRPr="003B56FA">
        <w:rPr>
          <w:rFonts w:ascii="Times New Roman" w:hAnsi="Times New Roman" w:cs="Times New Roman"/>
        </w:rPr>
        <w:t xml:space="preserve"> a </w:t>
      </w:r>
      <w:proofErr w:type="spellStart"/>
      <w:r w:rsidRPr="003B56FA">
        <w:rPr>
          <w:rFonts w:ascii="Times New Roman" w:hAnsi="Times New Roman" w:cs="Times New Roman"/>
        </w:rPr>
        <w:t>failure</w:t>
      </w:r>
      <w:proofErr w:type="spellEnd"/>
      <w:r w:rsidRPr="003B56FA">
        <w:rPr>
          <w:rFonts w:ascii="Times New Roman" w:hAnsi="Times New Roman" w:cs="Times New Roman"/>
        </w:rPr>
        <w:t xml:space="preserve">? </w:t>
      </w:r>
      <w:r w:rsidRPr="003B56FA">
        <w:rPr>
          <w:rFonts w:ascii="Times New Roman" w:hAnsi="Times New Roman" w:cs="Times New Roman"/>
          <w:i/>
        </w:rPr>
        <w:t xml:space="preserve">Agora International </w:t>
      </w:r>
      <w:proofErr w:type="spellStart"/>
      <w:r w:rsidRPr="003B56FA">
        <w:rPr>
          <w:rFonts w:ascii="Times New Roman" w:hAnsi="Times New Roman" w:cs="Times New Roman"/>
          <w:i/>
        </w:rPr>
        <w:t>Journal</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of</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Juridical</w:t>
      </w:r>
      <w:proofErr w:type="spellEnd"/>
      <w:r w:rsidRPr="003B56FA">
        <w:rPr>
          <w:rFonts w:ascii="Times New Roman" w:hAnsi="Times New Roman" w:cs="Times New Roman"/>
          <w:i/>
        </w:rPr>
        <w:t xml:space="preserve"> </w:t>
      </w:r>
      <w:proofErr w:type="spellStart"/>
      <w:r w:rsidRPr="003B56FA">
        <w:rPr>
          <w:rFonts w:ascii="Times New Roman" w:hAnsi="Times New Roman" w:cs="Times New Roman"/>
          <w:i/>
        </w:rPr>
        <w:t>Sciences</w:t>
      </w:r>
      <w:proofErr w:type="spellEnd"/>
      <w:r w:rsidRPr="003B56FA">
        <w:rPr>
          <w:rFonts w:ascii="Times New Roman" w:hAnsi="Times New Roman" w:cs="Times New Roman"/>
        </w:rPr>
        <w:t>, 2014,</w:t>
      </w:r>
      <w:r>
        <w:rPr>
          <w:rFonts w:ascii="Times New Roman" w:hAnsi="Times New Roman" w:cs="Times New Roman"/>
        </w:rPr>
        <w:t xml:space="preserve"> no. 1, s. 77. K tomu viz také </w:t>
      </w:r>
      <w:r w:rsidRPr="003B56FA">
        <w:rPr>
          <w:rFonts w:ascii="Times New Roman" w:hAnsi="Times New Roman" w:cs="Times New Roman"/>
        </w:rPr>
        <w:t xml:space="preserve">Soudní dvůr: Rozsudek ze dne 18. června 2015, </w:t>
      </w:r>
      <w:r w:rsidRPr="003B56FA">
        <w:rPr>
          <w:rFonts w:ascii="Times New Roman" w:hAnsi="Times New Roman" w:cs="Times New Roman"/>
          <w:i/>
        </w:rPr>
        <w:t>Estonská republika v. Evropský parlament a Rada Evropské unie</w:t>
      </w:r>
      <w:r>
        <w:rPr>
          <w:rFonts w:ascii="Times New Roman" w:hAnsi="Times New Roman" w:cs="Times New Roman"/>
        </w:rPr>
        <w:t>, C-508/13</w:t>
      </w:r>
      <w:r w:rsidRPr="003B56FA">
        <w:rPr>
          <w:rFonts w:ascii="Times New Roman" w:hAnsi="Times New Roman" w:cs="Times New Roman"/>
        </w:rPr>
        <w:t>, body 53-54.</w:t>
      </w:r>
    </w:p>
  </w:footnote>
  <w:footnote w:id="107">
    <w:p w:rsidR="00076524" w:rsidRDefault="00076524">
      <w:pPr>
        <w:pStyle w:val="Textpoznpodarou"/>
      </w:pPr>
      <w:r>
        <w:rPr>
          <w:rStyle w:val="Znakapoznpodarou"/>
        </w:rPr>
        <w:footnoteRef/>
      </w:r>
      <w:r>
        <w:t xml:space="preserve"> </w:t>
      </w:r>
      <w:r w:rsidRPr="003B56FA">
        <w:rPr>
          <w:rFonts w:ascii="Times New Roman" w:hAnsi="Times New Roman" w:cs="Times New Roman"/>
        </w:rPr>
        <w:t>Čl. 5 odst. 3 SEU</w:t>
      </w:r>
    </w:p>
  </w:footnote>
  <w:footnote w:id="108">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Pr>
          <w:rFonts w:ascii="Times New Roman" w:hAnsi="Times New Roman" w:cs="Times New Roman"/>
        </w:rPr>
        <w:t xml:space="preserve"> Č</w:t>
      </w:r>
      <w:r w:rsidRPr="003B56FA">
        <w:rPr>
          <w:rFonts w:ascii="Times New Roman" w:hAnsi="Times New Roman" w:cs="Times New Roman"/>
        </w:rPr>
        <w:t>l. 5 protokolu č. 2</w:t>
      </w:r>
    </w:p>
  </w:footnote>
  <w:footnote w:id="109">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KIIVER: </w:t>
      </w:r>
      <w:proofErr w:type="spellStart"/>
      <w:r w:rsidRPr="003B56FA">
        <w:rPr>
          <w:rFonts w:ascii="Times New Roman" w:hAnsi="Times New Roman" w:cs="Times New Roman"/>
          <w:i/>
        </w:rPr>
        <w:t>The</w:t>
      </w:r>
      <w:proofErr w:type="spellEnd"/>
      <w:r w:rsidRPr="003B56FA">
        <w:rPr>
          <w:rFonts w:ascii="Times New Roman" w:hAnsi="Times New Roman" w:cs="Times New Roman"/>
          <w:i/>
        </w:rPr>
        <w:t xml:space="preserve"> Early…</w:t>
      </w:r>
      <w:r w:rsidRPr="003B56FA">
        <w:rPr>
          <w:rFonts w:ascii="Times New Roman" w:hAnsi="Times New Roman" w:cs="Times New Roman"/>
        </w:rPr>
        <w:t>, s. 73.</w:t>
      </w:r>
    </w:p>
  </w:footnote>
  <w:footnote w:id="110">
    <w:p w:rsidR="00076524" w:rsidRPr="003B56FA"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čl. 5 protokolu č. 30</w:t>
      </w:r>
    </w:p>
  </w:footnote>
  <w:footnote w:id="111">
    <w:p w:rsidR="00076524" w:rsidRPr="0047685F" w:rsidRDefault="00076524" w:rsidP="003B56FA">
      <w:pPr>
        <w:pStyle w:val="Textpoznpodarou"/>
        <w:jc w:val="both"/>
        <w:rPr>
          <w:rFonts w:ascii="Times New Roman" w:hAnsi="Times New Roman" w:cs="Times New Roman"/>
        </w:rPr>
      </w:pPr>
      <w:r w:rsidRPr="003B56FA">
        <w:rPr>
          <w:rStyle w:val="Znakapoznpodarou"/>
          <w:rFonts w:ascii="Times New Roman" w:hAnsi="Times New Roman" w:cs="Times New Roman"/>
        </w:rPr>
        <w:footnoteRef/>
      </w:r>
      <w:r w:rsidRPr="003B56FA">
        <w:rPr>
          <w:rFonts w:ascii="Times New Roman" w:hAnsi="Times New Roman" w:cs="Times New Roman"/>
        </w:rPr>
        <w:t xml:space="preserve"> Viz čl. 5 Smlouvy o založení Evropského Společenství (konsolidované znění). </w:t>
      </w:r>
      <w:proofErr w:type="spellStart"/>
      <w:r w:rsidRPr="003B56FA">
        <w:rPr>
          <w:rFonts w:ascii="Times New Roman" w:hAnsi="Times New Roman" w:cs="Times New Roman"/>
        </w:rPr>
        <w:t>Úř</w:t>
      </w:r>
      <w:proofErr w:type="spellEnd"/>
      <w:r w:rsidRPr="003B56FA">
        <w:rPr>
          <w:rFonts w:ascii="Times New Roman" w:hAnsi="Times New Roman" w:cs="Times New Roman"/>
        </w:rPr>
        <w:t xml:space="preserve">. </w:t>
      </w:r>
      <w:proofErr w:type="spellStart"/>
      <w:r w:rsidRPr="003B56FA">
        <w:rPr>
          <w:rFonts w:ascii="Times New Roman" w:hAnsi="Times New Roman" w:cs="Times New Roman"/>
        </w:rPr>
        <w:t>věst</w:t>
      </w:r>
      <w:proofErr w:type="spellEnd"/>
      <w:r w:rsidRPr="003B56FA">
        <w:rPr>
          <w:rFonts w:ascii="Times New Roman" w:hAnsi="Times New Roman" w:cs="Times New Roman"/>
        </w:rPr>
        <w:t>. C 321E, 29. prosince 2006, s. 46.</w:t>
      </w:r>
    </w:p>
  </w:footnote>
  <w:footnote w:id="112">
    <w:p w:rsidR="00076524" w:rsidRPr="0047685F" w:rsidRDefault="00076524" w:rsidP="00A45A64">
      <w:pPr>
        <w:pStyle w:val="Textpoznpodarou"/>
        <w:jc w:val="both"/>
        <w:rPr>
          <w:rFonts w:ascii="Times New Roman" w:hAnsi="Times New Roman" w:cs="Times New Roman"/>
        </w:rPr>
      </w:pPr>
      <w:r w:rsidRPr="0047685F">
        <w:rPr>
          <w:rStyle w:val="Znakapoznpodarou"/>
          <w:rFonts w:ascii="Times New Roman" w:hAnsi="Times New Roman" w:cs="Times New Roman"/>
        </w:rPr>
        <w:footnoteRef/>
      </w:r>
      <w:r w:rsidRPr="0047685F">
        <w:rPr>
          <w:rFonts w:ascii="Times New Roman" w:hAnsi="Times New Roman" w:cs="Times New Roman"/>
        </w:rPr>
        <w:t xml:space="preserve"> Viz SCHEU, Harald Christian. Princip subsidiarity v právu EU. </w:t>
      </w:r>
      <w:r w:rsidRPr="0047685F">
        <w:rPr>
          <w:rFonts w:ascii="Times New Roman" w:hAnsi="Times New Roman" w:cs="Times New Roman"/>
          <w:i/>
        </w:rPr>
        <w:t xml:space="preserve">Acta </w:t>
      </w:r>
      <w:proofErr w:type="spellStart"/>
      <w:r w:rsidRPr="0047685F">
        <w:rPr>
          <w:rFonts w:ascii="Times New Roman" w:hAnsi="Times New Roman" w:cs="Times New Roman"/>
          <w:i/>
        </w:rPr>
        <w:t>Universitatis</w:t>
      </w:r>
      <w:proofErr w:type="spellEnd"/>
      <w:r w:rsidRPr="0047685F">
        <w:rPr>
          <w:rFonts w:ascii="Times New Roman" w:hAnsi="Times New Roman" w:cs="Times New Roman"/>
          <w:i/>
        </w:rPr>
        <w:t xml:space="preserve"> </w:t>
      </w:r>
      <w:proofErr w:type="spellStart"/>
      <w:r w:rsidRPr="0047685F">
        <w:rPr>
          <w:rFonts w:ascii="Times New Roman" w:hAnsi="Times New Roman" w:cs="Times New Roman"/>
          <w:i/>
        </w:rPr>
        <w:t>Carolinae</w:t>
      </w:r>
      <w:proofErr w:type="spellEnd"/>
      <w:r w:rsidRPr="0047685F">
        <w:rPr>
          <w:rFonts w:ascii="Times New Roman" w:hAnsi="Times New Roman" w:cs="Times New Roman"/>
          <w:i/>
        </w:rPr>
        <w:t xml:space="preserve"> </w:t>
      </w:r>
      <w:proofErr w:type="spellStart"/>
      <w:r w:rsidRPr="0047685F">
        <w:rPr>
          <w:rFonts w:ascii="Times New Roman" w:hAnsi="Times New Roman" w:cs="Times New Roman"/>
          <w:i/>
        </w:rPr>
        <w:t>Iuridica</w:t>
      </w:r>
      <w:proofErr w:type="spellEnd"/>
      <w:r w:rsidRPr="0047685F">
        <w:rPr>
          <w:rFonts w:ascii="Times New Roman" w:hAnsi="Times New Roman" w:cs="Times New Roman"/>
        </w:rPr>
        <w:t>, 2011, č. 1, s. 52.</w:t>
      </w:r>
    </w:p>
  </w:footnote>
  <w:footnote w:id="113">
    <w:p w:rsidR="00076524" w:rsidRPr="0047685F" w:rsidRDefault="00076524" w:rsidP="00A45A64">
      <w:pPr>
        <w:pStyle w:val="Textpoznpodarou"/>
        <w:jc w:val="both"/>
        <w:rPr>
          <w:rFonts w:ascii="Times New Roman" w:hAnsi="Times New Roman" w:cs="Times New Roman"/>
        </w:rPr>
      </w:pPr>
      <w:r w:rsidRPr="0047685F">
        <w:rPr>
          <w:rStyle w:val="Znakapoznpodarou"/>
          <w:rFonts w:ascii="Times New Roman" w:hAnsi="Times New Roman" w:cs="Times New Roman"/>
        </w:rPr>
        <w:footnoteRef/>
      </w:r>
      <w:r w:rsidRPr="0047685F">
        <w:rPr>
          <w:rFonts w:ascii="Times New Roman" w:hAnsi="Times New Roman" w:cs="Times New Roman"/>
        </w:rPr>
        <w:t xml:space="preserve"> </w:t>
      </w:r>
      <w:r>
        <w:rPr>
          <w:rFonts w:ascii="Times New Roman" w:hAnsi="Times New Roman" w:cs="Times New Roman"/>
        </w:rPr>
        <w:t xml:space="preserve">Viz. </w:t>
      </w:r>
      <w:r w:rsidRPr="009A08CD">
        <w:rPr>
          <w:rFonts w:ascii="Times New Roman" w:hAnsi="Times New Roman" w:cs="Times New Roman"/>
        </w:rPr>
        <w:t>CASS, Deborah.</w:t>
      </w:r>
      <w:r w:rsidRPr="0047685F">
        <w:rPr>
          <w:rFonts w:ascii="Times New Roman" w:hAnsi="Times New Roman" w:cs="Times New Roman"/>
        </w:rPr>
        <w:t xml:space="preserve"> </w:t>
      </w:r>
      <w:proofErr w:type="spellStart"/>
      <w:r w:rsidRPr="0047685F">
        <w:rPr>
          <w:rFonts w:ascii="Times New Roman" w:hAnsi="Times New Roman" w:cs="Times New Roman"/>
        </w:rPr>
        <w:t>The</w:t>
      </w:r>
      <w:proofErr w:type="spellEnd"/>
      <w:r w:rsidRPr="0047685F">
        <w:rPr>
          <w:rFonts w:ascii="Times New Roman" w:hAnsi="Times New Roman" w:cs="Times New Roman"/>
        </w:rPr>
        <w:t xml:space="preserve"> Word </w:t>
      </w:r>
      <w:proofErr w:type="spellStart"/>
      <w:r w:rsidRPr="0047685F">
        <w:rPr>
          <w:rFonts w:ascii="Times New Roman" w:hAnsi="Times New Roman" w:cs="Times New Roman"/>
        </w:rPr>
        <w:t>that</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Saves</w:t>
      </w:r>
      <w:proofErr w:type="spellEnd"/>
      <w:r w:rsidRPr="0047685F">
        <w:rPr>
          <w:rFonts w:ascii="Times New Roman" w:hAnsi="Times New Roman" w:cs="Times New Roman"/>
        </w:rPr>
        <w:t xml:space="preserve"> Maastricht? </w:t>
      </w:r>
      <w:proofErr w:type="spellStart"/>
      <w:r w:rsidRPr="0047685F">
        <w:rPr>
          <w:rFonts w:ascii="Times New Roman" w:hAnsi="Times New Roman" w:cs="Times New Roman"/>
        </w:rPr>
        <w:t>The</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Principle</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of</w:t>
      </w:r>
      <w:proofErr w:type="spellEnd"/>
      <w:r w:rsidRPr="0047685F">
        <w:rPr>
          <w:rFonts w:ascii="Times New Roman" w:hAnsi="Times New Roman" w:cs="Times New Roman"/>
        </w:rPr>
        <w:t xml:space="preserve"> Subsidiarity and </w:t>
      </w:r>
      <w:proofErr w:type="spellStart"/>
      <w:r w:rsidRPr="0047685F">
        <w:rPr>
          <w:rFonts w:ascii="Times New Roman" w:hAnsi="Times New Roman" w:cs="Times New Roman"/>
        </w:rPr>
        <w:t>the</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Division</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of</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Powers</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within</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the</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European</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rPr>
        <w:t>Community</w:t>
      </w:r>
      <w:proofErr w:type="spellEnd"/>
      <w:r w:rsidRPr="0047685F">
        <w:rPr>
          <w:rFonts w:ascii="Times New Roman" w:hAnsi="Times New Roman" w:cs="Times New Roman"/>
        </w:rPr>
        <w:t xml:space="preserve">. </w:t>
      </w:r>
      <w:proofErr w:type="spellStart"/>
      <w:r w:rsidRPr="0047685F">
        <w:rPr>
          <w:rFonts w:ascii="Times New Roman" w:hAnsi="Times New Roman" w:cs="Times New Roman"/>
          <w:i/>
        </w:rPr>
        <w:t>Common</w:t>
      </w:r>
      <w:proofErr w:type="spellEnd"/>
      <w:r w:rsidRPr="0047685F">
        <w:rPr>
          <w:rFonts w:ascii="Times New Roman" w:hAnsi="Times New Roman" w:cs="Times New Roman"/>
          <w:i/>
        </w:rPr>
        <w:t xml:space="preserve"> Market </w:t>
      </w:r>
      <w:proofErr w:type="spellStart"/>
      <w:r w:rsidRPr="0047685F">
        <w:rPr>
          <w:rFonts w:ascii="Times New Roman" w:hAnsi="Times New Roman" w:cs="Times New Roman"/>
          <w:i/>
        </w:rPr>
        <w:t>Law</w:t>
      </w:r>
      <w:proofErr w:type="spellEnd"/>
      <w:r w:rsidRPr="0047685F">
        <w:rPr>
          <w:rFonts w:ascii="Times New Roman" w:hAnsi="Times New Roman" w:cs="Times New Roman"/>
          <w:i/>
        </w:rPr>
        <w:t xml:space="preserve"> </w:t>
      </w:r>
      <w:proofErr w:type="spellStart"/>
      <w:r w:rsidRPr="0047685F">
        <w:rPr>
          <w:rFonts w:ascii="Times New Roman" w:hAnsi="Times New Roman" w:cs="Times New Roman"/>
          <w:i/>
        </w:rPr>
        <w:t>Review</w:t>
      </w:r>
      <w:proofErr w:type="spellEnd"/>
      <w:r w:rsidRPr="0047685F">
        <w:rPr>
          <w:rFonts w:ascii="Times New Roman" w:hAnsi="Times New Roman" w:cs="Times New Roman"/>
        </w:rPr>
        <w:t xml:space="preserve">, 1992, vol. 29, </w:t>
      </w:r>
      <w:proofErr w:type="spellStart"/>
      <w:r w:rsidRPr="0047685F">
        <w:rPr>
          <w:rFonts w:ascii="Times New Roman" w:hAnsi="Times New Roman" w:cs="Times New Roman"/>
        </w:rPr>
        <w:t>issue</w:t>
      </w:r>
      <w:proofErr w:type="spellEnd"/>
      <w:r w:rsidRPr="0047685F">
        <w:rPr>
          <w:rFonts w:ascii="Times New Roman" w:hAnsi="Times New Roman" w:cs="Times New Roman"/>
        </w:rPr>
        <w:t xml:space="preserve"> 6, s. 1107.</w:t>
      </w:r>
    </w:p>
  </w:footnote>
  <w:footnote w:id="114">
    <w:p w:rsidR="00076524" w:rsidRPr="0047685F" w:rsidRDefault="00076524" w:rsidP="00A45A64">
      <w:pPr>
        <w:pStyle w:val="Textpoznpodarou"/>
        <w:jc w:val="both"/>
        <w:rPr>
          <w:rFonts w:ascii="Times New Roman" w:hAnsi="Times New Roman" w:cs="Times New Roman"/>
        </w:rPr>
      </w:pPr>
      <w:r w:rsidRPr="0047685F">
        <w:rPr>
          <w:rStyle w:val="Znakapoznpodarou"/>
          <w:rFonts w:ascii="Times New Roman" w:hAnsi="Times New Roman" w:cs="Times New Roman"/>
        </w:rPr>
        <w:footnoteRef/>
      </w:r>
      <w:r w:rsidRPr="0047685F">
        <w:rPr>
          <w:rFonts w:ascii="Times New Roman" w:hAnsi="Times New Roman" w:cs="Times New Roman"/>
        </w:rPr>
        <w:t xml:space="preserve"> Viz např. ŠIŠKOVÁ, STEHLÍK: </w:t>
      </w:r>
      <w:r w:rsidRPr="0047685F">
        <w:rPr>
          <w:rFonts w:ascii="Times New Roman" w:hAnsi="Times New Roman" w:cs="Times New Roman"/>
          <w:i/>
        </w:rPr>
        <w:t>Evropské</w:t>
      </w:r>
      <w:r w:rsidRPr="0047685F">
        <w:rPr>
          <w:rFonts w:ascii="Times New Roman" w:hAnsi="Times New Roman" w:cs="Times New Roman"/>
        </w:rPr>
        <w:t>…, s. 242.</w:t>
      </w:r>
    </w:p>
  </w:footnote>
  <w:footnote w:id="115">
    <w:p w:rsidR="00076524" w:rsidRDefault="00076524" w:rsidP="00A45A64">
      <w:pPr>
        <w:pStyle w:val="Textpoznpodarou"/>
        <w:jc w:val="both"/>
      </w:pPr>
      <w:r w:rsidRPr="0047685F">
        <w:rPr>
          <w:rStyle w:val="Znakapoznpodarou"/>
          <w:rFonts w:ascii="Times New Roman" w:hAnsi="Times New Roman" w:cs="Times New Roman"/>
        </w:rPr>
        <w:footnoteRef/>
      </w:r>
      <w:r w:rsidRPr="0047685F">
        <w:rPr>
          <w:rFonts w:ascii="Times New Roman" w:hAnsi="Times New Roman" w:cs="Times New Roman"/>
        </w:rPr>
        <w:t xml:space="preserve"> Viz ESTELLA: </w:t>
      </w:r>
      <w:proofErr w:type="spellStart"/>
      <w:r w:rsidRPr="0047685F">
        <w:rPr>
          <w:rFonts w:ascii="Times New Roman" w:hAnsi="Times New Roman" w:cs="Times New Roman"/>
          <w:i/>
        </w:rPr>
        <w:t>The</w:t>
      </w:r>
      <w:proofErr w:type="spellEnd"/>
      <w:r w:rsidRPr="0047685F">
        <w:rPr>
          <w:rFonts w:ascii="Times New Roman" w:hAnsi="Times New Roman" w:cs="Times New Roman"/>
          <w:i/>
        </w:rPr>
        <w:t xml:space="preserve"> EU…</w:t>
      </w:r>
      <w:r w:rsidRPr="0047685F">
        <w:rPr>
          <w:rFonts w:ascii="Times New Roman" w:hAnsi="Times New Roman" w:cs="Times New Roman"/>
        </w:rPr>
        <w:t>, s. 95.</w:t>
      </w:r>
    </w:p>
  </w:footnote>
  <w:footnote w:id="116">
    <w:p w:rsidR="00076524" w:rsidRPr="0084505A" w:rsidRDefault="00076524" w:rsidP="008C2679">
      <w:pPr>
        <w:spacing w:after="0"/>
        <w:jc w:val="both"/>
        <w:rPr>
          <w:rFonts w:ascii="Times New Roman" w:hAnsi="Times New Roman" w:cs="Times New Roman"/>
          <w:sz w:val="20"/>
          <w:szCs w:val="20"/>
        </w:rPr>
      </w:pPr>
      <w:r w:rsidRPr="0084505A">
        <w:rPr>
          <w:rStyle w:val="Znakapoznpodarou"/>
          <w:rFonts w:ascii="Times New Roman" w:hAnsi="Times New Roman" w:cs="Times New Roman"/>
          <w:sz w:val="20"/>
          <w:szCs w:val="20"/>
        </w:rPr>
        <w:footnoteRef/>
      </w:r>
      <w:r w:rsidRPr="0084505A">
        <w:rPr>
          <w:rFonts w:ascii="Times New Roman" w:hAnsi="Times New Roman" w:cs="Times New Roman"/>
          <w:sz w:val="20"/>
          <w:szCs w:val="20"/>
        </w:rPr>
        <w:t xml:space="preserve"> Např. </w:t>
      </w:r>
      <w:proofErr w:type="spellStart"/>
      <w:r w:rsidRPr="0084505A">
        <w:rPr>
          <w:rFonts w:ascii="Times New Roman" w:hAnsi="Times New Roman" w:cs="Times New Roman"/>
          <w:sz w:val="20"/>
          <w:szCs w:val="20"/>
        </w:rPr>
        <w:t>Brink</w:t>
      </w:r>
      <w:proofErr w:type="spellEnd"/>
      <w:r w:rsidRPr="0084505A">
        <w:rPr>
          <w:rFonts w:ascii="Times New Roman" w:hAnsi="Times New Roman" w:cs="Times New Roman"/>
          <w:sz w:val="20"/>
          <w:szCs w:val="20"/>
        </w:rPr>
        <w:t xml:space="preserve"> uvádí</w:t>
      </w:r>
      <w:r>
        <w:rPr>
          <w:rFonts w:ascii="Times New Roman" w:hAnsi="Times New Roman" w:cs="Times New Roman"/>
          <w:sz w:val="20"/>
          <w:szCs w:val="20"/>
        </w:rPr>
        <w:t>,</w:t>
      </w:r>
      <w:r w:rsidRPr="0084505A">
        <w:rPr>
          <w:rFonts w:ascii="Times New Roman" w:hAnsi="Times New Roman" w:cs="Times New Roman"/>
          <w:sz w:val="20"/>
          <w:szCs w:val="20"/>
        </w:rPr>
        <w:t xml:space="preserve"> mj. na zákla</w:t>
      </w:r>
      <w:r>
        <w:rPr>
          <w:rFonts w:ascii="Times New Roman" w:hAnsi="Times New Roman" w:cs="Times New Roman"/>
          <w:sz w:val="20"/>
          <w:szCs w:val="20"/>
        </w:rPr>
        <w:t xml:space="preserve">dě argumentace poskytnuté </w:t>
      </w:r>
      <w:r w:rsidRPr="0084505A">
        <w:rPr>
          <w:rFonts w:ascii="Times New Roman" w:hAnsi="Times New Roman" w:cs="Times New Roman"/>
          <w:sz w:val="20"/>
          <w:szCs w:val="20"/>
        </w:rPr>
        <w:t>d</w:t>
      </w:r>
      <w:r>
        <w:rPr>
          <w:rFonts w:ascii="Times New Roman" w:hAnsi="Times New Roman" w:cs="Times New Roman"/>
          <w:sz w:val="20"/>
          <w:szCs w:val="20"/>
        </w:rPr>
        <w:t xml:space="preserve">e </w:t>
      </w:r>
      <w:proofErr w:type="spellStart"/>
      <w:r>
        <w:rPr>
          <w:rFonts w:ascii="Times New Roman" w:hAnsi="Times New Roman" w:cs="Times New Roman"/>
          <w:sz w:val="20"/>
          <w:szCs w:val="20"/>
        </w:rPr>
        <w:t>Búrcou</w:t>
      </w:r>
      <w:proofErr w:type="spellEnd"/>
      <w:r>
        <w:rPr>
          <w:rFonts w:ascii="Times New Roman" w:hAnsi="Times New Roman" w:cs="Times New Roman"/>
          <w:sz w:val="20"/>
          <w:szCs w:val="20"/>
        </w:rPr>
        <w:t>, jako příklady pojmy</w:t>
      </w:r>
      <w:r w:rsidRPr="0084505A">
        <w:rPr>
          <w:rFonts w:ascii="Times New Roman" w:hAnsi="Times New Roman" w:cs="Times New Roman"/>
          <w:sz w:val="20"/>
          <w:szCs w:val="20"/>
        </w:rPr>
        <w:t xml:space="preserve"> stále užší svazek či princip loajální spolupráce. Viz VAN DEN BRINK, Ton. </w:t>
      </w:r>
      <w:proofErr w:type="spellStart"/>
      <w:r w:rsidRPr="000B7752">
        <w:rPr>
          <w:rFonts w:ascii="Times New Roman" w:hAnsi="Times New Roman" w:cs="Times New Roman"/>
          <w:sz w:val="20"/>
          <w:szCs w:val="20"/>
        </w:rPr>
        <w:t>The</w:t>
      </w:r>
      <w:proofErr w:type="spellEnd"/>
      <w:r w:rsidRPr="000B7752">
        <w:rPr>
          <w:rFonts w:ascii="Times New Roman" w:hAnsi="Times New Roman" w:cs="Times New Roman"/>
          <w:sz w:val="20"/>
          <w:szCs w:val="20"/>
        </w:rPr>
        <w:t xml:space="preserve"> Substance </w:t>
      </w:r>
      <w:proofErr w:type="spellStart"/>
      <w:r w:rsidRPr="000B7752">
        <w:rPr>
          <w:rFonts w:ascii="Times New Roman" w:hAnsi="Times New Roman" w:cs="Times New Roman"/>
          <w:sz w:val="20"/>
          <w:szCs w:val="20"/>
        </w:rPr>
        <w:t>of</w:t>
      </w:r>
      <w:proofErr w:type="spellEnd"/>
      <w:r w:rsidRPr="000B7752">
        <w:rPr>
          <w:rFonts w:ascii="Times New Roman" w:hAnsi="Times New Roman" w:cs="Times New Roman"/>
          <w:sz w:val="20"/>
          <w:szCs w:val="20"/>
        </w:rPr>
        <w:t xml:space="preserve"> Subsidiarity: </w:t>
      </w:r>
      <w:proofErr w:type="spellStart"/>
      <w:r w:rsidRPr="000B7752">
        <w:rPr>
          <w:rFonts w:ascii="Times New Roman" w:hAnsi="Times New Roman" w:cs="Times New Roman"/>
          <w:sz w:val="20"/>
          <w:szCs w:val="20"/>
        </w:rPr>
        <w:t>The</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Interpretation</w:t>
      </w:r>
      <w:proofErr w:type="spellEnd"/>
      <w:r w:rsidRPr="000B7752">
        <w:rPr>
          <w:rFonts w:ascii="Times New Roman" w:hAnsi="Times New Roman" w:cs="Times New Roman"/>
          <w:sz w:val="20"/>
          <w:szCs w:val="20"/>
        </w:rPr>
        <w:t xml:space="preserve"> and </w:t>
      </w:r>
      <w:proofErr w:type="spellStart"/>
      <w:r w:rsidRPr="000B7752">
        <w:rPr>
          <w:rFonts w:ascii="Times New Roman" w:hAnsi="Times New Roman" w:cs="Times New Roman"/>
          <w:sz w:val="20"/>
          <w:szCs w:val="20"/>
        </w:rPr>
        <w:t>Meaning</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of</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the</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Principle</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after</w:t>
      </w:r>
      <w:proofErr w:type="spellEnd"/>
      <w:r w:rsidRPr="000B7752">
        <w:rPr>
          <w:rFonts w:ascii="Times New Roman" w:hAnsi="Times New Roman" w:cs="Times New Roman"/>
          <w:sz w:val="20"/>
          <w:szCs w:val="20"/>
        </w:rPr>
        <w:t xml:space="preserve"> </w:t>
      </w:r>
      <w:proofErr w:type="spellStart"/>
      <w:r w:rsidRPr="000B7752">
        <w:rPr>
          <w:rFonts w:ascii="Times New Roman" w:hAnsi="Times New Roman" w:cs="Times New Roman"/>
          <w:sz w:val="20"/>
          <w:szCs w:val="20"/>
        </w:rPr>
        <w:t>Lisbon</w:t>
      </w:r>
      <w:proofErr w:type="spellEnd"/>
      <w:r w:rsidRPr="0084505A">
        <w:rPr>
          <w:rFonts w:ascii="Times New Roman" w:hAnsi="Times New Roman" w:cs="Times New Roman"/>
          <w:sz w:val="20"/>
          <w:szCs w:val="20"/>
        </w:rPr>
        <w:t xml:space="preserve">. In: TRYBUS, Martin, RUBINI, Luca. </w:t>
      </w:r>
      <w:proofErr w:type="spellStart"/>
      <w:r w:rsidRPr="0084505A">
        <w:rPr>
          <w:rFonts w:ascii="Times New Roman" w:hAnsi="Times New Roman" w:cs="Times New Roman"/>
          <w:i/>
          <w:sz w:val="20"/>
          <w:szCs w:val="20"/>
        </w:rPr>
        <w:t>The</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Treaty</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of</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Lisbon</w:t>
      </w:r>
      <w:proofErr w:type="spellEnd"/>
      <w:r w:rsidRPr="0084505A">
        <w:rPr>
          <w:rFonts w:ascii="Times New Roman" w:hAnsi="Times New Roman" w:cs="Times New Roman"/>
          <w:i/>
          <w:sz w:val="20"/>
          <w:szCs w:val="20"/>
        </w:rPr>
        <w:t xml:space="preserve"> and </w:t>
      </w:r>
      <w:proofErr w:type="spellStart"/>
      <w:r w:rsidRPr="0084505A">
        <w:rPr>
          <w:rFonts w:ascii="Times New Roman" w:hAnsi="Times New Roman" w:cs="Times New Roman"/>
          <w:i/>
          <w:sz w:val="20"/>
          <w:szCs w:val="20"/>
        </w:rPr>
        <w:t>the</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Future</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of</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European</w:t>
      </w:r>
      <w:proofErr w:type="spellEnd"/>
      <w:r w:rsidRPr="0084505A">
        <w:rPr>
          <w:rFonts w:ascii="Times New Roman" w:hAnsi="Times New Roman" w:cs="Times New Roman"/>
          <w:i/>
          <w:sz w:val="20"/>
          <w:szCs w:val="20"/>
        </w:rPr>
        <w:t xml:space="preserve"> </w:t>
      </w:r>
      <w:proofErr w:type="spellStart"/>
      <w:r w:rsidRPr="0084505A">
        <w:rPr>
          <w:rFonts w:ascii="Times New Roman" w:hAnsi="Times New Roman" w:cs="Times New Roman"/>
          <w:i/>
          <w:sz w:val="20"/>
          <w:szCs w:val="20"/>
        </w:rPr>
        <w:t>Law</w:t>
      </w:r>
      <w:proofErr w:type="spellEnd"/>
      <w:r w:rsidRPr="0084505A">
        <w:rPr>
          <w:rFonts w:ascii="Times New Roman" w:hAnsi="Times New Roman" w:cs="Times New Roman"/>
          <w:i/>
          <w:sz w:val="20"/>
          <w:szCs w:val="20"/>
        </w:rPr>
        <w:t xml:space="preserve"> and </w:t>
      </w:r>
      <w:proofErr w:type="spellStart"/>
      <w:r w:rsidRPr="0084505A">
        <w:rPr>
          <w:rFonts w:ascii="Times New Roman" w:hAnsi="Times New Roman" w:cs="Times New Roman"/>
          <w:i/>
          <w:sz w:val="20"/>
          <w:szCs w:val="20"/>
        </w:rPr>
        <w:t>Policy</w:t>
      </w:r>
      <w:proofErr w:type="spellEnd"/>
      <w:r w:rsidRPr="0084505A">
        <w:rPr>
          <w:rFonts w:ascii="Times New Roman" w:hAnsi="Times New Roman" w:cs="Times New Roman"/>
          <w:sz w:val="20"/>
          <w:szCs w:val="20"/>
        </w:rPr>
        <w:t xml:space="preserve">. </w:t>
      </w:r>
      <w:proofErr w:type="spellStart"/>
      <w:r w:rsidRPr="0084505A">
        <w:rPr>
          <w:rFonts w:ascii="Times New Roman" w:hAnsi="Times New Roman" w:cs="Times New Roman"/>
          <w:sz w:val="20"/>
          <w:szCs w:val="20"/>
        </w:rPr>
        <w:t>Northampto</w:t>
      </w:r>
      <w:r>
        <w:rPr>
          <w:rFonts w:ascii="Times New Roman" w:hAnsi="Times New Roman" w:cs="Times New Roman"/>
          <w:sz w:val="20"/>
          <w:szCs w:val="20"/>
        </w:rPr>
        <w:t>n</w:t>
      </w:r>
      <w:proofErr w:type="spellEnd"/>
      <w:r>
        <w:rPr>
          <w:rFonts w:ascii="Times New Roman" w:hAnsi="Times New Roman" w:cs="Times New Roman"/>
          <w:sz w:val="20"/>
          <w:szCs w:val="20"/>
        </w:rPr>
        <w:t xml:space="preserve">: Edward </w:t>
      </w:r>
      <w:proofErr w:type="spellStart"/>
      <w:r>
        <w:rPr>
          <w:rFonts w:ascii="Times New Roman" w:hAnsi="Times New Roman" w:cs="Times New Roman"/>
          <w:sz w:val="20"/>
          <w:szCs w:val="20"/>
        </w:rPr>
        <w:t>Elgar</w:t>
      </w:r>
      <w:proofErr w:type="spellEnd"/>
      <w:r>
        <w:rPr>
          <w:rFonts w:ascii="Times New Roman" w:hAnsi="Times New Roman" w:cs="Times New Roman"/>
          <w:sz w:val="20"/>
          <w:szCs w:val="20"/>
        </w:rPr>
        <w:t xml:space="preserve">, 2012, s. 160. </w:t>
      </w:r>
    </w:p>
  </w:footnote>
  <w:footnote w:id="117">
    <w:p w:rsidR="00076524" w:rsidRDefault="00076524" w:rsidP="008C2679">
      <w:pPr>
        <w:pStyle w:val="Textpoznpodarou"/>
        <w:jc w:val="both"/>
      </w:pPr>
      <w:r w:rsidRPr="0084505A">
        <w:rPr>
          <w:rStyle w:val="Znakapoznpodarou"/>
          <w:rFonts w:ascii="Times New Roman" w:hAnsi="Times New Roman" w:cs="Times New Roman"/>
        </w:rPr>
        <w:footnoteRef/>
      </w:r>
      <w:r w:rsidRPr="0084505A">
        <w:rPr>
          <w:rFonts w:ascii="Times New Roman" w:hAnsi="Times New Roman" w:cs="Times New Roman"/>
        </w:rPr>
        <w:t xml:space="preserve"> </w:t>
      </w:r>
      <w:r w:rsidRPr="000933B9">
        <w:rPr>
          <w:rFonts w:ascii="Times New Roman" w:hAnsi="Times New Roman" w:cs="Times New Roman"/>
        </w:rPr>
        <w:t>TLAMYCHA, Jan. Soudní přezkoumatelnost principu subsidiarity v EU. In GEORGIEV, Jiří (</w:t>
      </w:r>
      <w:proofErr w:type="spellStart"/>
      <w:r w:rsidRPr="000933B9">
        <w:rPr>
          <w:rFonts w:ascii="Times New Roman" w:hAnsi="Times New Roman" w:cs="Times New Roman"/>
        </w:rPr>
        <w:t>ed</w:t>
      </w:r>
      <w:proofErr w:type="spellEnd"/>
      <w:r w:rsidRPr="000933B9">
        <w:rPr>
          <w:rFonts w:ascii="Times New Roman" w:hAnsi="Times New Roman" w:cs="Times New Roman"/>
        </w:rPr>
        <w:t xml:space="preserve">). </w:t>
      </w:r>
      <w:r w:rsidRPr="000933B9">
        <w:rPr>
          <w:rFonts w:ascii="Times New Roman" w:hAnsi="Times New Roman" w:cs="Times New Roman"/>
          <w:i/>
        </w:rPr>
        <w:t>Princip subsidiarity v právní teorii a praxi.</w:t>
      </w:r>
      <w:r w:rsidRPr="000933B9">
        <w:rPr>
          <w:rFonts w:ascii="Times New Roman" w:hAnsi="Times New Roman" w:cs="Times New Roman"/>
        </w:rPr>
        <w:t xml:space="preserve"> Praha: CEVRO Institut, 2007, s. 91. A k prá</w:t>
      </w:r>
      <w:r>
        <w:rPr>
          <w:rFonts w:ascii="Times New Roman" w:hAnsi="Times New Roman" w:cs="Times New Roman"/>
        </w:rPr>
        <w:t>vnímu rozměru viz tamtéž, s. 92-</w:t>
      </w:r>
      <w:r w:rsidRPr="000933B9">
        <w:rPr>
          <w:rFonts w:ascii="Times New Roman" w:hAnsi="Times New Roman" w:cs="Times New Roman"/>
        </w:rPr>
        <w:t>94.</w:t>
      </w:r>
    </w:p>
  </w:footnote>
  <w:footnote w:id="118">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Pr>
          <w:rFonts w:ascii="Times New Roman" w:hAnsi="Times New Roman" w:cs="Times New Roman"/>
        </w:rPr>
        <w:t>Viz čl. 263 a 264 SFEU a čl. 8 protokolu č. 2. A v</w:t>
      </w:r>
      <w:r w:rsidRPr="00D77341">
        <w:rPr>
          <w:rFonts w:ascii="Times New Roman" w:hAnsi="Times New Roman" w:cs="Times New Roman"/>
        </w:rPr>
        <w:t xml:space="preserve">iz </w:t>
      </w:r>
      <w:r>
        <w:rPr>
          <w:rFonts w:ascii="Times New Roman" w:hAnsi="Times New Roman" w:cs="Times New Roman"/>
        </w:rPr>
        <w:t xml:space="preserve">také </w:t>
      </w:r>
      <w:r w:rsidRPr="00D77341">
        <w:rPr>
          <w:rFonts w:ascii="Times New Roman" w:hAnsi="Times New Roman" w:cs="Times New Roman"/>
        </w:rPr>
        <w:t xml:space="preserve">BŘICHÁČEK, Tomáš. </w:t>
      </w:r>
      <w:r w:rsidRPr="00112F0E">
        <w:rPr>
          <w:rFonts w:ascii="Times New Roman" w:hAnsi="Times New Roman" w:cs="Times New Roman"/>
          <w:i/>
        </w:rPr>
        <w:t>Unie blízká i vzdálená</w:t>
      </w:r>
      <w:r w:rsidRPr="00D77341">
        <w:rPr>
          <w:rFonts w:ascii="Times New Roman" w:hAnsi="Times New Roman" w:cs="Times New Roman"/>
        </w:rPr>
        <w:t xml:space="preserve">. Praha: Institut Václava Klause, 2014, s. 47. </w:t>
      </w:r>
    </w:p>
  </w:footnote>
  <w:footnote w:id="119">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Blíže viz </w:t>
      </w:r>
      <w:r>
        <w:rPr>
          <w:rFonts w:ascii="Times New Roman" w:hAnsi="Times New Roman" w:cs="Times New Roman"/>
        </w:rPr>
        <w:t>KANIOK</w:t>
      </w:r>
      <w:r w:rsidRPr="00B22BA8">
        <w:rPr>
          <w:rFonts w:ascii="Times New Roman" w:hAnsi="Times New Roman" w:cs="Times New Roman"/>
        </w:rPr>
        <w:t xml:space="preserve">: </w:t>
      </w:r>
      <w:r w:rsidRPr="00DF4F8E">
        <w:rPr>
          <w:rFonts w:ascii="Times New Roman" w:hAnsi="Times New Roman" w:cs="Times New Roman"/>
          <w:i/>
        </w:rPr>
        <w:t>Národní…</w:t>
      </w:r>
      <w:r>
        <w:rPr>
          <w:rFonts w:ascii="Times New Roman" w:hAnsi="Times New Roman" w:cs="Times New Roman"/>
        </w:rPr>
        <w:t>, s.</w:t>
      </w:r>
      <w:r w:rsidRPr="00D77341">
        <w:rPr>
          <w:rFonts w:ascii="Times New Roman" w:hAnsi="Times New Roman" w:cs="Times New Roman"/>
        </w:rPr>
        <w:t xml:space="preserve"> 10-11.</w:t>
      </w:r>
    </w:p>
  </w:footnote>
  <w:footnote w:id="120">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Pr>
          <w:rFonts w:ascii="Times New Roman" w:hAnsi="Times New Roman" w:cs="Times New Roman"/>
        </w:rPr>
        <w:t xml:space="preserve">Viz </w:t>
      </w:r>
      <w:r w:rsidRPr="0047685F">
        <w:rPr>
          <w:rFonts w:ascii="Times New Roman" w:hAnsi="Times New Roman" w:cs="Times New Roman"/>
        </w:rPr>
        <w:t xml:space="preserve">ESTELLA: </w:t>
      </w:r>
      <w:proofErr w:type="spellStart"/>
      <w:r w:rsidRPr="0047685F">
        <w:rPr>
          <w:rFonts w:ascii="Times New Roman" w:hAnsi="Times New Roman" w:cs="Times New Roman"/>
          <w:i/>
        </w:rPr>
        <w:t>The</w:t>
      </w:r>
      <w:proofErr w:type="spellEnd"/>
      <w:r w:rsidRPr="0047685F">
        <w:rPr>
          <w:rFonts w:ascii="Times New Roman" w:hAnsi="Times New Roman" w:cs="Times New Roman"/>
          <w:i/>
        </w:rPr>
        <w:t xml:space="preserve"> EU…</w:t>
      </w:r>
      <w:r>
        <w:rPr>
          <w:rFonts w:ascii="Times New Roman" w:hAnsi="Times New Roman" w:cs="Times New Roman"/>
        </w:rPr>
        <w:t xml:space="preserve">, </w:t>
      </w:r>
      <w:r w:rsidRPr="00D77341">
        <w:rPr>
          <w:rFonts w:ascii="Times New Roman" w:hAnsi="Times New Roman" w:cs="Times New Roman"/>
        </w:rPr>
        <w:t>s. 106.</w:t>
      </w:r>
    </w:p>
  </w:footnote>
  <w:footnote w:id="121">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Pr>
          <w:rFonts w:ascii="Times New Roman" w:hAnsi="Times New Roman" w:cs="Times New Roman"/>
        </w:rPr>
        <w:t>Viz t</w:t>
      </w:r>
      <w:r w:rsidRPr="00D77341">
        <w:rPr>
          <w:rFonts w:ascii="Times New Roman" w:hAnsi="Times New Roman" w:cs="Times New Roman"/>
        </w:rPr>
        <w:t>amtéž, s. 114.</w:t>
      </w:r>
    </w:p>
  </w:footnote>
  <w:footnote w:id="122">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Pr>
          <w:rFonts w:ascii="Times New Roman" w:hAnsi="Times New Roman" w:cs="Times New Roman"/>
        </w:rPr>
        <w:t>Viz čl.</w:t>
      </w:r>
      <w:r w:rsidRPr="00D77341">
        <w:rPr>
          <w:rFonts w:ascii="Times New Roman" w:hAnsi="Times New Roman" w:cs="Times New Roman"/>
        </w:rPr>
        <w:t xml:space="preserve"> 4 protokolu č.</w:t>
      </w:r>
      <w:r>
        <w:rPr>
          <w:rFonts w:ascii="Times New Roman" w:hAnsi="Times New Roman" w:cs="Times New Roman"/>
        </w:rPr>
        <w:t xml:space="preserve"> </w:t>
      </w:r>
      <w:r w:rsidRPr="00D77341">
        <w:rPr>
          <w:rFonts w:ascii="Times New Roman" w:hAnsi="Times New Roman" w:cs="Times New Roman"/>
        </w:rPr>
        <w:t>2</w:t>
      </w:r>
    </w:p>
  </w:footnote>
  <w:footnote w:id="123">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Pr>
          <w:rFonts w:ascii="Times New Roman" w:hAnsi="Times New Roman" w:cs="Times New Roman"/>
        </w:rPr>
        <w:t>Viz č</w:t>
      </w:r>
      <w:r w:rsidRPr="00D77341">
        <w:rPr>
          <w:rFonts w:ascii="Times New Roman" w:hAnsi="Times New Roman" w:cs="Times New Roman"/>
        </w:rPr>
        <w:t>l. 5 protokolu č. 2</w:t>
      </w:r>
    </w:p>
  </w:footnote>
  <w:footnote w:id="124">
    <w:p w:rsidR="00076524" w:rsidRPr="00D77341" w:rsidRDefault="00076524" w:rsidP="00A5456B">
      <w:pPr>
        <w:pStyle w:val="Textpoznpodarou"/>
        <w:jc w:val="both"/>
        <w:rPr>
          <w:rFonts w:ascii="Times New Roman" w:hAnsi="Times New Roman" w:cs="Times New Roman"/>
        </w:rPr>
      </w:pPr>
      <w:r w:rsidRPr="00D77341">
        <w:rPr>
          <w:rStyle w:val="Znakapoznpodarou"/>
          <w:rFonts w:ascii="Times New Roman" w:hAnsi="Times New Roman" w:cs="Times New Roman"/>
        </w:rPr>
        <w:footnoteRef/>
      </w:r>
      <w:r w:rsidRPr="00D77341">
        <w:rPr>
          <w:rFonts w:ascii="Times New Roman" w:hAnsi="Times New Roman" w:cs="Times New Roman"/>
        </w:rPr>
        <w:t xml:space="preserve"> </w:t>
      </w:r>
      <w:r w:rsidRPr="00C677B4">
        <w:rPr>
          <w:rFonts w:ascii="Times New Roman" w:hAnsi="Times New Roman" w:cs="Times New Roman"/>
        </w:rPr>
        <w:t>Nejde</w:t>
      </w:r>
      <w:r w:rsidRPr="00317DD8">
        <w:rPr>
          <w:rFonts w:ascii="Times New Roman" w:hAnsi="Times New Roman" w:cs="Times New Roman"/>
        </w:rPr>
        <w:t xml:space="preserve"> </w:t>
      </w:r>
      <w:r>
        <w:rPr>
          <w:rFonts w:ascii="Times New Roman" w:hAnsi="Times New Roman" w:cs="Times New Roman"/>
        </w:rPr>
        <w:t>ale o tak velkou</w:t>
      </w:r>
      <w:r w:rsidRPr="00317DD8">
        <w:rPr>
          <w:rFonts w:ascii="Times New Roman" w:hAnsi="Times New Roman" w:cs="Times New Roman"/>
        </w:rPr>
        <w:t xml:space="preserve"> novinku</w:t>
      </w:r>
      <w:r w:rsidRPr="00D77341">
        <w:rPr>
          <w:rFonts w:ascii="Times New Roman" w:hAnsi="Times New Roman" w:cs="Times New Roman"/>
        </w:rPr>
        <w:t xml:space="preserve">, parlamenty mohly již dříve přesvědčit vládu, aby žalobu podala. Viz </w:t>
      </w:r>
      <w:r w:rsidRPr="00D46366">
        <w:rPr>
          <w:rFonts w:ascii="Times New Roman" w:hAnsi="Times New Roman" w:cs="Times New Roman"/>
        </w:rPr>
        <w:t>CYGAN</w:t>
      </w:r>
      <w:r>
        <w:rPr>
          <w:rFonts w:ascii="Times New Roman" w:hAnsi="Times New Roman" w:cs="Times New Roman"/>
        </w:rPr>
        <w:t xml:space="preserve">: </w:t>
      </w:r>
      <w:proofErr w:type="spellStart"/>
      <w:r w:rsidRPr="00FB4E0B">
        <w:rPr>
          <w:rFonts w:ascii="Times New Roman" w:hAnsi="Times New Roman" w:cs="Times New Roman"/>
          <w:i/>
        </w:rPr>
        <w:t>National</w:t>
      </w:r>
      <w:proofErr w:type="spellEnd"/>
      <w:r w:rsidRPr="00FB4E0B">
        <w:rPr>
          <w:rFonts w:ascii="Times New Roman" w:hAnsi="Times New Roman" w:cs="Times New Roman"/>
          <w:i/>
        </w:rPr>
        <w:t>…</w:t>
      </w:r>
      <w:r>
        <w:rPr>
          <w:rFonts w:ascii="Times New Roman" w:hAnsi="Times New Roman" w:cs="Times New Roman"/>
        </w:rPr>
        <w:t>, s 526. Pravdou nicméně</w:t>
      </w:r>
      <w:r w:rsidRPr="00D77341">
        <w:rPr>
          <w:rFonts w:ascii="Times New Roman" w:hAnsi="Times New Roman" w:cs="Times New Roman"/>
        </w:rPr>
        <w:t xml:space="preserve"> je, že s navazující vnitrostátní úpravou parlamenty posilují.</w:t>
      </w:r>
      <w:r>
        <w:rPr>
          <w:rFonts w:ascii="Times New Roman" w:hAnsi="Times New Roman" w:cs="Times New Roman"/>
        </w:rPr>
        <w:t xml:space="preserve"> V</w:t>
      </w:r>
      <w:r w:rsidRPr="005A7D0D">
        <w:rPr>
          <w:rFonts w:ascii="Times New Roman" w:hAnsi="Times New Roman" w:cs="Times New Roman"/>
        </w:rPr>
        <w:t xml:space="preserve">iz např. § </w:t>
      </w:r>
      <w:proofErr w:type="gramStart"/>
      <w:r w:rsidRPr="005A7D0D">
        <w:rPr>
          <w:rFonts w:ascii="Times New Roman" w:hAnsi="Times New Roman" w:cs="Times New Roman"/>
        </w:rPr>
        <w:t>119p</w:t>
      </w:r>
      <w:proofErr w:type="gramEnd"/>
      <w:r w:rsidRPr="005A7D0D">
        <w:rPr>
          <w:rFonts w:ascii="Times New Roman" w:hAnsi="Times New Roman" w:cs="Times New Roman"/>
        </w:rPr>
        <w:t>-119s zákona č. 107/1999 Sb., o jednacím řádu Senátu, ve znění pozdějších předpisů</w:t>
      </w:r>
      <w:r>
        <w:rPr>
          <w:rFonts w:ascii="Times New Roman" w:hAnsi="Times New Roman" w:cs="Times New Roman"/>
        </w:rPr>
        <w:t>.</w:t>
      </w:r>
      <w:r w:rsidRPr="00D77341">
        <w:rPr>
          <w:rFonts w:ascii="Times New Roman" w:hAnsi="Times New Roman" w:cs="Times New Roman"/>
        </w:rPr>
        <w:t xml:space="preserve"> Někde je tato úpr</w:t>
      </w:r>
      <w:r>
        <w:rPr>
          <w:rFonts w:ascii="Times New Roman" w:hAnsi="Times New Roman" w:cs="Times New Roman"/>
        </w:rPr>
        <w:t>ava obsažena dokonce na úrovni ústavní</w:t>
      </w:r>
      <w:r w:rsidRPr="00D77341">
        <w:rPr>
          <w:rFonts w:ascii="Times New Roman" w:hAnsi="Times New Roman" w:cs="Times New Roman"/>
        </w:rPr>
        <w:t xml:space="preserve">. Může jít o rozhodnutí parlamentní menšiny či většiny. Viz </w:t>
      </w:r>
      <w:r w:rsidRPr="006D68C1">
        <w:rPr>
          <w:rFonts w:ascii="Times New Roman" w:hAnsi="Times New Roman" w:cs="Times New Roman"/>
        </w:rPr>
        <w:t xml:space="preserve">MOENS, Gabriel, TRONE, John. </w:t>
      </w:r>
      <w:proofErr w:type="spellStart"/>
      <w:r w:rsidRPr="006D68C1">
        <w:rPr>
          <w:rFonts w:ascii="Times New Roman" w:hAnsi="Times New Roman" w:cs="Times New Roman"/>
        </w:rPr>
        <w:t>The</w:t>
      </w:r>
      <w:proofErr w:type="spellEnd"/>
      <w:r w:rsidRPr="006D68C1">
        <w:rPr>
          <w:rFonts w:ascii="Times New Roman" w:hAnsi="Times New Roman" w:cs="Times New Roman"/>
        </w:rPr>
        <w:t xml:space="preserve"> </w:t>
      </w:r>
      <w:proofErr w:type="spellStart"/>
      <w:r w:rsidRPr="006D68C1">
        <w:rPr>
          <w:rFonts w:ascii="Times New Roman" w:hAnsi="Times New Roman" w:cs="Times New Roman"/>
        </w:rPr>
        <w:t>Principle</w:t>
      </w:r>
      <w:proofErr w:type="spellEnd"/>
      <w:r w:rsidRPr="006D68C1">
        <w:rPr>
          <w:rFonts w:ascii="Times New Roman" w:hAnsi="Times New Roman" w:cs="Times New Roman"/>
        </w:rPr>
        <w:t xml:space="preserve"> </w:t>
      </w:r>
      <w:proofErr w:type="spellStart"/>
      <w:r w:rsidRPr="006D68C1">
        <w:rPr>
          <w:rFonts w:ascii="Times New Roman" w:hAnsi="Times New Roman" w:cs="Times New Roman"/>
        </w:rPr>
        <w:t>Of</w:t>
      </w:r>
      <w:proofErr w:type="spellEnd"/>
      <w:r w:rsidRPr="006D68C1">
        <w:rPr>
          <w:rFonts w:ascii="Times New Roman" w:hAnsi="Times New Roman" w:cs="Times New Roman"/>
        </w:rPr>
        <w:t xml:space="preserve"> Subsidiarity In EU </w:t>
      </w:r>
      <w:proofErr w:type="spellStart"/>
      <w:r w:rsidRPr="006D68C1">
        <w:rPr>
          <w:rFonts w:ascii="Times New Roman" w:hAnsi="Times New Roman" w:cs="Times New Roman"/>
        </w:rPr>
        <w:t>Judicial</w:t>
      </w:r>
      <w:proofErr w:type="spellEnd"/>
      <w:r w:rsidRPr="006D68C1">
        <w:rPr>
          <w:rFonts w:ascii="Times New Roman" w:hAnsi="Times New Roman" w:cs="Times New Roman"/>
        </w:rPr>
        <w:t xml:space="preserve"> And </w:t>
      </w:r>
      <w:proofErr w:type="spellStart"/>
      <w:r w:rsidRPr="006D68C1">
        <w:rPr>
          <w:rFonts w:ascii="Times New Roman" w:hAnsi="Times New Roman" w:cs="Times New Roman"/>
        </w:rPr>
        <w:t>Legislative</w:t>
      </w:r>
      <w:proofErr w:type="spellEnd"/>
      <w:r w:rsidRPr="006D68C1">
        <w:rPr>
          <w:rFonts w:ascii="Times New Roman" w:hAnsi="Times New Roman" w:cs="Times New Roman"/>
        </w:rPr>
        <w:t xml:space="preserve"> </w:t>
      </w:r>
      <w:proofErr w:type="spellStart"/>
      <w:r w:rsidRPr="006D68C1">
        <w:rPr>
          <w:rFonts w:ascii="Times New Roman" w:hAnsi="Times New Roman" w:cs="Times New Roman"/>
        </w:rPr>
        <w:t>Practice</w:t>
      </w:r>
      <w:proofErr w:type="spellEnd"/>
      <w:r w:rsidRPr="006D68C1">
        <w:rPr>
          <w:rFonts w:ascii="Times New Roman" w:hAnsi="Times New Roman" w:cs="Times New Roman"/>
        </w:rPr>
        <w:t xml:space="preserve">: </w:t>
      </w:r>
      <w:proofErr w:type="spellStart"/>
      <w:r w:rsidRPr="006D68C1">
        <w:rPr>
          <w:rFonts w:ascii="Times New Roman" w:hAnsi="Times New Roman" w:cs="Times New Roman"/>
        </w:rPr>
        <w:t>Panacea</w:t>
      </w:r>
      <w:proofErr w:type="spellEnd"/>
      <w:r w:rsidRPr="006D68C1">
        <w:rPr>
          <w:rFonts w:ascii="Times New Roman" w:hAnsi="Times New Roman" w:cs="Times New Roman"/>
        </w:rPr>
        <w:t xml:space="preserve"> Or Placebo? </w:t>
      </w:r>
      <w:proofErr w:type="spellStart"/>
      <w:r w:rsidRPr="005C3EC3">
        <w:rPr>
          <w:rFonts w:ascii="Times New Roman" w:hAnsi="Times New Roman" w:cs="Times New Roman"/>
          <w:i/>
        </w:rPr>
        <w:t>Journal</w:t>
      </w:r>
      <w:proofErr w:type="spellEnd"/>
      <w:r w:rsidRPr="005C3EC3">
        <w:rPr>
          <w:rFonts w:ascii="Times New Roman" w:hAnsi="Times New Roman" w:cs="Times New Roman"/>
          <w:i/>
        </w:rPr>
        <w:t xml:space="preserve"> </w:t>
      </w:r>
      <w:proofErr w:type="spellStart"/>
      <w:r w:rsidRPr="005C3EC3">
        <w:rPr>
          <w:rFonts w:ascii="Times New Roman" w:hAnsi="Times New Roman" w:cs="Times New Roman"/>
          <w:i/>
        </w:rPr>
        <w:t>of</w:t>
      </w:r>
      <w:proofErr w:type="spellEnd"/>
      <w:r w:rsidRPr="005C3EC3">
        <w:rPr>
          <w:rFonts w:ascii="Times New Roman" w:hAnsi="Times New Roman" w:cs="Times New Roman"/>
          <w:i/>
        </w:rPr>
        <w:t xml:space="preserve"> </w:t>
      </w:r>
      <w:proofErr w:type="spellStart"/>
      <w:r w:rsidRPr="005C3EC3">
        <w:rPr>
          <w:rFonts w:ascii="Times New Roman" w:hAnsi="Times New Roman" w:cs="Times New Roman"/>
          <w:i/>
        </w:rPr>
        <w:t>Legislation</w:t>
      </w:r>
      <w:proofErr w:type="spellEnd"/>
      <w:r>
        <w:rPr>
          <w:rFonts w:ascii="Times New Roman" w:hAnsi="Times New Roman" w:cs="Times New Roman"/>
        </w:rPr>
        <w:t xml:space="preserve">, 2015, vol. 41, </w:t>
      </w:r>
      <w:proofErr w:type="spellStart"/>
      <w:r>
        <w:rPr>
          <w:rFonts w:ascii="Times New Roman" w:hAnsi="Times New Roman" w:cs="Times New Roman"/>
        </w:rPr>
        <w:t>issue</w:t>
      </w:r>
      <w:proofErr w:type="spellEnd"/>
      <w:r>
        <w:rPr>
          <w:rFonts w:ascii="Times New Roman" w:hAnsi="Times New Roman" w:cs="Times New Roman"/>
        </w:rPr>
        <w:t xml:space="preserve"> 1, </w:t>
      </w:r>
      <w:r w:rsidRPr="00D77341">
        <w:rPr>
          <w:rFonts w:ascii="Times New Roman" w:hAnsi="Times New Roman" w:cs="Times New Roman"/>
        </w:rPr>
        <w:t xml:space="preserve">s. 70. </w:t>
      </w:r>
    </w:p>
  </w:footnote>
  <w:footnote w:id="125">
    <w:p w:rsidR="00076524" w:rsidRPr="006A6903" w:rsidRDefault="00076524" w:rsidP="00A5456B">
      <w:pPr>
        <w:pStyle w:val="Odstavecseseznamem"/>
        <w:ind w:left="0"/>
        <w:jc w:val="both"/>
        <w:rPr>
          <w:rFonts w:ascii="Times New Roman" w:eastAsia="Times New Roman" w:hAnsi="Times New Roman" w:cs="Times New Roman"/>
          <w:color w:val="000000"/>
          <w:sz w:val="20"/>
          <w:szCs w:val="20"/>
          <w:lang w:eastAsia="cs-CZ"/>
        </w:rPr>
      </w:pPr>
      <w:r w:rsidRPr="006A690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Viz např. </w:t>
      </w:r>
      <w:r w:rsidRPr="00E01EA2">
        <w:rPr>
          <w:rFonts w:ascii="Times New Roman" w:hAnsi="Times New Roman" w:cs="Times New Roman"/>
          <w:sz w:val="20"/>
          <w:szCs w:val="20"/>
        </w:rPr>
        <w:t xml:space="preserve">TLAMYCHA: </w:t>
      </w:r>
      <w:r w:rsidRPr="00E01EA2">
        <w:rPr>
          <w:rFonts w:ascii="Times New Roman" w:hAnsi="Times New Roman" w:cs="Times New Roman"/>
          <w:i/>
          <w:sz w:val="20"/>
          <w:szCs w:val="20"/>
        </w:rPr>
        <w:t>Soudní...,</w:t>
      </w:r>
      <w:r w:rsidRPr="006A6903">
        <w:rPr>
          <w:rFonts w:ascii="Times New Roman" w:hAnsi="Times New Roman" w:cs="Times New Roman"/>
          <w:sz w:val="20"/>
          <w:szCs w:val="20"/>
        </w:rPr>
        <w:t xml:space="preserve"> s. 103</w:t>
      </w:r>
      <w:r>
        <w:rPr>
          <w:rFonts w:ascii="Times New Roman" w:hAnsi="Times New Roman" w:cs="Times New Roman"/>
          <w:sz w:val="20"/>
          <w:szCs w:val="20"/>
        </w:rPr>
        <w:t xml:space="preserve">. Dále viz </w:t>
      </w:r>
      <w:r w:rsidRPr="00901BF7">
        <w:rPr>
          <w:rFonts w:ascii="Times New Roman" w:hAnsi="Times New Roman" w:cs="Times New Roman"/>
          <w:sz w:val="20"/>
          <w:szCs w:val="20"/>
        </w:rPr>
        <w:t xml:space="preserve">BŘICHÁČEK, Tomáš. Přístup Evropského soudního dvora k principu subsidiarity. </w:t>
      </w:r>
      <w:r w:rsidRPr="002B16FE">
        <w:rPr>
          <w:rFonts w:ascii="Times New Roman" w:hAnsi="Times New Roman" w:cs="Times New Roman"/>
          <w:i/>
          <w:sz w:val="20"/>
          <w:szCs w:val="20"/>
        </w:rPr>
        <w:t>Právník</w:t>
      </w:r>
      <w:r w:rsidRPr="00901BF7">
        <w:rPr>
          <w:rFonts w:ascii="Times New Roman" w:hAnsi="Times New Roman" w:cs="Times New Roman"/>
          <w:sz w:val="20"/>
          <w:szCs w:val="20"/>
        </w:rPr>
        <w:t>, 2008, č. 2, s.</w:t>
      </w:r>
      <w:r>
        <w:rPr>
          <w:rFonts w:ascii="Times New Roman" w:hAnsi="Times New Roman" w:cs="Times New Roman"/>
          <w:sz w:val="20"/>
          <w:szCs w:val="20"/>
        </w:rPr>
        <w:t xml:space="preserve"> 154-156.</w:t>
      </w:r>
      <w:r w:rsidRPr="00901BF7">
        <w:rPr>
          <w:rFonts w:ascii="Times New Roman" w:hAnsi="Times New Roman" w:cs="Times New Roman"/>
          <w:sz w:val="20"/>
          <w:szCs w:val="20"/>
        </w:rPr>
        <w:t xml:space="preserve"> </w:t>
      </w:r>
    </w:p>
  </w:footnote>
  <w:footnote w:id="126">
    <w:p w:rsidR="00076524" w:rsidRPr="006A6903" w:rsidRDefault="00076524" w:rsidP="00A5456B">
      <w:pPr>
        <w:pStyle w:val="Odstavecseseznamem"/>
        <w:ind w:left="0"/>
        <w:jc w:val="both"/>
        <w:rPr>
          <w:rFonts w:ascii="Times New Roman" w:hAnsi="Times New Roman" w:cs="Times New Roman"/>
          <w:sz w:val="20"/>
          <w:szCs w:val="20"/>
        </w:rPr>
      </w:pPr>
      <w:r w:rsidRPr="006A690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Viz např. </w:t>
      </w:r>
      <w:r w:rsidRPr="00545785">
        <w:rPr>
          <w:rFonts w:ascii="Times New Roman" w:hAnsi="Times New Roman" w:cs="Times New Roman"/>
          <w:sz w:val="20"/>
          <w:szCs w:val="20"/>
        </w:rPr>
        <w:t>MO</w:t>
      </w:r>
      <w:r>
        <w:rPr>
          <w:rFonts w:ascii="Times New Roman" w:hAnsi="Times New Roman" w:cs="Times New Roman"/>
          <w:sz w:val="20"/>
          <w:szCs w:val="20"/>
        </w:rPr>
        <w:t xml:space="preserve">ENS, TRONE: </w:t>
      </w:r>
      <w:proofErr w:type="spellStart"/>
      <w:r w:rsidRPr="00B55FB4">
        <w:rPr>
          <w:rFonts w:ascii="Times New Roman" w:hAnsi="Times New Roman" w:cs="Times New Roman"/>
          <w:i/>
          <w:sz w:val="20"/>
          <w:szCs w:val="20"/>
        </w:rPr>
        <w:t>The</w:t>
      </w:r>
      <w:proofErr w:type="spellEnd"/>
      <w:r w:rsidRPr="00B55FB4">
        <w:rPr>
          <w:rFonts w:ascii="Times New Roman" w:hAnsi="Times New Roman" w:cs="Times New Roman"/>
          <w:i/>
          <w:sz w:val="20"/>
          <w:szCs w:val="20"/>
        </w:rPr>
        <w:t xml:space="preserve"> </w:t>
      </w:r>
      <w:proofErr w:type="spellStart"/>
      <w:r w:rsidRPr="00B55FB4">
        <w:rPr>
          <w:rFonts w:ascii="Times New Roman" w:hAnsi="Times New Roman" w:cs="Times New Roman"/>
          <w:i/>
          <w:sz w:val="20"/>
          <w:szCs w:val="20"/>
        </w:rPr>
        <w:t>Principle</w:t>
      </w:r>
      <w:proofErr w:type="spellEnd"/>
      <w:r w:rsidRPr="00B55FB4">
        <w:rPr>
          <w:rFonts w:ascii="Times New Roman" w:hAnsi="Times New Roman" w:cs="Times New Roman"/>
          <w:i/>
          <w:sz w:val="20"/>
          <w:szCs w:val="20"/>
        </w:rPr>
        <w:t>...,</w:t>
      </w:r>
      <w:r w:rsidRPr="006A6903">
        <w:rPr>
          <w:rFonts w:ascii="Times New Roman" w:hAnsi="Times New Roman" w:cs="Times New Roman"/>
          <w:sz w:val="20"/>
          <w:szCs w:val="20"/>
        </w:rPr>
        <w:t xml:space="preserve"> s. 72</w:t>
      </w:r>
      <w:r>
        <w:rPr>
          <w:rFonts w:ascii="Times New Roman" w:hAnsi="Times New Roman" w:cs="Times New Roman"/>
          <w:sz w:val="20"/>
          <w:szCs w:val="20"/>
        </w:rPr>
        <w:t>.</w:t>
      </w:r>
    </w:p>
  </w:footnote>
  <w:footnote w:id="127">
    <w:p w:rsidR="00076524" w:rsidRPr="006A6903" w:rsidRDefault="00076524" w:rsidP="00A5456B">
      <w:pPr>
        <w:pStyle w:val="Odstavecseseznamem"/>
        <w:ind w:left="0"/>
        <w:jc w:val="both"/>
        <w:rPr>
          <w:rFonts w:ascii="Times New Roman" w:hAnsi="Times New Roman" w:cs="Times New Roman"/>
          <w:sz w:val="20"/>
          <w:szCs w:val="20"/>
        </w:rPr>
      </w:pPr>
      <w:r w:rsidRPr="006A690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Viz </w:t>
      </w:r>
      <w:r w:rsidRPr="009C40C7">
        <w:rPr>
          <w:rFonts w:ascii="Times New Roman" w:hAnsi="Times New Roman" w:cs="Times New Roman"/>
          <w:sz w:val="20"/>
          <w:szCs w:val="20"/>
        </w:rPr>
        <w:t xml:space="preserve">BŘICHÁČEK: </w:t>
      </w:r>
      <w:r w:rsidRPr="009C40C7">
        <w:rPr>
          <w:rFonts w:ascii="Times New Roman" w:hAnsi="Times New Roman" w:cs="Times New Roman"/>
          <w:i/>
          <w:sz w:val="20"/>
          <w:szCs w:val="20"/>
        </w:rPr>
        <w:t>Unie...,</w:t>
      </w:r>
      <w:r>
        <w:rPr>
          <w:rFonts w:ascii="Times New Roman" w:hAnsi="Times New Roman" w:cs="Times New Roman"/>
          <w:sz w:val="20"/>
          <w:szCs w:val="20"/>
        </w:rPr>
        <w:t xml:space="preserve"> </w:t>
      </w:r>
      <w:r w:rsidRPr="006A6903">
        <w:rPr>
          <w:rFonts w:ascii="Times New Roman" w:hAnsi="Times New Roman" w:cs="Times New Roman"/>
          <w:sz w:val="20"/>
          <w:szCs w:val="20"/>
        </w:rPr>
        <w:t>s.</w:t>
      </w:r>
      <w:r>
        <w:rPr>
          <w:rFonts w:ascii="Times New Roman" w:hAnsi="Times New Roman" w:cs="Times New Roman"/>
          <w:sz w:val="20"/>
          <w:szCs w:val="20"/>
        </w:rPr>
        <w:t xml:space="preserve"> </w:t>
      </w:r>
      <w:r w:rsidRPr="006A6903">
        <w:rPr>
          <w:rFonts w:ascii="Times New Roman" w:hAnsi="Times New Roman" w:cs="Times New Roman"/>
          <w:sz w:val="20"/>
          <w:szCs w:val="20"/>
        </w:rPr>
        <w:t>49.</w:t>
      </w:r>
    </w:p>
  </w:footnote>
  <w:footnote w:id="128">
    <w:p w:rsidR="00076524" w:rsidRPr="001C22E5" w:rsidRDefault="00076524" w:rsidP="004632B0">
      <w:pPr>
        <w:pStyle w:val="Odstavecseseznamem"/>
        <w:spacing w:after="0"/>
        <w:ind w:left="0"/>
        <w:jc w:val="both"/>
        <w:rPr>
          <w:rFonts w:ascii="Times New Roman" w:hAnsi="Times New Roman" w:cs="Times New Roman"/>
          <w:sz w:val="20"/>
          <w:szCs w:val="20"/>
        </w:rPr>
      </w:pPr>
      <w:r w:rsidRPr="006A690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Tamtéž, s.</w:t>
      </w:r>
      <w:r w:rsidRPr="006A6903">
        <w:rPr>
          <w:rFonts w:ascii="Times New Roman" w:hAnsi="Times New Roman" w:cs="Times New Roman"/>
          <w:sz w:val="20"/>
          <w:szCs w:val="20"/>
        </w:rPr>
        <w:t xml:space="preserve"> 49. Slovo „nijak“ v Břicháčkově hodnocení bychom spíše nahradili slovem „příliš“. </w:t>
      </w:r>
      <w:r>
        <w:rPr>
          <w:rFonts w:ascii="Times New Roman" w:hAnsi="Times New Roman" w:cs="Times New Roman"/>
          <w:sz w:val="20"/>
          <w:szCs w:val="20"/>
        </w:rPr>
        <w:t>Pokud jde o bližší zkoumání zásady subsidiarity, srov. např. Stanovisko generálního advokáta</w:t>
      </w:r>
      <w:r w:rsidRPr="006A6903">
        <w:rPr>
          <w:rFonts w:ascii="Times New Roman" w:hAnsi="Times New Roman" w:cs="Times New Roman"/>
          <w:sz w:val="20"/>
          <w:szCs w:val="20"/>
        </w:rPr>
        <w:t xml:space="preserve"> </w:t>
      </w:r>
      <w:r>
        <w:rPr>
          <w:rFonts w:ascii="Times New Roman" w:hAnsi="Times New Roman" w:cs="Times New Roman"/>
          <w:sz w:val="20"/>
          <w:szCs w:val="20"/>
        </w:rPr>
        <w:t xml:space="preserve">ze dne 1. října 2009, </w:t>
      </w:r>
      <w:r w:rsidRPr="001B2BF3">
        <w:rPr>
          <w:rFonts w:ascii="Times New Roman" w:hAnsi="Times New Roman" w:cs="Times New Roman"/>
          <w:i/>
          <w:sz w:val="20"/>
          <w:szCs w:val="20"/>
        </w:rPr>
        <w:t xml:space="preserve">Vodafone Ltd, Telefónica O2 </w:t>
      </w:r>
      <w:proofErr w:type="spellStart"/>
      <w:r w:rsidRPr="001B2BF3">
        <w:rPr>
          <w:rFonts w:ascii="Times New Roman" w:hAnsi="Times New Roman" w:cs="Times New Roman"/>
          <w:i/>
          <w:sz w:val="20"/>
          <w:szCs w:val="20"/>
        </w:rPr>
        <w:t>Europe</w:t>
      </w:r>
      <w:proofErr w:type="spellEnd"/>
      <w:r w:rsidRPr="001B2BF3">
        <w:rPr>
          <w:rFonts w:ascii="Times New Roman" w:hAnsi="Times New Roman" w:cs="Times New Roman"/>
          <w:i/>
          <w:sz w:val="20"/>
          <w:szCs w:val="20"/>
        </w:rPr>
        <w:t xml:space="preserve"> </w:t>
      </w:r>
      <w:proofErr w:type="spellStart"/>
      <w:r w:rsidRPr="001B2BF3">
        <w:rPr>
          <w:rFonts w:ascii="Times New Roman" w:hAnsi="Times New Roman" w:cs="Times New Roman"/>
          <w:i/>
          <w:sz w:val="20"/>
          <w:szCs w:val="20"/>
        </w:rPr>
        <w:t>plc</w:t>
      </w:r>
      <w:proofErr w:type="spellEnd"/>
      <w:r w:rsidRPr="001B2BF3">
        <w:rPr>
          <w:rFonts w:ascii="Times New Roman" w:hAnsi="Times New Roman" w:cs="Times New Roman"/>
          <w:i/>
          <w:sz w:val="20"/>
          <w:szCs w:val="20"/>
        </w:rPr>
        <w:t xml:space="preserve">, T‑Mobile International AG, Orange </w:t>
      </w:r>
      <w:proofErr w:type="spellStart"/>
      <w:r w:rsidRPr="001B2BF3">
        <w:rPr>
          <w:rFonts w:ascii="Times New Roman" w:hAnsi="Times New Roman" w:cs="Times New Roman"/>
          <w:i/>
          <w:sz w:val="20"/>
          <w:szCs w:val="20"/>
        </w:rPr>
        <w:t>Personal</w:t>
      </w:r>
      <w:proofErr w:type="spellEnd"/>
      <w:r w:rsidRPr="001B2BF3">
        <w:rPr>
          <w:rFonts w:ascii="Times New Roman" w:hAnsi="Times New Roman" w:cs="Times New Roman"/>
          <w:i/>
          <w:sz w:val="20"/>
          <w:szCs w:val="20"/>
        </w:rPr>
        <w:t xml:space="preserve"> Communications </w:t>
      </w:r>
      <w:proofErr w:type="spellStart"/>
      <w:r w:rsidRPr="001B2BF3">
        <w:rPr>
          <w:rFonts w:ascii="Times New Roman" w:hAnsi="Times New Roman" w:cs="Times New Roman"/>
          <w:i/>
          <w:sz w:val="20"/>
          <w:szCs w:val="20"/>
        </w:rPr>
        <w:t>Services</w:t>
      </w:r>
      <w:proofErr w:type="spellEnd"/>
      <w:r w:rsidRPr="001B2BF3">
        <w:rPr>
          <w:rFonts w:ascii="Times New Roman" w:hAnsi="Times New Roman" w:cs="Times New Roman"/>
          <w:i/>
          <w:sz w:val="20"/>
          <w:szCs w:val="20"/>
        </w:rPr>
        <w:t xml:space="preserve"> Ltd v </w:t>
      </w:r>
      <w:proofErr w:type="spellStart"/>
      <w:r w:rsidRPr="001B2BF3">
        <w:rPr>
          <w:rFonts w:ascii="Times New Roman" w:hAnsi="Times New Roman" w:cs="Times New Roman"/>
          <w:i/>
          <w:sz w:val="20"/>
          <w:szCs w:val="20"/>
        </w:rPr>
        <w:t>Secretary</w:t>
      </w:r>
      <w:proofErr w:type="spellEnd"/>
      <w:r w:rsidRPr="001B2BF3">
        <w:rPr>
          <w:rFonts w:ascii="Times New Roman" w:hAnsi="Times New Roman" w:cs="Times New Roman"/>
          <w:i/>
          <w:sz w:val="20"/>
          <w:szCs w:val="20"/>
        </w:rPr>
        <w:t xml:space="preserve"> </w:t>
      </w:r>
      <w:proofErr w:type="spellStart"/>
      <w:r w:rsidRPr="001B2BF3">
        <w:rPr>
          <w:rFonts w:ascii="Times New Roman" w:hAnsi="Times New Roman" w:cs="Times New Roman"/>
          <w:i/>
          <w:sz w:val="20"/>
          <w:szCs w:val="20"/>
        </w:rPr>
        <w:t>of</w:t>
      </w:r>
      <w:proofErr w:type="spellEnd"/>
      <w:r w:rsidRPr="001B2BF3">
        <w:rPr>
          <w:rFonts w:ascii="Times New Roman" w:hAnsi="Times New Roman" w:cs="Times New Roman"/>
          <w:i/>
          <w:sz w:val="20"/>
          <w:szCs w:val="20"/>
        </w:rPr>
        <w:t xml:space="preserve"> </w:t>
      </w:r>
      <w:proofErr w:type="spellStart"/>
      <w:r w:rsidRPr="001B2BF3">
        <w:rPr>
          <w:rFonts w:ascii="Times New Roman" w:hAnsi="Times New Roman" w:cs="Times New Roman"/>
          <w:i/>
          <w:sz w:val="20"/>
          <w:szCs w:val="20"/>
        </w:rPr>
        <w:t>State</w:t>
      </w:r>
      <w:proofErr w:type="spellEnd"/>
      <w:r w:rsidRPr="001B2BF3">
        <w:rPr>
          <w:rFonts w:ascii="Times New Roman" w:hAnsi="Times New Roman" w:cs="Times New Roman"/>
          <w:i/>
          <w:sz w:val="20"/>
          <w:szCs w:val="20"/>
        </w:rPr>
        <w:t xml:space="preserve"> </w:t>
      </w:r>
      <w:proofErr w:type="spellStart"/>
      <w:r w:rsidRPr="001B2BF3">
        <w:rPr>
          <w:rFonts w:ascii="Times New Roman" w:hAnsi="Times New Roman" w:cs="Times New Roman"/>
          <w:i/>
          <w:sz w:val="20"/>
          <w:szCs w:val="20"/>
        </w:rPr>
        <w:t>for</w:t>
      </w:r>
      <w:proofErr w:type="spellEnd"/>
      <w:r w:rsidRPr="001B2BF3">
        <w:rPr>
          <w:rFonts w:ascii="Times New Roman" w:hAnsi="Times New Roman" w:cs="Times New Roman"/>
          <w:i/>
          <w:sz w:val="20"/>
          <w:szCs w:val="20"/>
        </w:rPr>
        <w:t xml:space="preserve"> Business, </w:t>
      </w:r>
      <w:proofErr w:type="spellStart"/>
      <w:r w:rsidRPr="001B2BF3">
        <w:rPr>
          <w:rFonts w:ascii="Times New Roman" w:hAnsi="Times New Roman" w:cs="Times New Roman"/>
          <w:i/>
          <w:sz w:val="20"/>
          <w:szCs w:val="20"/>
        </w:rPr>
        <w:t>Enterprise</w:t>
      </w:r>
      <w:proofErr w:type="spellEnd"/>
      <w:r w:rsidRPr="001B2BF3">
        <w:rPr>
          <w:rFonts w:ascii="Times New Roman" w:hAnsi="Times New Roman" w:cs="Times New Roman"/>
          <w:i/>
          <w:sz w:val="20"/>
          <w:szCs w:val="20"/>
        </w:rPr>
        <w:t xml:space="preserve"> and </w:t>
      </w:r>
      <w:proofErr w:type="spellStart"/>
      <w:r w:rsidRPr="001B2BF3">
        <w:rPr>
          <w:rFonts w:ascii="Times New Roman" w:hAnsi="Times New Roman" w:cs="Times New Roman"/>
          <w:i/>
          <w:sz w:val="20"/>
          <w:szCs w:val="20"/>
        </w:rPr>
        <w:t>Regulatory</w:t>
      </w:r>
      <w:proofErr w:type="spellEnd"/>
      <w:r w:rsidRPr="001B2BF3">
        <w:rPr>
          <w:rFonts w:ascii="Times New Roman" w:hAnsi="Times New Roman" w:cs="Times New Roman"/>
          <w:i/>
          <w:sz w:val="20"/>
          <w:szCs w:val="20"/>
        </w:rPr>
        <w:t xml:space="preserve"> </w:t>
      </w:r>
      <w:proofErr w:type="spellStart"/>
      <w:r w:rsidRPr="001B2BF3">
        <w:rPr>
          <w:rFonts w:ascii="Times New Roman" w:hAnsi="Times New Roman" w:cs="Times New Roman"/>
          <w:i/>
          <w:sz w:val="20"/>
          <w:szCs w:val="20"/>
        </w:rPr>
        <w:t>Reform</w:t>
      </w:r>
      <w:proofErr w:type="spellEnd"/>
      <w:r>
        <w:rPr>
          <w:rFonts w:ascii="Times New Roman" w:hAnsi="Times New Roman" w:cs="Times New Roman"/>
          <w:sz w:val="20"/>
          <w:szCs w:val="20"/>
        </w:rPr>
        <w:t xml:space="preserve">, C-58/08, Sb. </w:t>
      </w:r>
      <w:proofErr w:type="spellStart"/>
      <w:r>
        <w:rPr>
          <w:rFonts w:ascii="Times New Roman" w:hAnsi="Times New Roman" w:cs="Times New Roman"/>
          <w:sz w:val="20"/>
          <w:szCs w:val="20"/>
        </w:rPr>
        <w:t>rozh</w:t>
      </w:r>
      <w:proofErr w:type="spellEnd"/>
      <w:r>
        <w:rPr>
          <w:rFonts w:ascii="Times New Roman" w:hAnsi="Times New Roman" w:cs="Times New Roman"/>
          <w:sz w:val="20"/>
          <w:szCs w:val="20"/>
        </w:rPr>
        <w:t xml:space="preserve">. s. </w:t>
      </w:r>
      <w:r w:rsidRPr="00EE60CD">
        <w:rPr>
          <w:rFonts w:ascii="Times New Roman" w:hAnsi="Times New Roman" w:cs="Times New Roman"/>
          <w:sz w:val="20"/>
          <w:szCs w:val="20"/>
        </w:rPr>
        <w:t>I-04999</w:t>
      </w:r>
      <w:r>
        <w:rPr>
          <w:rFonts w:ascii="Times New Roman" w:hAnsi="Times New Roman" w:cs="Times New Roman"/>
          <w:sz w:val="20"/>
          <w:szCs w:val="20"/>
        </w:rPr>
        <w:t>, body 27</w:t>
      </w:r>
      <w:r w:rsidRPr="006A6903">
        <w:rPr>
          <w:rFonts w:ascii="Times New Roman" w:hAnsi="Times New Roman" w:cs="Times New Roman"/>
          <w:sz w:val="20"/>
          <w:szCs w:val="20"/>
        </w:rPr>
        <w:t>-36.</w:t>
      </w:r>
    </w:p>
  </w:footnote>
  <w:footnote w:id="129">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např. Soudní dvůr: Rozsudek ze dne 12. listopadu 1996, </w:t>
      </w:r>
      <w:r w:rsidRPr="002822D3">
        <w:rPr>
          <w:rFonts w:ascii="Times New Roman" w:hAnsi="Times New Roman" w:cs="Times New Roman"/>
          <w:i/>
        </w:rPr>
        <w:t>Spojené království Velké Británie a Severního Irska v Rada Evropské unie</w:t>
      </w:r>
      <w:r w:rsidRPr="002822D3">
        <w:rPr>
          <w:rFonts w:ascii="Times New Roman" w:hAnsi="Times New Roman" w:cs="Times New Roman"/>
        </w:rPr>
        <w:t xml:space="preserve">, C-84/94, Sb. </w:t>
      </w:r>
      <w:proofErr w:type="spellStart"/>
      <w:r w:rsidRPr="002822D3">
        <w:rPr>
          <w:rFonts w:ascii="Times New Roman" w:hAnsi="Times New Roman" w:cs="Times New Roman"/>
        </w:rPr>
        <w:t>rozh</w:t>
      </w:r>
      <w:proofErr w:type="spellEnd"/>
      <w:r w:rsidRPr="002822D3">
        <w:rPr>
          <w:rFonts w:ascii="Times New Roman" w:hAnsi="Times New Roman" w:cs="Times New Roman"/>
        </w:rPr>
        <w:t xml:space="preserve">. s. I-05755, body 46 a 47. Nebo viz např.  Soudní dvůr: Rozsudek ze dne 10. prosince 2002, </w:t>
      </w:r>
      <w:proofErr w:type="spellStart"/>
      <w:r w:rsidRPr="002822D3">
        <w:rPr>
          <w:rFonts w:ascii="Times New Roman" w:hAnsi="Times New Roman" w:cs="Times New Roman"/>
          <w:i/>
        </w:rPr>
        <w:t>The</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Queen</w:t>
      </w:r>
      <w:proofErr w:type="spellEnd"/>
      <w:r w:rsidRPr="002822D3">
        <w:rPr>
          <w:rFonts w:ascii="Times New Roman" w:hAnsi="Times New Roman" w:cs="Times New Roman"/>
          <w:i/>
        </w:rPr>
        <w:t xml:space="preserve"> v </w:t>
      </w:r>
      <w:proofErr w:type="spellStart"/>
      <w:r w:rsidRPr="002822D3">
        <w:rPr>
          <w:rFonts w:ascii="Times New Roman" w:hAnsi="Times New Roman" w:cs="Times New Roman"/>
          <w:i/>
        </w:rPr>
        <w:t>Secretary</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of</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State</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for</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Health</w:t>
      </w:r>
      <w:proofErr w:type="spellEnd"/>
      <w:r w:rsidRPr="002822D3">
        <w:rPr>
          <w:rFonts w:ascii="Times New Roman" w:hAnsi="Times New Roman" w:cs="Times New Roman"/>
          <w:i/>
        </w:rPr>
        <w:t xml:space="preserve">, ex parte </w:t>
      </w:r>
      <w:proofErr w:type="spellStart"/>
      <w:r w:rsidRPr="002822D3">
        <w:rPr>
          <w:rFonts w:ascii="Times New Roman" w:hAnsi="Times New Roman" w:cs="Times New Roman"/>
          <w:i/>
        </w:rPr>
        <w:t>British</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American</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Tobacco</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Investments</w:t>
      </w:r>
      <w:proofErr w:type="spellEnd"/>
      <w:r w:rsidRPr="002822D3">
        <w:rPr>
          <w:rFonts w:ascii="Times New Roman" w:hAnsi="Times New Roman" w:cs="Times New Roman"/>
          <w:i/>
        </w:rPr>
        <w:t xml:space="preserve">) Ltd a </w:t>
      </w:r>
      <w:proofErr w:type="spellStart"/>
      <w:r w:rsidRPr="002822D3">
        <w:rPr>
          <w:rFonts w:ascii="Times New Roman" w:hAnsi="Times New Roman" w:cs="Times New Roman"/>
          <w:i/>
        </w:rPr>
        <w:t>Imperial</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Tobacco</w:t>
      </w:r>
      <w:proofErr w:type="spellEnd"/>
      <w:r w:rsidRPr="002822D3">
        <w:rPr>
          <w:rFonts w:ascii="Times New Roman" w:hAnsi="Times New Roman" w:cs="Times New Roman"/>
          <w:i/>
        </w:rPr>
        <w:t xml:space="preserve"> Ltd</w:t>
      </w:r>
      <w:r w:rsidRPr="002822D3">
        <w:rPr>
          <w:rFonts w:ascii="Times New Roman" w:hAnsi="Times New Roman" w:cs="Times New Roman"/>
        </w:rPr>
        <w:t>, C-491/01, S</w:t>
      </w:r>
      <w:r>
        <w:rPr>
          <w:rFonts w:ascii="Times New Roman" w:hAnsi="Times New Roman" w:cs="Times New Roman"/>
        </w:rPr>
        <w:t xml:space="preserve">b. </w:t>
      </w:r>
      <w:proofErr w:type="spellStart"/>
      <w:r>
        <w:rPr>
          <w:rFonts w:ascii="Times New Roman" w:hAnsi="Times New Roman" w:cs="Times New Roman"/>
        </w:rPr>
        <w:t>rozh</w:t>
      </w:r>
      <w:proofErr w:type="spellEnd"/>
      <w:r>
        <w:rPr>
          <w:rFonts w:ascii="Times New Roman" w:hAnsi="Times New Roman" w:cs="Times New Roman"/>
        </w:rPr>
        <w:t>. s. I-11453, body 180-</w:t>
      </w:r>
      <w:r w:rsidRPr="002822D3">
        <w:rPr>
          <w:rFonts w:ascii="Times New Roman" w:hAnsi="Times New Roman" w:cs="Times New Roman"/>
        </w:rPr>
        <w:t>185.</w:t>
      </w:r>
    </w:p>
  </w:footnote>
  <w:footnote w:id="130">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např. Soudní dvůr: Rozsudek ze dne 13. května 1997, </w:t>
      </w:r>
      <w:r w:rsidRPr="002822D3">
        <w:rPr>
          <w:rFonts w:ascii="Times New Roman" w:hAnsi="Times New Roman" w:cs="Times New Roman"/>
          <w:i/>
        </w:rPr>
        <w:t>Spolková republika Německo v Evropský parlament a Rada Evropské unie</w:t>
      </w:r>
      <w:r w:rsidRPr="002822D3">
        <w:rPr>
          <w:rFonts w:ascii="Times New Roman" w:hAnsi="Times New Roman" w:cs="Times New Roman"/>
        </w:rPr>
        <w:t xml:space="preserve">, C-233/94, Sb. </w:t>
      </w:r>
      <w:proofErr w:type="spellStart"/>
      <w:r w:rsidRPr="002822D3">
        <w:rPr>
          <w:rFonts w:ascii="Times New Roman" w:hAnsi="Times New Roman" w:cs="Times New Roman"/>
        </w:rPr>
        <w:t>rozh</w:t>
      </w:r>
      <w:proofErr w:type="spellEnd"/>
      <w:r w:rsidRPr="002822D3">
        <w:rPr>
          <w:rFonts w:ascii="Times New Roman" w:hAnsi="Times New Roman" w:cs="Times New Roman"/>
        </w:rPr>
        <w:t>. s. I-02405, body 22-24 a 26-28.</w:t>
      </w:r>
    </w:p>
  </w:footnote>
  <w:footnote w:id="131">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např. BARTON: </w:t>
      </w:r>
      <w:r w:rsidRPr="002822D3">
        <w:rPr>
          <w:rFonts w:ascii="Times New Roman" w:hAnsi="Times New Roman" w:cs="Times New Roman"/>
          <w:i/>
        </w:rPr>
        <w:t xml:space="preserve">An </w:t>
      </w:r>
      <w:proofErr w:type="spellStart"/>
      <w:r w:rsidRPr="002822D3">
        <w:rPr>
          <w:rFonts w:ascii="Times New Roman" w:hAnsi="Times New Roman" w:cs="Times New Roman"/>
          <w:i/>
        </w:rPr>
        <w:t>Analysis</w:t>
      </w:r>
      <w:proofErr w:type="spellEnd"/>
      <w:r w:rsidRPr="002822D3">
        <w:rPr>
          <w:rFonts w:ascii="Times New Roman" w:hAnsi="Times New Roman" w:cs="Times New Roman"/>
          <w:i/>
        </w:rPr>
        <w:t>...,</w:t>
      </w:r>
      <w:r w:rsidRPr="002822D3">
        <w:rPr>
          <w:rFonts w:ascii="Times New Roman" w:hAnsi="Times New Roman" w:cs="Times New Roman"/>
        </w:rPr>
        <w:t xml:space="preserve"> s. 85-87.</w:t>
      </w:r>
    </w:p>
  </w:footnote>
  <w:footnote w:id="132">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např. SCHEU: </w:t>
      </w:r>
      <w:r w:rsidRPr="002822D3">
        <w:rPr>
          <w:rFonts w:ascii="Times New Roman" w:hAnsi="Times New Roman" w:cs="Times New Roman"/>
          <w:i/>
        </w:rPr>
        <w:t>Princip...</w:t>
      </w:r>
      <w:r w:rsidRPr="002822D3">
        <w:rPr>
          <w:rFonts w:ascii="Times New Roman" w:hAnsi="Times New Roman" w:cs="Times New Roman"/>
        </w:rPr>
        <w:t>, s. 49.</w:t>
      </w:r>
    </w:p>
  </w:footnote>
  <w:footnote w:id="133">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KIIVER: </w:t>
      </w:r>
      <w:proofErr w:type="spellStart"/>
      <w:r w:rsidRPr="002822D3">
        <w:rPr>
          <w:rFonts w:ascii="Times New Roman" w:hAnsi="Times New Roman" w:cs="Times New Roman"/>
          <w:i/>
        </w:rPr>
        <w:t>The</w:t>
      </w:r>
      <w:proofErr w:type="spellEnd"/>
      <w:r w:rsidRPr="002822D3">
        <w:rPr>
          <w:rFonts w:ascii="Times New Roman" w:hAnsi="Times New Roman" w:cs="Times New Roman"/>
          <w:i/>
        </w:rPr>
        <w:t xml:space="preserve"> Early…</w:t>
      </w:r>
      <w:r w:rsidRPr="002822D3">
        <w:rPr>
          <w:rFonts w:ascii="Times New Roman" w:hAnsi="Times New Roman" w:cs="Times New Roman"/>
        </w:rPr>
        <w:t>, s. 72.</w:t>
      </w:r>
    </w:p>
  </w:footnote>
  <w:footnote w:id="134">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MOENS, TRONE: </w:t>
      </w:r>
      <w:proofErr w:type="spellStart"/>
      <w:r w:rsidRPr="002822D3">
        <w:rPr>
          <w:rFonts w:ascii="Times New Roman" w:hAnsi="Times New Roman" w:cs="Times New Roman"/>
          <w:i/>
        </w:rPr>
        <w:t>The</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Principle</w:t>
      </w:r>
      <w:proofErr w:type="spellEnd"/>
      <w:r w:rsidRPr="002822D3">
        <w:rPr>
          <w:rFonts w:ascii="Times New Roman" w:hAnsi="Times New Roman" w:cs="Times New Roman"/>
          <w:i/>
        </w:rPr>
        <w:t>...,</w:t>
      </w:r>
      <w:r w:rsidRPr="002822D3">
        <w:rPr>
          <w:rFonts w:ascii="Times New Roman" w:hAnsi="Times New Roman" w:cs="Times New Roman"/>
        </w:rPr>
        <w:t xml:space="preserve"> s. 81-83. Dále viz např. DE BÚRCA, </w:t>
      </w:r>
      <w:proofErr w:type="spellStart"/>
      <w:r w:rsidRPr="002822D3">
        <w:rPr>
          <w:rFonts w:ascii="Times New Roman" w:hAnsi="Times New Roman" w:cs="Times New Roman"/>
        </w:rPr>
        <w:t>Gráinne</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The</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Principle</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of</w:t>
      </w:r>
      <w:proofErr w:type="spellEnd"/>
      <w:r w:rsidRPr="002822D3">
        <w:rPr>
          <w:rFonts w:ascii="Times New Roman" w:hAnsi="Times New Roman" w:cs="Times New Roman"/>
        </w:rPr>
        <w:t xml:space="preserve"> Subsidiarity and </w:t>
      </w:r>
      <w:proofErr w:type="spellStart"/>
      <w:r w:rsidRPr="002822D3">
        <w:rPr>
          <w:rFonts w:ascii="Times New Roman" w:hAnsi="Times New Roman" w:cs="Times New Roman"/>
        </w:rPr>
        <w:t>the</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Court</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of</w:t>
      </w:r>
      <w:proofErr w:type="spellEnd"/>
      <w:r w:rsidRPr="002822D3">
        <w:rPr>
          <w:rFonts w:ascii="Times New Roman" w:hAnsi="Times New Roman" w:cs="Times New Roman"/>
        </w:rPr>
        <w:t xml:space="preserve"> Justice as </w:t>
      </w:r>
      <w:proofErr w:type="spellStart"/>
      <w:r w:rsidRPr="002822D3">
        <w:rPr>
          <w:rFonts w:ascii="Times New Roman" w:hAnsi="Times New Roman" w:cs="Times New Roman"/>
        </w:rPr>
        <w:t>an</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Institutional</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rPr>
        <w:t>Actor</w:t>
      </w:r>
      <w:proofErr w:type="spellEnd"/>
      <w:r w:rsidRPr="002822D3">
        <w:rPr>
          <w:rFonts w:ascii="Times New Roman" w:hAnsi="Times New Roman" w:cs="Times New Roman"/>
        </w:rPr>
        <w:t xml:space="preserve">. </w:t>
      </w:r>
      <w:proofErr w:type="spellStart"/>
      <w:r w:rsidRPr="002822D3">
        <w:rPr>
          <w:rFonts w:ascii="Times New Roman" w:hAnsi="Times New Roman" w:cs="Times New Roman"/>
          <w:i/>
        </w:rPr>
        <w:t>Journal</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of</w:t>
      </w:r>
      <w:proofErr w:type="spellEnd"/>
      <w:r w:rsidRPr="002822D3">
        <w:rPr>
          <w:rFonts w:ascii="Times New Roman" w:hAnsi="Times New Roman" w:cs="Times New Roman"/>
          <w:i/>
        </w:rPr>
        <w:t xml:space="preserve"> </w:t>
      </w:r>
      <w:proofErr w:type="spellStart"/>
      <w:r w:rsidRPr="002822D3">
        <w:rPr>
          <w:rFonts w:ascii="Times New Roman" w:hAnsi="Times New Roman" w:cs="Times New Roman"/>
          <w:i/>
        </w:rPr>
        <w:t>Common</w:t>
      </w:r>
      <w:proofErr w:type="spellEnd"/>
      <w:r w:rsidRPr="002822D3">
        <w:rPr>
          <w:rFonts w:ascii="Times New Roman" w:hAnsi="Times New Roman" w:cs="Times New Roman"/>
          <w:i/>
        </w:rPr>
        <w:t xml:space="preserve"> Market </w:t>
      </w:r>
      <w:proofErr w:type="spellStart"/>
      <w:r w:rsidRPr="002822D3">
        <w:rPr>
          <w:rFonts w:ascii="Times New Roman" w:hAnsi="Times New Roman" w:cs="Times New Roman"/>
          <w:i/>
        </w:rPr>
        <w:t>Studies</w:t>
      </w:r>
      <w:proofErr w:type="spellEnd"/>
      <w:r w:rsidRPr="002822D3">
        <w:rPr>
          <w:rFonts w:ascii="Times New Roman" w:hAnsi="Times New Roman" w:cs="Times New Roman"/>
        </w:rPr>
        <w:t xml:space="preserve">, 1998, vol. 36, no. 2, s. 220-221. Viz také BŘICHÁČEK: </w:t>
      </w:r>
      <w:r w:rsidRPr="002822D3">
        <w:rPr>
          <w:rFonts w:ascii="Times New Roman" w:hAnsi="Times New Roman" w:cs="Times New Roman"/>
          <w:i/>
        </w:rPr>
        <w:t>Přístup…</w:t>
      </w:r>
      <w:r w:rsidRPr="002822D3">
        <w:rPr>
          <w:rFonts w:ascii="Times New Roman" w:hAnsi="Times New Roman" w:cs="Times New Roman"/>
        </w:rPr>
        <w:t>, s. 157.</w:t>
      </w:r>
    </w:p>
  </w:footnote>
  <w:footnote w:id="135">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např. TLAMYCHA: </w:t>
      </w:r>
      <w:r w:rsidRPr="002822D3">
        <w:rPr>
          <w:rFonts w:ascii="Times New Roman" w:hAnsi="Times New Roman" w:cs="Times New Roman"/>
          <w:i/>
        </w:rPr>
        <w:t>Soudní...,</w:t>
      </w:r>
      <w:r w:rsidRPr="002822D3">
        <w:rPr>
          <w:rFonts w:ascii="Times New Roman" w:hAnsi="Times New Roman" w:cs="Times New Roman"/>
        </w:rPr>
        <w:t xml:space="preserve"> s. 103-104. Ke zdrženlivosti SDEU k materiální subsidiaritě ještě </w:t>
      </w:r>
      <w:proofErr w:type="spellStart"/>
      <w:r w:rsidRPr="002822D3">
        <w:rPr>
          <w:rFonts w:ascii="Times New Roman" w:hAnsi="Times New Roman" w:cs="Times New Roman"/>
        </w:rPr>
        <w:t>Tlamycha</w:t>
      </w:r>
      <w:proofErr w:type="spellEnd"/>
      <w:r w:rsidRPr="002822D3">
        <w:rPr>
          <w:rFonts w:ascii="Times New Roman" w:hAnsi="Times New Roman" w:cs="Times New Roman"/>
        </w:rPr>
        <w:t xml:space="preserve"> jako důvod uvádí obavu o zachování vlastní legitimity. Dále k postavení SDEU jako nadnárodní instituce a k častému používání teleologického výkladu viz BELLING, MALÍŘ, PÍTROVÁ: </w:t>
      </w:r>
      <w:r w:rsidRPr="002822D3">
        <w:rPr>
          <w:rFonts w:ascii="Times New Roman" w:hAnsi="Times New Roman" w:cs="Times New Roman"/>
          <w:i/>
        </w:rPr>
        <w:t>Kontrola dělby...,</w:t>
      </w:r>
      <w:r w:rsidRPr="002822D3">
        <w:rPr>
          <w:rFonts w:ascii="Times New Roman" w:hAnsi="Times New Roman" w:cs="Times New Roman"/>
        </w:rPr>
        <w:t xml:space="preserve"> s. 134-135.</w:t>
      </w:r>
    </w:p>
  </w:footnote>
  <w:footnote w:id="136">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LAZAR: </w:t>
      </w:r>
      <w:r w:rsidRPr="002822D3">
        <w:rPr>
          <w:rFonts w:ascii="Times New Roman" w:hAnsi="Times New Roman" w:cs="Times New Roman"/>
          <w:i/>
        </w:rPr>
        <w:t>Subsidiarity…,</w:t>
      </w:r>
      <w:r w:rsidRPr="002822D3">
        <w:rPr>
          <w:rFonts w:ascii="Times New Roman" w:hAnsi="Times New Roman" w:cs="Times New Roman"/>
        </w:rPr>
        <w:t xml:space="preserve"> s. 79.</w:t>
      </w:r>
    </w:p>
  </w:footnote>
  <w:footnote w:id="137">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Viz CRAIG, Paul, DE BÚRCA, </w:t>
      </w:r>
      <w:proofErr w:type="spellStart"/>
      <w:r w:rsidRPr="002822D3">
        <w:rPr>
          <w:rFonts w:ascii="Times New Roman" w:hAnsi="Times New Roman" w:cs="Times New Roman"/>
        </w:rPr>
        <w:t>Gráinne</w:t>
      </w:r>
      <w:proofErr w:type="spellEnd"/>
      <w:r w:rsidRPr="002822D3">
        <w:rPr>
          <w:rFonts w:ascii="Times New Roman" w:hAnsi="Times New Roman" w:cs="Times New Roman"/>
        </w:rPr>
        <w:t xml:space="preserve">. </w:t>
      </w:r>
      <w:r w:rsidRPr="002822D3">
        <w:rPr>
          <w:rFonts w:ascii="Times New Roman" w:hAnsi="Times New Roman" w:cs="Times New Roman"/>
          <w:i/>
        </w:rPr>
        <w:t xml:space="preserve">EU </w:t>
      </w:r>
      <w:proofErr w:type="spellStart"/>
      <w:r w:rsidRPr="002822D3">
        <w:rPr>
          <w:rFonts w:ascii="Times New Roman" w:hAnsi="Times New Roman" w:cs="Times New Roman"/>
          <w:i/>
        </w:rPr>
        <w:t>law</w:t>
      </w:r>
      <w:proofErr w:type="spellEnd"/>
      <w:r w:rsidRPr="002822D3">
        <w:rPr>
          <w:rFonts w:ascii="Times New Roman" w:hAnsi="Times New Roman" w:cs="Times New Roman"/>
          <w:i/>
        </w:rPr>
        <w:t xml:space="preserve">: text, </w:t>
      </w:r>
      <w:proofErr w:type="spellStart"/>
      <w:r w:rsidRPr="002822D3">
        <w:rPr>
          <w:rFonts w:ascii="Times New Roman" w:hAnsi="Times New Roman" w:cs="Times New Roman"/>
          <w:i/>
        </w:rPr>
        <w:t>cases</w:t>
      </w:r>
      <w:proofErr w:type="spellEnd"/>
      <w:r w:rsidRPr="002822D3">
        <w:rPr>
          <w:rFonts w:ascii="Times New Roman" w:hAnsi="Times New Roman" w:cs="Times New Roman"/>
          <w:i/>
        </w:rPr>
        <w:t xml:space="preserve">, and </w:t>
      </w:r>
      <w:proofErr w:type="spellStart"/>
      <w:r w:rsidRPr="002822D3">
        <w:rPr>
          <w:rFonts w:ascii="Times New Roman" w:hAnsi="Times New Roman" w:cs="Times New Roman"/>
          <w:i/>
        </w:rPr>
        <w:t>materials</w:t>
      </w:r>
      <w:proofErr w:type="spellEnd"/>
      <w:r w:rsidRPr="002822D3">
        <w:rPr>
          <w:rFonts w:ascii="Times New Roman" w:hAnsi="Times New Roman" w:cs="Times New Roman"/>
        </w:rPr>
        <w:t xml:space="preserve">. 5th </w:t>
      </w:r>
      <w:proofErr w:type="spellStart"/>
      <w:r w:rsidRPr="002822D3">
        <w:rPr>
          <w:rFonts w:ascii="Times New Roman" w:hAnsi="Times New Roman" w:cs="Times New Roman"/>
        </w:rPr>
        <w:t>ed</w:t>
      </w:r>
      <w:proofErr w:type="spellEnd"/>
      <w:r w:rsidRPr="002822D3">
        <w:rPr>
          <w:rFonts w:ascii="Times New Roman" w:hAnsi="Times New Roman" w:cs="Times New Roman"/>
        </w:rPr>
        <w:t xml:space="preserve">. Oxford: Oxford University </w:t>
      </w:r>
      <w:proofErr w:type="spellStart"/>
      <w:r w:rsidRPr="002822D3">
        <w:rPr>
          <w:rFonts w:ascii="Times New Roman" w:hAnsi="Times New Roman" w:cs="Times New Roman"/>
        </w:rPr>
        <w:t>Press</w:t>
      </w:r>
      <w:proofErr w:type="spellEnd"/>
      <w:r w:rsidRPr="002822D3">
        <w:rPr>
          <w:rFonts w:ascii="Times New Roman" w:hAnsi="Times New Roman" w:cs="Times New Roman"/>
        </w:rPr>
        <w:t>, 2011, s. 99.</w:t>
      </w:r>
    </w:p>
  </w:footnote>
  <w:footnote w:id="138">
    <w:p w:rsidR="00076524" w:rsidRPr="002822D3" w:rsidRDefault="00076524" w:rsidP="00CE70F8">
      <w:pPr>
        <w:pStyle w:val="Textpoznpodarou"/>
        <w:jc w:val="both"/>
        <w:rPr>
          <w:rFonts w:ascii="Times New Roman" w:hAnsi="Times New Roman" w:cs="Times New Roman"/>
        </w:rPr>
      </w:pPr>
      <w:r w:rsidRPr="002822D3">
        <w:rPr>
          <w:rStyle w:val="Znakapoznpodarou"/>
          <w:rFonts w:ascii="Times New Roman" w:hAnsi="Times New Roman" w:cs="Times New Roman"/>
        </w:rPr>
        <w:footnoteRef/>
      </w:r>
      <w:r w:rsidRPr="002822D3">
        <w:rPr>
          <w:rFonts w:ascii="Times New Roman" w:hAnsi="Times New Roman" w:cs="Times New Roman"/>
        </w:rPr>
        <w:t xml:space="preserve"> GEORGIEV, Jiří. </w:t>
      </w:r>
      <w:r w:rsidRPr="002822D3">
        <w:rPr>
          <w:rFonts w:ascii="Times New Roman" w:hAnsi="Times New Roman" w:cs="Times New Roman"/>
          <w:i/>
        </w:rPr>
        <w:t>Princip subsidiarity a jeho pojetí v evropském právu</w:t>
      </w:r>
      <w:r w:rsidRPr="002822D3">
        <w:rPr>
          <w:rFonts w:ascii="Times New Roman" w:hAnsi="Times New Roman" w:cs="Times New Roman"/>
        </w:rPr>
        <w:t xml:space="preserve"> [online]. EurActiv.cz, 27. dubna 2004 [cit. 10. srpna 2016]. Dostupné na &lt;http://euractiv.cz/nazory/vnitro-a-spravedlnost/princip-subsidiarity-a-jeho-pojet-v-evropskm-prvu/&gt;.</w:t>
      </w:r>
    </w:p>
  </w:footnote>
  <w:footnote w:id="139">
    <w:p w:rsidR="00076524" w:rsidRDefault="00076524" w:rsidP="00CE70F8">
      <w:pPr>
        <w:pStyle w:val="Textpoznpodarou"/>
        <w:jc w:val="both"/>
      </w:pPr>
      <w:r w:rsidRPr="002822D3">
        <w:rPr>
          <w:rStyle w:val="Znakapoznpodarou"/>
          <w:rFonts w:ascii="Times New Roman" w:hAnsi="Times New Roman" w:cs="Times New Roman"/>
        </w:rPr>
        <w:footnoteRef/>
      </w:r>
      <w:r w:rsidRPr="002822D3">
        <w:rPr>
          <w:rFonts w:ascii="Times New Roman" w:hAnsi="Times New Roman" w:cs="Times New Roman"/>
        </w:rPr>
        <w:t xml:space="preserve"> Tamtéž.</w:t>
      </w:r>
    </w:p>
  </w:footnote>
  <w:footnote w:id="140">
    <w:p w:rsidR="00076524" w:rsidRPr="00A4726F" w:rsidRDefault="00076524" w:rsidP="00FB1D02">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sidRPr="00A4726F">
        <w:rPr>
          <w:rFonts w:ascii="Times New Roman" w:hAnsi="Times New Roman" w:cs="Times New Roman"/>
        </w:rPr>
        <w:t xml:space="preserve"> </w:t>
      </w:r>
      <w:r>
        <w:rPr>
          <w:rFonts w:ascii="Times New Roman" w:hAnsi="Times New Roman" w:cs="Times New Roman"/>
        </w:rPr>
        <w:t xml:space="preserve">Viz </w:t>
      </w:r>
      <w:r w:rsidRPr="00A4726F">
        <w:rPr>
          <w:rFonts w:ascii="Times New Roman" w:hAnsi="Times New Roman" w:cs="Times New Roman"/>
        </w:rPr>
        <w:t xml:space="preserve">BARTL, Marija. </w:t>
      </w:r>
      <w:proofErr w:type="spellStart"/>
      <w:r w:rsidRPr="00A4726F">
        <w:rPr>
          <w:rFonts w:ascii="Times New Roman" w:hAnsi="Times New Roman" w:cs="Times New Roman"/>
        </w:rPr>
        <w:t>The</w:t>
      </w:r>
      <w:proofErr w:type="spellEnd"/>
      <w:r w:rsidRPr="00A4726F">
        <w:rPr>
          <w:rFonts w:ascii="Times New Roman" w:hAnsi="Times New Roman" w:cs="Times New Roman"/>
        </w:rPr>
        <w:t xml:space="preserve"> </w:t>
      </w:r>
      <w:proofErr w:type="spellStart"/>
      <w:r w:rsidRPr="00A4726F">
        <w:rPr>
          <w:rFonts w:ascii="Times New Roman" w:hAnsi="Times New Roman" w:cs="Times New Roman"/>
        </w:rPr>
        <w:t>Way</w:t>
      </w:r>
      <w:proofErr w:type="spellEnd"/>
      <w:r w:rsidRPr="00A4726F">
        <w:rPr>
          <w:rFonts w:ascii="Times New Roman" w:hAnsi="Times New Roman" w:cs="Times New Roman"/>
        </w:rPr>
        <w:t xml:space="preserve"> </w:t>
      </w:r>
      <w:proofErr w:type="spellStart"/>
      <w:r w:rsidRPr="00A4726F">
        <w:rPr>
          <w:rFonts w:ascii="Times New Roman" w:hAnsi="Times New Roman" w:cs="Times New Roman"/>
        </w:rPr>
        <w:t>We</w:t>
      </w:r>
      <w:proofErr w:type="spellEnd"/>
      <w:r w:rsidRPr="00A4726F">
        <w:rPr>
          <w:rFonts w:ascii="Times New Roman" w:hAnsi="Times New Roman" w:cs="Times New Roman"/>
        </w:rPr>
        <w:t xml:space="preserve"> Do </w:t>
      </w:r>
      <w:proofErr w:type="spellStart"/>
      <w:r w:rsidRPr="00A4726F">
        <w:rPr>
          <w:rFonts w:ascii="Times New Roman" w:hAnsi="Times New Roman" w:cs="Times New Roman"/>
        </w:rPr>
        <w:t>Europe</w:t>
      </w:r>
      <w:proofErr w:type="spellEnd"/>
      <w:r w:rsidRPr="00A4726F">
        <w:rPr>
          <w:rFonts w:ascii="Times New Roman" w:hAnsi="Times New Roman" w:cs="Times New Roman"/>
        </w:rPr>
        <w:t xml:space="preserve">: Subsidiarity and </w:t>
      </w:r>
      <w:proofErr w:type="spellStart"/>
      <w:r w:rsidRPr="00A4726F">
        <w:rPr>
          <w:rFonts w:ascii="Times New Roman" w:hAnsi="Times New Roman" w:cs="Times New Roman"/>
        </w:rPr>
        <w:t>the</w:t>
      </w:r>
      <w:proofErr w:type="spellEnd"/>
      <w:r w:rsidRPr="00A4726F">
        <w:rPr>
          <w:rFonts w:ascii="Times New Roman" w:hAnsi="Times New Roman" w:cs="Times New Roman"/>
        </w:rPr>
        <w:t xml:space="preserve"> </w:t>
      </w:r>
      <w:proofErr w:type="spellStart"/>
      <w:r w:rsidRPr="00A4726F">
        <w:rPr>
          <w:rFonts w:ascii="Times New Roman" w:hAnsi="Times New Roman" w:cs="Times New Roman"/>
        </w:rPr>
        <w:t>Substantive</w:t>
      </w:r>
      <w:proofErr w:type="spellEnd"/>
      <w:r w:rsidRPr="00A4726F">
        <w:rPr>
          <w:rFonts w:ascii="Times New Roman" w:hAnsi="Times New Roman" w:cs="Times New Roman"/>
        </w:rPr>
        <w:t xml:space="preserve"> </w:t>
      </w:r>
      <w:proofErr w:type="spellStart"/>
      <w:r w:rsidRPr="00A4726F">
        <w:rPr>
          <w:rFonts w:ascii="Times New Roman" w:hAnsi="Times New Roman" w:cs="Times New Roman"/>
        </w:rPr>
        <w:t>Democratic</w:t>
      </w:r>
      <w:proofErr w:type="spellEnd"/>
      <w:r w:rsidRPr="00A4726F">
        <w:rPr>
          <w:rFonts w:ascii="Times New Roman" w:hAnsi="Times New Roman" w:cs="Times New Roman"/>
        </w:rPr>
        <w:t xml:space="preserve"> Deﬁcit. </w:t>
      </w:r>
      <w:proofErr w:type="spellStart"/>
      <w:r w:rsidRPr="00023539">
        <w:rPr>
          <w:rFonts w:ascii="Times New Roman" w:hAnsi="Times New Roman" w:cs="Times New Roman"/>
          <w:i/>
        </w:rPr>
        <w:t>European</w:t>
      </w:r>
      <w:proofErr w:type="spellEnd"/>
      <w:r w:rsidRPr="00023539">
        <w:rPr>
          <w:rFonts w:ascii="Times New Roman" w:hAnsi="Times New Roman" w:cs="Times New Roman"/>
          <w:i/>
        </w:rPr>
        <w:t xml:space="preserve"> </w:t>
      </w:r>
      <w:proofErr w:type="spellStart"/>
      <w:r w:rsidRPr="00023539">
        <w:rPr>
          <w:rFonts w:ascii="Times New Roman" w:hAnsi="Times New Roman" w:cs="Times New Roman"/>
          <w:i/>
        </w:rPr>
        <w:t>Law</w:t>
      </w:r>
      <w:proofErr w:type="spellEnd"/>
      <w:r w:rsidRPr="00023539">
        <w:rPr>
          <w:rFonts w:ascii="Times New Roman" w:hAnsi="Times New Roman" w:cs="Times New Roman"/>
          <w:i/>
        </w:rPr>
        <w:t xml:space="preserve"> </w:t>
      </w:r>
      <w:proofErr w:type="spellStart"/>
      <w:r w:rsidRPr="00023539">
        <w:rPr>
          <w:rFonts w:ascii="Times New Roman" w:hAnsi="Times New Roman" w:cs="Times New Roman"/>
          <w:i/>
        </w:rPr>
        <w:t>Journal</w:t>
      </w:r>
      <w:proofErr w:type="spellEnd"/>
      <w:r>
        <w:rPr>
          <w:rFonts w:ascii="Times New Roman" w:hAnsi="Times New Roman" w:cs="Times New Roman"/>
        </w:rPr>
        <w:t xml:space="preserve">, 2015, vol. 21, no. 1, </w:t>
      </w:r>
      <w:r w:rsidRPr="007D6621">
        <w:rPr>
          <w:rFonts w:ascii="Times New Roman" w:hAnsi="Times New Roman" w:cs="Times New Roman"/>
        </w:rPr>
        <w:t>s. 42.</w:t>
      </w:r>
      <w:r w:rsidRPr="00A4726F">
        <w:rPr>
          <w:rFonts w:ascii="Times New Roman" w:hAnsi="Times New Roman" w:cs="Times New Roman"/>
        </w:rPr>
        <w:t xml:space="preserve"> </w:t>
      </w:r>
    </w:p>
  </w:footnote>
  <w:footnote w:id="141">
    <w:p w:rsidR="00076524" w:rsidRPr="00A4726F" w:rsidRDefault="00076524" w:rsidP="00FB1D02">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Pr>
          <w:rFonts w:ascii="Times New Roman" w:hAnsi="Times New Roman" w:cs="Times New Roman"/>
        </w:rPr>
        <w:t xml:space="preserve"> Viz LAZAR:</w:t>
      </w:r>
      <w:r w:rsidRPr="003B421B">
        <w:rPr>
          <w:rFonts w:ascii="Times New Roman" w:hAnsi="Times New Roman" w:cs="Times New Roman"/>
        </w:rPr>
        <w:t xml:space="preserve"> </w:t>
      </w:r>
      <w:r w:rsidRPr="00CC7B40">
        <w:rPr>
          <w:rFonts w:ascii="Times New Roman" w:hAnsi="Times New Roman" w:cs="Times New Roman"/>
          <w:i/>
        </w:rPr>
        <w:t>Subsidiarity…,</w:t>
      </w:r>
      <w:r w:rsidRPr="00A4726F">
        <w:rPr>
          <w:rFonts w:ascii="Times New Roman" w:hAnsi="Times New Roman" w:cs="Times New Roman"/>
        </w:rPr>
        <w:t xml:space="preserve"> s. 76.</w:t>
      </w:r>
    </w:p>
  </w:footnote>
  <w:footnote w:id="142">
    <w:p w:rsidR="00076524" w:rsidRPr="00A4726F" w:rsidRDefault="00076524" w:rsidP="00FB1D02">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Pr>
          <w:rFonts w:ascii="Times New Roman" w:hAnsi="Times New Roman" w:cs="Times New Roman"/>
        </w:rPr>
        <w:t xml:space="preserve"> Viz </w:t>
      </w:r>
      <w:r w:rsidRPr="009C40C7">
        <w:rPr>
          <w:rFonts w:ascii="Times New Roman" w:hAnsi="Times New Roman" w:cs="Times New Roman"/>
        </w:rPr>
        <w:t xml:space="preserve">BŘICHÁČEK: </w:t>
      </w:r>
      <w:r w:rsidRPr="009C40C7">
        <w:rPr>
          <w:rFonts w:ascii="Times New Roman" w:hAnsi="Times New Roman" w:cs="Times New Roman"/>
          <w:i/>
        </w:rPr>
        <w:t>Unie...,</w:t>
      </w:r>
      <w:r>
        <w:rPr>
          <w:rFonts w:ascii="Times New Roman" w:hAnsi="Times New Roman" w:cs="Times New Roman"/>
        </w:rPr>
        <w:t xml:space="preserve"> </w:t>
      </w:r>
      <w:r w:rsidRPr="00A4726F">
        <w:rPr>
          <w:rFonts w:ascii="Times New Roman" w:hAnsi="Times New Roman" w:cs="Times New Roman"/>
        </w:rPr>
        <w:t>s. 45.</w:t>
      </w:r>
    </w:p>
  </w:footnote>
  <w:footnote w:id="143">
    <w:p w:rsidR="00076524" w:rsidRPr="00A4726F" w:rsidRDefault="00076524" w:rsidP="00FB1D02">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sidRPr="00A4726F">
        <w:rPr>
          <w:rFonts w:ascii="Times New Roman" w:hAnsi="Times New Roman" w:cs="Times New Roman"/>
        </w:rPr>
        <w:t xml:space="preserve"> </w:t>
      </w:r>
      <w:r>
        <w:rPr>
          <w:rFonts w:ascii="Times New Roman" w:hAnsi="Times New Roman" w:cs="Times New Roman"/>
        </w:rPr>
        <w:t xml:space="preserve">Viz </w:t>
      </w:r>
      <w:r w:rsidRPr="00F83891">
        <w:rPr>
          <w:rFonts w:ascii="Times New Roman" w:hAnsi="Times New Roman" w:cs="Times New Roman"/>
        </w:rPr>
        <w:t xml:space="preserve">COOPER, Ian. </w:t>
      </w:r>
      <w:proofErr w:type="spellStart"/>
      <w:r w:rsidRPr="00F83891">
        <w:rPr>
          <w:rFonts w:ascii="Times New Roman" w:hAnsi="Times New Roman" w:cs="Times New Roman"/>
        </w:rPr>
        <w:t>The</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Watchdogs</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of</w:t>
      </w:r>
      <w:proofErr w:type="spellEnd"/>
      <w:r w:rsidRPr="00F83891">
        <w:rPr>
          <w:rFonts w:ascii="Times New Roman" w:hAnsi="Times New Roman" w:cs="Times New Roman"/>
        </w:rPr>
        <w:t xml:space="preserve"> Subsidiarity: </w:t>
      </w:r>
      <w:proofErr w:type="spellStart"/>
      <w:r w:rsidRPr="00F83891">
        <w:rPr>
          <w:rFonts w:ascii="Times New Roman" w:hAnsi="Times New Roman" w:cs="Times New Roman"/>
        </w:rPr>
        <w:t>National</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Parliaments</w:t>
      </w:r>
      <w:proofErr w:type="spellEnd"/>
      <w:r w:rsidRPr="00F83891">
        <w:rPr>
          <w:rFonts w:ascii="Times New Roman" w:hAnsi="Times New Roman" w:cs="Times New Roman"/>
        </w:rPr>
        <w:t xml:space="preserve"> and </w:t>
      </w:r>
      <w:proofErr w:type="spellStart"/>
      <w:r w:rsidRPr="00F83891">
        <w:rPr>
          <w:rFonts w:ascii="Times New Roman" w:hAnsi="Times New Roman" w:cs="Times New Roman"/>
        </w:rPr>
        <w:t>the</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Logic</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of</w:t>
      </w:r>
      <w:proofErr w:type="spellEnd"/>
      <w:r w:rsidRPr="00F83891">
        <w:rPr>
          <w:rFonts w:ascii="Times New Roman" w:hAnsi="Times New Roman" w:cs="Times New Roman"/>
        </w:rPr>
        <w:t xml:space="preserve"> </w:t>
      </w:r>
      <w:proofErr w:type="spellStart"/>
      <w:r w:rsidRPr="00F83891">
        <w:rPr>
          <w:rFonts w:ascii="Times New Roman" w:hAnsi="Times New Roman" w:cs="Times New Roman"/>
        </w:rPr>
        <w:t>Arguing</w:t>
      </w:r>
      <w:proofErr w:type="spellEnd"/>
      <w:r w:rsidRPr="00F83891">
        <w:rPr>
          <w:rFonts w:ascii="Times New Roman" w:hAnsi="Times New Roman" w:cs="Times New Roman"/>
        </w:rPr>
        <w:t xml:space="preserve"> in </w:t>
      </w:r>
      <w:proofErr w:type="spellStart"/>
      <w:r w:rsidRPr="00F83891">
        <w:rPr>
          <w:rFonts w:ascii="Times New Roman" w:hAnsi="Times New Roman" w:cs="Times New Roman"/>
        </w:rPr>
        <w:t>the</w:t>
      </w:r>
      <w:proofErr w:type="spellEnd"/>
      <w:r w:rsidRPr="00F83891">
        <w:rPr>
          <w:rFonts w:ascii="Times New Roman" w:hAnsi="Times New Roman" w:cs="Times New Roman"/>
        </w:rPr>
        <w:t xml:space="preserve"> EU. </w:t>
      </w:r>
      <w:proofErr w:type="spellStart"/>
      <w:r w:rsidRPr="00F83891">
        <w:rPr>
          <w:rFonts w:ascii="Times New Roman" w:hAnsi="Times New Roman" w:cs="Times New Roman"/>
          <w:i/>
        </w:rPr>
        <w:t>Journal</w:t>
      </w:r>
      <w:proofErr w:type="spellEnd"/>
      <w:r w:rsidRPr="00F83891">
        <w:rPr>
          <w:rFonts w:ascii="Times New Roman" w:hAnsi="Times New Roman" w:cs="Times New Roman"/>
          <w:i/>
        </w:rPr>
        <w:t xml:space="preserve"> </w:t>
      </w:r>
      <w:proofErr w:type="spellStart"/>
      <w:r w:rsidRPr="00F83891">
        <w:rPr>
          <w:rFonts w:ascii="Times New Roman" w:hAnsi="Times New Roman" w:cs="Times New Roman"/>
          <w:i/>
        </w:rPr>
        <w:t>of</w:t>
      </w:r>
      <w:proofErr w:type="spellEnd"/>
      <w:r w:rsidRPr="00F83891">
        <w:rPr>
          <w:rFonts w:ascii="Times New Roman" w:hAnsi="Times New Roman" w:cs="Times New Roman"/>
          <w:i/>
        </w:rPr>
        <w:t xml:space="preserve"> </w:t>
      </w:r>
      <w:proofErr w:type="spellStart"/>
      <w:r w:rsidRPr="00F83891">
        <w:rPr>
          <w:rFonts w:ascii="Times New Roman" w:hAnsi="Times New Roman" w:cs="Times New Roman"/>
          <w:i/>
        </w:rPr>
        <w:t>Common</w:t>
      </w:r>
      <w:proofErr w:type="spellEnd"/>
      <w:r w:rsidRPr="00F83891">
        <w:rPr>
          <w:rFonts w:ascii="Times New Roman" w:hAnsi="Times New Roman" w:cs="Times New Roman"/>
          <w:i/>
        </w:rPr>
        <w:t xml:space="preserve"> Market </w:t>
      </w:r>
      <w:proofErr w:type="spellStart"/>
      <w:r w:rsidRPr="00F83891">
        <w:rPr>
          <w:rFonts w:ascii="Times New Roman" w:hAnsi="Times New Roman" w:cs="Times New Roman"/>
          <w:i/>
        </w:rPr>
        <w:t>Studies</w:t>
      </w:r>
      <w:proofErr w:type="spellEnd"/>
      <w:r w:rsidRPr="00F83891">
        <w:rPr>
          <w:rFonts w:ascii="Times New Roman" w:hAnsi="Times New Roman" w:cs="Times New Roman"/>
        </w:rPr>
        <w:t>, 2006, vol.</w:t>
      </w:r>
      <w:r>
        <w:rPr>
          <w:rFonts w:ascii="Times New Roman" w:hAnsi="Times New Roman" w:cs="Times New Roman"/>
        </w:rPr>
        <w:t xml:space="preserve"> 44, </w:t>
      </w:r>
      <w:proofErr w:type="spellStart"/>
      <w:r>
        <w:rPr>
          <w:rFonts w:ascii="Times New Roman" w:hAnsi="Times New Roman" w:cs="Times New Roman"/>
        </w:rPr>
        <w:t>is</w:t>
      </w:r>
      <w:proofErr w:type="spellEnd"/>
      <w:r>
        <w:rPr>
          <w:rFonts w:ascii="Times New Roman" w:hAnsi="Times New Roman" w:cs="Times New Roman"/>
        </w:rPr>
        <w:t>. 2, s. 281-</w:t>
      </w:r>
      <w:r w:rsidRPr="00F83891">
        <w:rPr>
          <w:rFonts w:ascii="Times New Roman" w:hAnsi="Times New Roman" w:cs="Times New Roman"/>
        </w:rPr>
        <w:t>304.</w:t>
      </w:r>
    </w:p>
  </w:footnote>
  <w:footnote w:id="144">
    <w:p w:rsidR="00076524" w:rsidRPr="00A4726F" w:rsidRDefault="00076524" w:rsidP="00275068">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sidRPr="00A4726F">
        <w:rPr>
          <w:rFonts w:ascii="Times New Roman" w:hAnsi="Times New Roman" w:cs="Times New Roman"/>
        </w:rPr>
        <w:t xml:space="preserve"> K dalším zvažovaným modelům kontroly a k počátkům vyt</w:t>
      </w:r>
      <w:r>
        <w:rPr>
          <w:rFonts w:ascii="Times New Roman" w:hAnsi="Times New Roman" w:cs="Times New Roman"/>
        </w:rPr>
        <w:t>váření systému včasného varování</w:t>
      </w:r>
      <w:r w:rsidRPr="00A4726F">
        <w:rPr>
          <w:rFonts w:ascii="Times New Roman" w:hAnsi="Times New Roman" w:cs="Times New Roman"/>
        </w:rPr>
        <w:t xml:space="preserve"> viz </w:t>
      </w:r>
      <w:r w:rsidRPr="00166A96">
        <w:rPr>
          <w:rFonts w:ascii="Times New Roman" w:hAnsi="Times New Roman" w:cs="Times New Roman"/>
        </w:rPr>
        <w:t xml:space="preserve">GEORGIEV, Jiří. </w:t>
      </w:r>
      <w:r w:rsidRPr="00E0029B">
        <w:rPr>
          <w:rFonts w:ascii="Times New Roman" w:hAnsi="Times New Roman" w:cs="Times New Roman"/>
          <w:i/>
        </w:rPr>
        <w:t>Princip subsidiarity a jeho pojetí v evropském právu</w:t>
      </w:r>
      <w:r w:rsidRPr="00166A96">
        <w:rPr>
          <w:rFonts w:ascii="Times New Roman" w:hAnsi="Times New Roman" w:cs="Times New Roman"/>
        </w:rPr>
        <w:t xml:space="preserve"> [online]. EurActiv.cz, 27. dubna 2004 [cit. 10. srpna 2016]. Dostupné na &lt;http://euractiv.cz/nazory/vnitro-a-spravedlnost/princip-subsidiarity-a-jeho-pojet-v-evropskm-prvu/&gt;.</w:t>
      </w:r>
    </w:p>
  </w:footnote>
  <w:footnote w:id="145">
    <w:p w:rsidR="00076524" w:rsidRPr="00A4726F" w:rsidRDefault="00076524" w:rsidP="00FB1D02">
      <w:pPr>
        <w:pStyle w:val="Textpoznpodarou"/>
        <w:jc w:val="both"/>
        <w:rPr>
          <w:rFonts w:ascii="Times New Roman" w:hAnsi="Times New Roman" w:cs="Times New Roman"/>
        </w:rPr>
      </w:pPr>
      <w:r w:rsidRPr="00A4726F">
        <w:rPr>
          <w:rStyle w:val="Znakapoznpodarou"/>
          <w:rFonts w:ascii="Times New Roman" w:hAnsi="Times New Roman" w:cs="Times New Roman"/>
        </w:rPr>
        <w:footnoteRef/>
      </w:r>
      <w:r>
        <w:rPr>
          <w:rFonts w:ascii="Times New Roman" w:hAnsi="Times New Roman" w:cs="Times New Roman"/>
        </w:rPr>
        <w:t xml:space="preserve"> Viz </w:t>
      </w:r>
      <w:r w:rsidRPr="003B421B">
        <w:rPr>
          <w:rFonts w:ascii="Times New Roman" w:hAnsi="Times New Roman" w:cs="Times New Roman"/>
        </w:rPr>
        <w:t xml:space="preserve">KIIVER: </w:t>
      </w:r>
      <w:proofErr w:type="spellStart"/>
      <w:r w:rsidRPr="003B421B">
        <w:rPr>
          <w:rFonts w:ascii="Times New Roman" w:hAnsi="Times New Roman" w:cs="Times New Roman"/>
          <w:i/>
        </w:rPr>
        <w:t>The</w:t>
      </w:r>
      <w:proofErr w:type="spellEnd"/>
      <w:r w:rsidRPr="003B421B">
        <w:rPr>
          <w:rFonts w:ascii="Times New Roman" w:hAnsi="Times New Roman" w:cs="Times New Roman"/>
          <w:i/>
        </w:rPr>
        <w:t xml:space="preserve"> Early…</w:t>
      </w:r>
      <w:r>
        <w:rPr>
          <w:rFonts w:ascii="Times New Roman" w:hAnsi="Times New Roman" w:cs="Times New Roman"/>
        </w:rPr>
        <w:t>,</w:t>
      </w:r>
      <w:r w:rsidRPr="00A4726F">
        <w:rPr>
          <w:rFonts w:ascii="Times New Roman" w:hAnsi="Times New Roman" w:cs="Times New Roman"/>
        </w:rPr>
        <w:t xml:space="preserve"> s. 1.</w:t>
      </w:r>
    </w:p>
  </w:footnote>
  <w:footnote w:id="146">
    <w:p w:rsidR="00076524" w:rsidRPr="001F0F36" w:rsidRDefault="00076524" w:rsidP="00FB1D02">
      <w:pPr>
        <w:pStyle w:val="Odstavecseseznamem"/>
        <w:ind w:left="0"/>
        <w:jc w:val="both"/>
        <w:rPr>
          <w:rFonts w:ascii="Times New Roman" w:hAnsi="Times New Roman" w:cs="Times New Roman"/>
          <w:sz w:val="20"/>
          <w:szCs w:val="20"/>
        </w:rPr>
      </w:pPr>
      <w:r w:rsidRPr="001F0F36">
        <w:rPr>
          <w:rStyle w:val="Znakapoznpodarou"/>
          <w:rFonts w:ascii="Times New Roman" w:hAnsi="Times New Roman" w:cs="Times New Roman"/>
          <w:sz w:val="20"/>
          <w:szCs w:val="20"/>
        </w:rPr>
        <w:footnoteRef/>
      </w:r>
      <w:r w:rsidRPr="001F0F36">
        <w:rPr>
          <w:rFonts w:ascii="Times New Roman" w:hAnsi="Times New Roman" w:cs="Times New Roman"/>
          <w:sz w:val="20"/>
          <w:szCs w:val="20"/>
        </w:rPr>
        <w:t xml:space="preserve"> </w:t>
      </w:r>
      <w:r>
        <w:rPr>
          <w:rFonts w:ascii="Times New Roman" w:hAnsi="Times New Roman" w:cs="Times New Roman"/>
          <w:sz w:val="20"/>
          <w:szCs w:val="20"/>
        </w:rPr>
        <w:t>Dle mínění řady odborníků jde o hlavní cíl. Má být naplněn</w:t>
      </w:r>
      <w:r w:rsidRPr="001F0F36">
        <w:rPr>
          <w:rFonts w:ascii="Times New Roman" w:hAnsi="Times New Roman" w:cs="Times New Roman"/>
          <w:sz w:val="20"/>
          <w:szCs w:val="20"/>
        </w:rPr>
        <w:t xml:space="preserve"> ruku v ruce s větším zapojením parlamentů do záležitostí EU, lepší kontrolou dodržování zásady subsidiarity a přirozeně i lepším používáním či působením principu. Viz např. COOPER, Ian. A ‘</w:t>
      </w:r>
      <w:proofErr w:type="spellStart"/>
      <w:r w:rsidRPr="001F0F36">
        <w:rPr>
          <w:rFonts w:ascii="Times New Roman" w:hAnsi="Times New Roman" w:cs="Times New Roman"/>
          <w:sz w:val="20"/>
          <w:szCs w:val="20"/>
        </w:rPr>
        <w:t>Virtual</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Third</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Chamber</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for</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the</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European</w:t>
      </w:r>
      <w:proofErr w:type="spellEnd"/>
      <w:r w:rsidRPr="001F0F36">
        <w:rPr>
          <w:rFonts w:ascii="Times New Roman" w:hAnsi="Times New Roman" w:cs="Times New Roman"/>
          <w:sz w:val="20"/>
          <w:szCs w:val="20"/>
        </w:rPr>
        <w:t xml:space="preserve"> Union? </w:t>
      </w:r>
      <w:proofErr w:type="spellStart"/>
      <w:r w:rsidRPr="001F0F36">
        <w:rPr>
          <w:rFonts w:ascii="Times New Roman" w:hAnsi="Times New Roman" w:cs="Times New Roman"/>
          <w:sz w:val="20"/>
          <w:szCs w:val="20"/>
        </w:rPr>
        <w:t>National</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Parliaments</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after</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the</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Treaty</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of</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sz w:val="20"/>
          <w:szCs w:val="20"/>
        </w:rPr>
        <w:t>Lisbon</w:t>
      </w:r>
      <w:proofErr w:type="spellEnd"/>
      <w:r w:rsidRPr="001F0F36">
        <w:rPr>
          <w:rFonts w:ascii="Times New Roman" w:hAnsi="Times New Roman" w:cs="Times New Roman"/>
          <w:sz w:val="20"/>
          <w:szCs w:val="20"/>
        </w:rPr>
        <w:t xml:space="preserve">. </w:t>
      </w:r>
      <w:proofErr w:type="spellStart"/>
      <w:r w:rsidRPr="001F0F36">
        <w:rPr>
          <w:rFonts w:ascii="Times New Roman" w:hAnsi="Times New Roman" w:cs="Times New Roman"/>
          <w:i/>
          <w:sz w:val="20"/>
          <w:szCs w:val="20"/>
        </w:rPr>
        <w:t>West</w:t>
      </w:r>
      <w:proofErr w:type="spellEnd"/>
      <w:r w:rsidRPr="001F0F36">
        <w:rPr>
          <w:rFonts w:ascii="Times New Roman" w:hAnsi="Times New Roman" w:cs="Times New Roman"/>
          <w:i/>
          <w:sz w:val="20"/>
          <w:szCs w:val="20"/>
        </w:rPr>
        <w:t xml:space="preserve"> </w:t>
      </w:r>
      <w:proofErr w:type="spellStart"/>
      <w:r w:rsidRPr="001F0F36">
        <w:rPr>
          <w:rFonts w:ascii="Times New Roman" w:hAnsi="Times New Roman" w:cs="Times New Roman"/>
          <w:i/>
          <w:sz w:val="20"/>
          <w:szCs w:val="20"/>
        </w:rPr>
        <w:t>European</w:t>
      </w:r>
      <w:proofErr w:type="spellEnd"/>
      <w:r w:rsidRPr="001F0F36">
        <w:rPr>
          <w:rFonts w:ascii="Times New Roman" w:hAnsi="Times New Roman" w:cs="Times New Roman"/>
          <w:i/>
          <w:sz w:val="20"/>
          <w:szCs w:val="20"/>
        </w:rPr>
        <w:t xml:space="preserve"> </w:t>
      </w:r>
      <w:proofErr w:type="spellStart"/>
      <w:r w:rsidRPr="001F0F36">
        <w:rPr>
          <w:rFonts w:ascii="Times New Roman" w:hAnsi="Times New Roman" w:cs="Times New Roman"/>
          <w:i/>
          <w:sz w:val="20"/>
          <w:szCs w:val="20"/>
        </w:rPr>
        <w:t>Politics</w:t>
      </w:r>
      <w:proofErr w:type="spellEnd"/>
      <w:r w:rsidRPr="001F0F36">
        <w:rPr>
          <w:rFonts w:ascii="Times New Roman" w:hAnsi="Times New Roman" w:cs="Times New Roman"/>
          <w:sz w:val="20"/>
          <w:szCs w:val="20"/>
        </w:rPr>
        <w:t>, 2012, vol</w:t>
      </w:r>
      <w:r>
        <w:rPr>
          <w:rFonts w:ascii="Times New Roman" w:hAnsi="Times New Roman" w:cs="Times New Roman"/>
          <w:sz w:val="20"/>
          <w:szCs w:val="20"/>
        </w:rPr>
        <w:t>. 35, no. 3, s. 453. A viz také</w:t>
      </w:r>
      <w:r w:rsidRPr="001F0F36">
        <w:rPr>
          <w:rFonts w:ascii="Times New Roman" w:hAnsi="Times New Roman" w:cs="Times New Roman"/>
          <w:sz w:val="20"/>
          <w:szCs w:val="20"/>
        </w:rPr>
        <w:t xml:space="preserve"> čl. 10 odst. 3 SEU ve spojení s preambulí protokolu č. 2. </w:t>
      </w:r>
    </w:p>
  </w:footnote>
  <w:footnote w:id="147">
    <w:p w:rsidR="00076524" w:rsidRPr="001F0F36" w:rsidRDefault="00076524" w:rsidP="00FB1D02">
      <w:pPr>
        <w:pStyle w:val="Odstavecseseznamem"/>
        <w:ind w:left="0"/>
        <w:jc w:val="both"/>
        <w:rPr>
          <w:rFonts w:ascii="Times New Roman" w:hAnsi="Times New Roman" w:cs="Times New Roman"/>
          <w:sz w:val="20"/>
          <w:szCs w:val="20"/>
        </w:rPr>
      </w:pPr>
      <w:r w:rsidRPr="001F0F36">
        <w:rPr>
          <w:rStyle w:val="Znakapoznpodarou"/>
          <w:rFonts w:ascii="Times New Roman" w:hAnsi="Times New Roman" w:cs="Times New Roman"/>
          <w:sz w:val="20"/>
          <w:szCs w:val="20"/>
        </w:rPr>
        <w:footnoteRef/>
      </w:r>
      <w:r w:rsidRPr="001F0F36">
        <w:rPr>
          <w:rFonts w:ascii="Times New Roman" w:hAnsi="Times New Roman" w:cs="Times New Roman"/>
          <w:sz w:val="20"/>
          <w:szCs w:val="20"/>
        </w:rPr>
        <w:t xml:space="preserve"> </w:t>
      </w:r>
      <w:r>
        <w:rPr>
          <w:rFonts w:ascii="Times New Roman" w:hAnsi="Times New Roman" w:cs="Times New Roman"/>
          <w:sz w:val="20"/>
          <w:szCs w:val="20"/>
        </w:rPr>
        <w:t>P</w:t>
      </w:r>
      <w:r w:rsidRPr="001F0F36">
        <w:rPr>
          <w:rFonts w:ascii="Times New Roman" w:hAnsi="Times New Roman" w:cs="Times New Roman"/>
          <w:sz w:val="20"/>
          <w:szCs w:val="20"/>
        </w:rPr>
        <w:t xml:space="preserve">rotokol č. 30 parlamenty vůbec nezmiňoval. </w:t>
      </w:r>
    </w:p>
  </w:footnote>
  <w:footnote w:id="148">
    <w:p w:rsidR="00076524" w:rsidRDefault="00076524" w:rsidP="006D2BD3">
      <w:pPr>
        <w:pStyle w:val="Odstavecseseznamem"/>
        <w:spacing w:after="0"/>
        <w:ind w:left="0"/>
        <w:jc w:val="both"/>
      </w:pPr>
      <w:r w:rsidRPr="001F0F36">
        <w:rPr>
          <w:rStyle w:val="Znakapoznpodarou"/>
          <w:rFonts w:ascii="Times New Roman" w:hAnsi="Times New Roman" w:cs="Times New Roman"/>
          <w:sz w:val="20"/>
          <w:szCs w:val="20"/>
        </w:rPr>
        <w:footnoteRef/>
      </w:r>
      <w:r w:rsidRPr="001F0F36">
        <w:rPr>
          <w:rFonts w:ascii="Times New Roman" w:hAnsi="Times New Roman" w:cs="Times New Roman"/>
          <w:sz w:val="20"/>
          <w:szCs w:val="20"/>
        </w:rPr>
        <w:t xml:space="preserve"> </w:t>
      </w:r>
      <w:r>
        <w:rPr>
          <w:rFonts w:ascii="Times New Roman" w:hAnsi="Times New Roman" w:cs="Times New Roman"/>
          <w:sz w:val="20"/>
          <w:szCs w:val="20"/>
        </w:rPr>
        <w:t>Viz č</w:t>
      </w:r>
      <w:r w:rsidRPr="001F0F36">
        <w:rPr>
          <w:rFonts w:ascii="Times New Roman" w:hAnsi="Times New Roman" w:cs="Times New Roman"/>
          <w:sz w:val="20"/>
          <w:szCs w:val="20"/>
        </w:rPr>
        <w:t>l. 1 a 51 SEU</w:t>
      </w:r>
    </w:p>
  </w:footnote>
  <w:footnote w:id="149">
    <w:p w:rsidR="00076524" w:rsidRPr="00AD7D1F" w:rsidRDefault="00076524" w:rsidP="006D2BD3">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Viz čl. 1 protokolu č. 2</w:t>
      </w:r>
    </w:p>
  </w:footnote>
  <w:footnote w:id="150">
    <w:p w:rsidR="00076524" w:rsidRPr="00AD7D1F" w:rsidRDefault="00076524" w:rsidP="00751419">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Viz čl. 3 protokolu č. 2 obsahující definici „návrhu legislativního aktu“ pro účely proto</w:t>
      </w:r>
      <w:r>
        <w:rPr>
          <w:rFonts w:ascii="Times New Roman" w:hAnsi="Times New Roman" w:cs="Times New Roman"/>
        </w:rPr>
        <w:t>kolu č. 2. A viz také čl. 289 SFEU</w:t>
      </w:r>
    </w:p>
  </w:footnote>
  <w:footnote w:id="151">
    <w:p w:rsidR="00076524" w:rsidRPr="00AD7D1F" w:rsidRDefault="00076524" w:rsidP="00751419">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Viz čl. 291 SFEU</w:t>
      </w:r>
    </w:p>
  </w:footnote>
  <w:footnote w:id="152">
    <w:p w:rsidR="00076524" w:rsidRPr="00AD7D1F" w:rsidRDefault="00076524" w:rsidP="00751419">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Viz čl. 290 SFEU</w:t>
      </w:r>
    </w:p>
  </w:footnote>
  <w:footnote w:id="153">
    <w:p w:rsidR="00076524" w:rsidRPr="00AD7D1F" w:rsidRDefault="00076524" w:rsidP="00751419">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Viz čl. 24 SEU</w:t>
      </w:r>
    </w:p>
  </w:footnote>
  <w:footnote w:id="154">
    <w:p w:rsidR="00076524" w:rsidRPr="00AD7D1F" w:rsidRDefault="00076524" w:rsidP="00751419">
      <w:pPr>
        <w:pStyle w:val="Textpoznpodarou"/>
        <w:jc w:val="both"/>
        <w:rPr>
          <w:rFonts w:ascii="Times New Roman" w:hAnsi="Times New Roman" w:cs="Times New Roman"/>
        </w:rPr>
      </w:pPr>
      <w:r w:rsidRPr="00AD7D1F">
        <w:rPr>
          <w:rStyle w:val="Znakapoznpodarou"/>
          <w:rFonts w:ascii="Times New Roman" w:hAnsi="Times New Roman" w:cs="Times New Roman"/>
        </w:rPr>
        <w:footnoteRef/>
      </w:r>
      <w:r w:rsidRPr="00AD7D1F">
        <w:rPr>
          <w:rFonts w:ascii="Times New Roman" w:hAnsi="Times New Roman" w:cs="Times New Roman"/>
        </w:rPr>
        <w:t xml:space="preserve"> Na podobnost s vnitrostátními podzákonnými pře</w:t>
      </w:r>
      <w:r>
        <w:rPr>
          <w:rFonts w:ascii="Times New Roman" w:hAnsi="Times New Roman" w:cs="Times New Roman"/>
        </w:rPr>
        <w:t xml:space="preserve">dpisy upozorňuje </w:t>
      </w:r>
      <w:proofErr w:type="spellStart"/>
      <w:r>
        <w:rPr>
          <w:rFonts w:ascii="Times New Roman" w:hAnsi="Times New Roman" w:cs="Times New Roman"/>
        </w:rPr>
        <w:t>Hodás</w:t>
      </w:r>
      <w:proofErr w:type="spellEnd"/>
      <w:r>
        <w:rPr>
          <w:rFonts w:ascii="Times New Roman" w:hAnsi="Times New Roman" w:cs="Times New Roman"/>
        </w:rPr>
        <w:t>. P</w:t>
      </w:r>
      <w:r w:rsidRPr="00AD7D1F">
        <w:rPr>
          <w:rFonts w:ascii="Times New Roman" w:hAnsi="Times New Roman" w:cs="Times New Roman"/>
        </w:rPr>
        <w:t xml:space="preserve">rávě ty </w:t>
      </w:r>
      <w:r w:rsidRPr="00AD7D1F">
        <w:rPr>
          <w:rFonts w:ascii="Times New Roman" w:hAnsi="Times New Roman" w:cs="Times New Roman"/>
          <w:i/>
        </w:rPr>
        <w:t xml:space="preserve">„mohou obsahovat rozhodující „detaily“ vytvářející animozity v aplikační praxi.“ </w:t>
      </w:r>
      <w:r>
        <w:rPr>
          <w:rFonts w:ascii="Times New Roman" w:hAnsi="Times New Roman" w:cs="Times New Roman"/>
          <w:i/>
        </w:rPr>
        <w:t xml:space="preserve"> </w:t>
      </w:r>
      <w:r>
        <w:rPr>
          <w:rFonts w:ascii="Times New Roman" w:hAnsi="Times New Roman" w:cs="Times New Roman"/>
        </w:rPr>
        <w:t>HODÁS:</w:t>
      </w:r>
      <w:r w:rsidRPr="00867125">
        <w:rPr>
          <w:rFonts w:ascii="Times New Roman" w:hAnsi="Times New Roman" w:cs="Times New Roman"/>
        </w:rPr>
        <w:t xml:space="preserve"> </w:t>
      </w:r>
      <w:r w:rsidRPr="00520560">
        <w:rPr>
          <w:rFonts w:ascii="Times New Roman" w:hAnsi="Times New Roman" w:cs="Times New Roman"/>
          <w:i/>
        </w:rPr>
        <w:t>Národní parlament…</w:t>
      </w:r>
      <w:r>
        <w:rPr>
          <w:rFonts w:ascii="Times New Roman" w:hAnsi="Times New Roman" w:cs="Times New Roman"/>
        </w:rPr>
        <w:t xml:space="preserve">, </w:t>
      </w:r>
      <w:r w:rsidRPr="00867125">
        <w:rPr>
          <w:rFonts w:ascii="Times New Roman" w:hAnsi="Times New Roman" w:cs="Times New Roman"/>
        </w:rPr>
        <w:t>s. 144.</w:t>
      </w:r>
    </w:p>
  </w:footnote>
  <w:footnote w:id="155">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Viz KIIVER: </w:t>
      </w:r>
      <w:proofErr w:type="spellStart"/>
      <w:r w:rsidRPr="00C560AD">
        <w:rPr>
          <w:rFonts w:ascii="Times New Roman" w:hAnsi="Times New Roman" w:cs="Times New Roman"/>
          <w:i/>
        </w:rPr>
        <w:t>The</w:t>
      </w:r>
      <w:proofErr w:type="spellEnd"/>
      <w:r w:rsidRPr="00C560AD">
        <w:rPr>
          <w:rFonts w:ascii="Times New Roman" w:hAnsi="Times New Roman" w:cs="Times New Roman"/>
          <w:i/>
        </w:rPr>
        <w:t xml:space="preserve"> Early…</w:t>
      </w:r>
      <w:r w:rsidRPr="00C560AD">
        <w:rPr>
          <w:rFonts w:ascii="Times New Roman" w:hAnsi="Times New Roman" w:cs="Times New Roman"/>
        </w:rPr>
        <w:t>, s. 106.</w:t>
      </w:r>
    </w:p>
  </w:footnote>
  <w:footnote w:id="156">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Viz COOPER: </w:t>
      </w:r>
      <w:r w:rsidRPr="00C560AD">
        <w:rPr>
          <w:rFonts w:ascii="Times New Roman" w:hAnsi="Times New Roman" w:cs="Times New Roman"/>
          <w:i/>
        </w:rPr>
        <w:t>A ‘</w:t>
      </w:r>
      <w:proofErr w:type="spellStart"/>
      <w:r w:rsidRPr="00C560AD">
        <w:rPr>
          <w:rFonts w:ascii="Times New Roman" w:hAnsi="Times New Roman" w:cs="Times New Roman"/>
          <w:i/>
        </w:rPr>
        <w:t>Virtual</w:t>
      </w:r>
      <w:proofErr w:type="spellEnd"/>
      <w:r w:rsidRPr="00C560AD">
        <w:rPr>
          <w:rFonts w:ascii="Times New Roman" w:hAnsi="Times New Roman" w:cs="Times New Roman"/>
          <w:i/>
        </w:rPr>
        <w:t xml:space="preserve"> </w:t>
      </w:r>
      <w:proofErr w:type="spellStart"/>
      <w:r w:rsidRPr="00C560AD">
        <w:rPr>
          <w:rFonts w:ascii="Times New Roman" w:hAnsi="Times New Roman" w:cs="Times New Roman"/>
          <w:i/>
        </w:rPr>
        <w:t>Third</w:t>
      </w:r>
      <w:proofErr w:type="spellEnd"/>
      <w:r w:rsidRPr="00C560AD">
        <w:rPr>
          <w:rFonts w:ascii="Times New Roman" w:hAnsi="Times New Roman" w:cs="Times New Roman"/>
          <w:i/>
        </w:rPr>
        <w:t xml:space="preserve"> </w:t>
      </w:r>
      <w:proofErr w:type="spellStart"/>
      <w:r w:rsidRPr="00C560AD">
        <w:rPr>
          <w:rFonts w:ascii="Times New Roman" w:hAnsi="Times New Roman" w:cs="Times New Roman"/>
          <w:i/>
        </w:rPr>
        <w:t>Chamber</w:t>
      </w:r>
      <w:proofErr w:type="spellEnd"/>
      <w:r w:rsidRPr="00C560AD">
        <w:rPr>
          <w:rFonts w:ascii="Times New Roman" w:hAnsi="Times New Roman" w:cs="Times New Roman"/>
          <w:i/>
        </w:rPr>
        <w:t>’</w:t>
      </w:r>
      <w:r w:rsidRPr="00C560AD">
        <w:rPr>
          <w:rFonts w:ascii="Times New Roman" w:hAnsi="Times New Roman" w:cs="Times New Roman"/>
        </w:rPr>
        <w:t>…, s. 441.</w:t>
      </w:r>
    </w:p>
  </w:footnote>
  <w:footnote w:id="157">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Ostatně právě Komisi lze spolu s parlamenty označit za hlavní subjekty systému včasného varování. </w:t>
      </w:r>
    </w:p>
  </w:footnote>
  <w:footnote w:id="158">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Čl. 4 protokolu č. 2. Tyto návrhy musí být samozřejmě odůvodněny, a to i s ohledem na zásadu subsidiarity.</w:t>
      </w:r>
    </w:p>
  </w:footnote>
  <w:footnote w:id="159">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U dvoukomorových parlamentů jde o kteroukoli komoru. Zde připomínáme, že zkratka parlament může být v práci použita i ve smyslu komora, respektive může tento orgán či orgány zahrnovat, a to např. ve smyslu parlamenty či jejich komory.</w:t>
      </w:r>
    </w:p>
  </w:footnote>
  <w:footnote w:id="160">
    <w:p w:rsidR="00076524" w:rsidRPr="00C560AD" w:rsidRDefault="00076524" w:rsidP="00751419">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Fakticky může být tato lhůta delší, jelikož začíná běžet až od chvíle postoupení všech jazykových verzí. Viz KIIVER: </w:t>
      </w:r>
      <w:proofErr w:type="spellStart"/>
      <w:r w:rsidRPr="00C560AD">
        <w:rPr>
          <w:rFonts w:ascii="Times New Roman" w:hAnsi="Times New Roman" w:cs="Times New Roman"/>
          <w:i/>
        </w:rPr>
        <w:t>The</w:t>
      </w:r>
      <w:proofErr w:type="spellEnd"/>
      <w:r w:rsidRPr="00C560AD">
        <w:rPr>
          <w:rFonts w:ascii="Times New Roman" w:hAnsi="Times New Roman" w:cs="Times New Roman"/>
          <w:i/>
        </w:rPr>
        <w:t xml:space="preserve"> Early…</w:t>
      </w:r>
      <w:r w:rsidRPr="00C560AD">
        <w:rPr>
          <w:rFonts w:ascii="Times New Roman" w:hAnsi="Times New Roman" w:cs="Times New Roman"/>
        </w:rPr>
        <w:t>, s. 134. V neúspěšné Smlouvě o Ústavě pro Evropu činila tato lhůta 6 týdnů.</w:t>
      </w:r>
    </w:p>
  </w:footnote>
  <w:footnote w:id="161">
    <w:p w:rsidR="00076524" w:rsidRPr="00C560AD" w:rsidRDefault="00076524" w:rsidP="00B85FF1">
      <w:pPr>
        <w:pStyle w:val="Textpoznpodarou"/>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Viz KIIVER: </w:t>
      </w:r>
      <w:proofErr w:type="spellStart"/>
      <w:r w:rsidRPr="00C560AD">
        <w:rPr>
          <w:rFonts w:ascii="Times New Roman" w:hAnsi="Times New Roman" w:cs="Times New Roman"/>
          <w:i/>
        </w:rPr>
        <w:t>The</w:t>
      </w:r>
      <w:proofErr w:type="spellEnd"/>
      <w:r w:rsidRPr="00C560AD">
        <w:rPr>
          <w:rFonts w:ascii="Times New Roman" w:hAnsi="Times New Roman" w:cs="Times New Roman"/>
          <w:i/>
        </w:rPr>
        <w:t xml:space="preserve"> Early…</w:t>
      </w:r>
      <w:r w:rsidRPr="00C560AD">
        <w:rPr>
          <w:rFonts w:ascii="Times New Roman" w:hAnsi="Times New Roman" w:cs="Times New Roman"/>
        </w:rPr>
        <w:t>, s. 1.</w:t>
      </w:r>
    </w:p>
  </w:footnote>
  <w:footnote w:id="162">
    <w:p w:rsidR="00076524" w:rsidRPr="00C560AD" w:rsidRDefault="00076524" w:rsidP="00B76C26">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Čl. 6 protokolu č. 2. Viz také další aspekty, o kterých článek hovoří – konzultace regionálních parlamentů, předávání odůvodněných stanovisek. A viz také čl. 3 protokolu č. 1</w:t>
      </w:r>
    </w:p>
  </w:footnote>
  <w:footnote w:id="163">
    <w:p w:rsidR="00076524" w:rsidRPr="00C560AD" w:rsidRDefault="00076524" w:rsidP="00B76C26">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Viz KIIVER: </w:t>
      </w:r>
      <w:proofErr w:type="spellStart"/>
      <w:r w:rsidRPr="00C560AD">
        <w:rPr>
          <w:rFonts w:ascii="Times New Roman" w:hAnsi="Times New Roman" w:cs="Times New Roman"/>
          <w:i/>
        </w:rPr>
        <w:t>The</w:t>
      </w:r>
      <w:proofErr w:type="spellEnd"/>
      <w:r w:rsidRPr="00C560AD">
        <w:rPr>
          <w:rFonts w:ascii="Times New Roman" w:hAnsi="Times New Roman" w:cs="Times New Roman"/>
          <w:i/>
        </w:rPr>
        <w:t xml:space="preserve"> Early…</w:t>
      </w:r>
      <w:r w:rsidRPr="00C560AD">
        <w:rPr>
          <w:rFonts w:ascii="Times New Roman" w:hAnsi="Times New Roman" w:cs="Times New Roman"/>
        </w:rPr>
        <w:t>, s. 129.</w:t>
      </w:r>
    </w:p>
  </w:footnote>
  <w:footnote w:id="164">
    <w:p w:rsidR="00076524" w:rsidRPr="00B76C26" w:rsidRDefault="00076524" w:rsidP="00B76C26">
      <w:pPr>
        <w:pStyle w:val="Textpoznpodarou"/>
        <w:jc w:val="both"/>
        <w:rPr>
          <w:rFonts w:ascii="Times New Roman" w:hAnsi="Times New Roman" w:cs="Times New Roman"/>
        </w:rPr>
      </w:pPr>
      <w:r w:rsidRPr="00C560AD">
        <w:rPr>
          <w:rStyle w:val="Znakapoznpodarou"/>
          <w:rFonts w:ascii="Times New Roman" w:hAnsi="Times New Roman" w:cs="Times New Roman"/>
        </w:rPr>
        <w:footnoteRef/>
      </w:r>
      <w:r w:rsidRPr="00C560AD">
        <w:rPr>
          <w:rFonts w:ascii="Times New Roman" w:hAnsi="Times New Roman" w:cs="Times New Roman"/>
        </w:rPr>
        <w:t xml:space="preserve"> Viz čl. 7 odst. 1 protokolu č. 2</w:t>
      </w:r>
    </w:p>
  </w:footnote>
  <w:footnote w:id="165">
    <w:p w:rsidR="00076524" w:rsidRPr="00B76C26" w:rsidRDefault="00076524" w:rsidP="00B76C26">
      <w:pPr>
        <w:pStyle w:val="Textpoznpodarou"/>
        <w:jc w:val="both"/>
        <w:rPr>
          <w:rFonts w:ascii="Times New Roman" w:hAnsi="Times New Roman" w:cs="Times New Roman"/>
        </w:rPr>
      </w:pPr>
      <w:r w:rsidRPr="00B76C26">
        <w:rPr>
          <w:rStyle w:val="Znakapoznpodarou"/>
          <w:rFonts w:ascii="Times New Roman" w:hAnsi="Times New Roman" w:cs="Times New Roman"/>
        </w:rPr>
        <w:footnoteRef/>
      </w:r>
      <w:r w:rsidRPr="00B76C26">
        <w:rPr>
          <w:rFonts w:ascii="Times New Roman" w:hAnsi="Times New Roman" w:cs="Times New Roman"/>
        </w:rPr>
        <w:t xml:space="preserve"> Označení má původ ve fotbalové terminologii. Viz </w:t>
      </w:r>
      <w:r>
        <w:rPr>
          <w:rFonts w:ascii="Times New Roman" w:hAnsi="Times New Roman" w:cs="Times New Roman"/>
        </w:rPr>
        <w:t xml:space="preserve">např. </w:t>
      </w:r>
      <w:r w:rsidRPr="005104CB">
        <w:rPr>
          <w:rFonts w:ascii="Times New Roman" w:hAnsi="Times New Roman" w:cs="Times New Roman"/>
        </w:rPr>
        <w:t xml:space="preserve">LOUIS, Jean-Victor. </w:t>
      </w:r>
      <w:proofErr w:type="spellStart"/>
      <w:r w:rsidRPr="005104CB">
        <w:rPr>
          <w:rFonts w:ascii="Times New Roman" w:hAnsi="Times New Roman" w:cs="Times New Roman"/>
        </w:rPr>
        <w:t>The</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Lisbon</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Treaty</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The</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Irish</w:t>
      </w:r>
      <w:proofErr w:type="spellEnd"/>
      <w:r w:rsidRPr="005104CB">
        <w:rPr>
          <w:rFonts w:ascii="Times New Roman" w:hAnsi="Times New Roman" w:cs="Times New Roman"/>
        </w:rPr>
        <w:t xml:space="preserve"> ‘No’.: </w:t>
      </w:r>
      <w:proofErr w:type="spellStart"/>
      <w:r w:rsidRPr="005104CB">
        <w:rPr>
          <w:rFonts w:ascii="Times New Roman" w:hAnsi="Times New Roman" w:cs="Times New Roman"/>
        </w:rPr>
        <w:t>National</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Parliaments</w:t>
      </w:r>
      <w:proofErr w:type="spellEnd"/>
      <w:r w:rsidRPr="005104CB">
        <w:rPr>
          <w:rFonts w:ascii="Times New Roman" w:hAnsi="Times New Roman" w:cs="Times New Roman"/>
        </w:rPr>
        <w:t xml:space="preserve"> and </w:t>
      </w:r>
      <w:proofErr w:type="spellStart"/>
      <w:r w:rsidRPr="005104CB">
        <w:rPr>
          <w:rFonts w:ascii="Times New Roman" w:hAnsi="Times New Roman" w:cs="Times New Roman"/>
        </w:rPr>
        <w:t>the</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Principle</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of</w:t>
      </w:r>
      <w:proofErr w:type="spellEnd"/>
      <w:r w:rsidRPr="005104CB">
        <w:rPr>
          <w:rFonts w:ascii="Times New Roman" w:hAnsi="Times New Roman" w:cs="Times New Roman"/>
        </w:rPr>
        <w:t xml:space="preserve"> Subsidiarity – </w:t>
      </w:r>
      <w:proofErr w:type="spellStart"/>
      <w:r w:rsidRPr="005104CB">
        <w:rPr>
          <w:rFonts w:ascii="Times New Roman" w:hAnsi="Times New Roman" w:cs="Times New Roman"/>
        </w:rPr>
        <w:t>Legal</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Options</w:t>
      </w:r>
      <w:proofErr w:type="spellEnd"/>
      <w:r w:rsidRPr="005104CB">
        <w:rPr>
          <w:rFonts w:ascii="Times New Roman" w:hAnsi="Times New Roman" w:cs="Times New Roman"/>
        </w:rPr>
        <w:t xml:space="preserve"> and </w:t>
      </w:r>
      <w:proofErr w:type="spellStart"/>
      <w:r w:rsidRPr="005104CB">
        <w:rPr>
          <w:rFonts w:ascii="Times New Roman" w:hAnsi="Times New Roman" w:cs="Times New Roman"/>
        </w:rPr>
        <w:t>Practical</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rPr>
        <w:t>Limits</w:t>
      </w:r>
      <w:proofErr w:type="spellEnd"/>
      <w:r w:rsidRPr="005104CB">
        <w:rPr>
          <w:rFonts w:ascii="Times New Roman" w:hAnsi="Times New Roman" w:cs="Times New Roman"/>
        </w:rPr>
        <w:t xml:space="preserve">. </w:t>
      </w:r>
      <w:proofErr w:type="spellStart"/>
      <w:r w:rsidRPr="005104CB">
        <w:rPr>
          <w:rFonts w:ascii="Times New Roman" w:hAnsi="Times New Roman" w:cs="Times New Roman"/>
          <w:i/>
        </w:rPr>
        <w:t>European</w:t>
      </w:r>
      <w:proofErr w:type="spellEnd"/>
      <w:r w:rsidRPr="005104CB">
        <w:rPr>
          <w:rFonts w:ascii="Times New Roman" w:hAnsi="Times New Roman" w:cs="Times New Roman"/>
          <w:i/>
        </w:rPr>
        <w:t xml:space="preserve"> </w:t>
      </w:r>
      <w:proofErr w:type="spellStart"/>
      <w:r w:rsidRPr="005104CB">
        <w:rPr>
          <w:rFonts w:ascii="Times New Roman" w:hAnsi="Times New Roman" w:cs="Times New Roman"/>
          <w:i/>
        </w:rPr>
        <w:t>Constitutional</w:t>
      </w:r>
      <w:proofErr w:type="spellEnd"/>
      <w:r w:rsidRPr="005104CB">
        <w:rPr>
          <w:rFonts w:ascii="Times New Roman" w:hAnsi="Times New Roman" w:cs="Times New Roman"/>
          <w:i/>
        </w:rPr>
        <w:t xml:space="preserve"> </w:t>
      </w:r>
      <w:proofErr w:type="spellStart"/>
      <w:r w:rsidRPr="005104CB">
        <w:rPr>
          <w:rFonts w:ascii="Times New Roman" w:hAnsi="Times New Roman" w:cs="Times New Roman"/>
          <w:i/>
        </w:rPr>
        <w:t>Law</w:t>
      </w:r>
      <w:proofErr w:type="spellEnd"/>
      <w:r w:rsidRPr="005104CB">
        <w:rPr>
          <w:rFonts w:ascii="Times New Roman" w:hAnsi="Times New Roman" w:cs="Times New Roman"/>
          <w:i/>
        </w:rPr>
        <w:t xml:space="preserve"> </w:t>
      </w:r>
      <w:proofErr w:type="spellStart"/>
      <w:r w:rsidRPr="005104CB">
        <w:rPr>
          <w:rFonts w:ascii="Times New Roman" w:hAnsi="Times New Roman" w:cs="Times New Roman"/>
          <w:i/>
        </w:rPr>
        <w:t>Review</w:t>
      </w:r>
      <w:proofErr w:type="spellEnd"/>
      <w:r w:rsidRPr="005104CB">
        <w:rPr>
          <w:rFonts w:ascii="Times New Roman" w:hAnsi="Times New Roman" w:cs="Times New Roman"/>
        </w:rPr>
        <w:t xml:space="preserve">, 2008, vol. 4, </w:t>
      </w:r>
      <w:proofErr w:type="spellStart"/>
      <w:r w:rsidRPr="005104CB">
        <w:rPr>
          <w:rFonts w:ascii="Times New Roman" w:hAnsi="Times New Roman" w:cs="Times New Roman"/>
        </w:rPr>
        <w:t>iss</w:t>
      </w:r>
      <w:proofErr w:type="spellEnd"/>
      <w:r w:rsidRPr="005104CB">
        <w:rPr>
          <w:rFonts w:ascii="Times New Roman" w:hAnsi="Times New Roman" w:cs="Times New Roman"/>
        </w:rPr>
        <w:t>. 3, s. 438.</w:t>
      </w:r>
    </w:p>
  </w:footnote>
  <w:footnote w:id="166">
    <w:p w:rsidR="00076524" w:rsidRPr="00D314CA" w:rsidRDefault="00076524" w:rsidP="00B76C26">
      <w:pPr>
        <w:pStyle w:val="Textpoznpodarou"/>
        <w:jc w:val="both"/>
        <w:rPr>
          <w:rFonts w:ascii="Times New Roman" w:hAnsi="Times New Roman" w:cs="Times New Roman"/>
          <w:highlight w:val="cyan"/>
        </w:rPr>
      </w:pPr>
      <w:r w:rsidRPr="00B76C26">
        <w:rPr>
          <w:rStyle w:val="Znakapoznpodarou"/>
          <w:rFonts w:ascii="Times New Roman" w:hAnsi="Times New Roman" w:cs="Times New Roman"/>
        </w:rPr>
        <w:footnoteRef/>
      </w:r>
      <w:r w:rsidRPr="00B76C26">
        <w:rPr>
          <w:rFonts w:ascii="Times New Roman" w:hAnsi="Times New Roman" w:cs="Times New Roman"/>
        </w:rPr>
        <w:t xml:space="preserve"> </w:t>
      </w:r>
      <w:r>
        <w:rPr>
          <w:rFonts w:ascii="Times New Roman" w:hAnsi="Times New Roman" w:cs="Times New Roman"/>
        </w:rPr>
        <w:t xml:space="preserve">Čl. 7 </w:t>
      </w:r>
      <w:r w:rsidRPr="00340BB5">
        <w:rPr>
          <w:rFonts w:ascii="Times New Roman" w:hAnsi="Times New Roman" w:cs="Times New Roman"/>
        </w:rPr>
        <w:t>odst. 2 protokolu č. 2</w:t>
      </w:r>
    </w:p>
  </w:footnote>
  <w:footnote w:id="167">
    <w:p w:rsidR="00076524" w:rsidRPr="00B76C26" w:rsidRDefault="00076524" w:rsidP="00B76C26">
      <w:pPr>
        <w:pStyle w:val="Textpoznpodarou"/>
        <w:jc w:val="both"/>
        <w:rPr>
          <w:rFonts w:ascii="Times New Roman" w:hAnsi="Times New Roman" w:cs="Times New Roman"/>
        </w:rPr>
      </w:pPr>
      <w:r w:rsidRPr="00E31CAE">
        <w:rPr>
          <w:rStyle w:val="Znakapoznpodarou"/>
          <w:rFonts w:ascii="Times New Roman" w:hAnsi="Times New Roman" w:cs="Times New Roman"/>
        </w:rPr>
        <w:footnoteRef/>
      </w:r>
      <w:r w:rsidRPr="00E31CAE">
        <w:rPr>
          <w:rFonts w:ascii="Times New Roman" w:hAnsi="Times New Roman" w:cs="Times New Roman"/>
        </w:rPr>
        <w:t xml:space="preserve"> Čl. 7 odst. 1 protokolu č. 2</w:t>
      </w:r>
    </w:p>
  </w:footnote>
  <w:footnote w:id="168">
    <w:p w:rsidR="00076524" w:rsidRDefault="00076524" w:rsidP="00B76C26">
      <w:pPr>
        <w:pStyle w:val="Textpoznpodarou"/>
        <w:jc w:val="both"/>
      </w:pPr>
      <w:r w:rsidRPr="00B76C26">
        <w:rPr>
          <w:rStyle w:val="Znakapoznpodarou"/>
          <w:rFonts w:ascii="Times New Roman" w:hAnsi="Times New Roman" w:cs="Times New Roman"/>
        </w:rPr>
        <w:footnoteRef/>
      </w:r>
      <w:r>
        <w:rPr>
          <w:rFonts w:ascii="Times New Roman" w:hAnsi="Times New Roman" w:cs="Times New Roman"/>
        </w:rPr>
        <w:t xml:space="preserve"> Viz </w:t>
      </w:r>
      <w:r w:rsidRPr="00D46366">
        <w:rPr>
          <w:rFonts w:ascii="Times New Roman" w:hAnsi="Times New Roman" w:cs="Times New Roman"/>
        </w:rPr>
        <w:t>CYGAN</w:t>
      </w:r>
      <w:r>
        <w:rPr>
          <w:rFonts w:ascii="Times New Roman" w:hAnsi="Times New Roman" w:cs="Times New Roman"/>
        </w:rPr>
        <w:t xml:space="preserve">: </w:t>
      </w:r>
      <w:proofErr w:type="spellStart"/>
      <w:r w:rsidRPr="008A4ADA">
        <w:rPr>
          <w:rFonts w:ascii="Times New Roman" w:hAnsi="Times New Roman" w:cs="Times New Roman"/>
          <w:i/>
        </w:rPr>
        <w:t>National</w:t>
      </w:r>
      <w:proofErr w:type="spellEnd"/>
      <w:r w:rsidRPr="008A4ADA">
        <w:rPr>
          <w:rFonts w:ascii="Times New Roman" w:hAnsi="Times New Roman" w:cs="Times New Roman"/>
          <w:i/>
        </w:rPr>
        <w:t>…</w:t>
      </w:r>
      <w:r w:rsidRPr="00B76C26">
        <w:rPr>
          <w:rFonts w:ascii="Times New Roman" w:hAnsi="Times New Roman" w:cs="Times New Roman"/>
        </w:rPr>
        <w:t>, s. 523.</w:t>
      </w:r>
    </w:p>
  </w:footnote>
  <w:footnote w:id="169">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SVOBODOVÁ, Magdaléna. K úloze vnitrostátních parlamentů v Evropské unii a fungování mechanismu předběžného varování. </w:t>
      </w:r>
      <w:r w:rsidRPr="00F94D90">
        <w:rPr>
          <w:rFonts w:ascii="Times New Roman" w:hAnsi="Times New Roman" w:cs="Times New Roman"/>
          <w:i/>
        </w:rPr>
        <w:t>Jurisprudence</w:t>
      </w:r>
      <w:r w:rsidRPr="00F94D90">
        <w:rPr>
          <w:rFonts w:ascii="Times New Roman" w:hAnsi="Times New Roman" w:cs="Times New Roman"/>
        </w:rPr>
        <w:t>, 2016, č. 1, s. 16.</w:t>
      </w:r>
    </w:p>
  </w:footnote>
  <w:footnote w:id="170">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Zde má označení</w:t>
      </w:r>
      <w:r>
        <w:rPr>
          <w:rFonts w:ascii="Times New Roman" w:hAnsi="Times New Roman" w:cs="Times New Roman"/>
        </w:rPr>
        <w:t xml:space="preserve"> původ v terminologii dopravní. K</w:t>
      </w:r>
      <w:r w:rsidRPr="00F94D90">
        <w:rPr>
          <w:rFonts w:ascii="Times New Roman" w:hAnsi="Times New Roman" w:cs="Times New Roman"/>
        </w:rPr>
        <w:t>onkrétně jde o situaci, kdy zelenou vystřídá na semaforu oranžová znač</w:t>
      </w:r>
      <w:r>
        <w:rPr>
          <w:rFonts w:ascii="Times New Roman" w:hAnsi="Times New Roman" w:cs="Times New Roman"/>
        </w:rPr>
        <w:t>ící, že záhy přijde červená. Zkoumaný systém</w:t>
      </w:r>
      <w:r w:rsidRPr="00F94D90">
        <w:rPr>
          <w:rFonts w:ascii="Times New Roman" w:hAnsi="Times New Roman" w:cs="Times New Roman"/>
        </w:rPr>
        <w:t xml:space="preserve"> však končí u oranžové. Viz </w:t>
      </w:r>
      <w:r>
        <w:rPr>
          <w:rFonts w:ascii="Times New Roman" w:hAnsi="Times New Roman" w:cs="Times New Roman"/>
        </w:rPr>
        <w:t xml:space="preserve">LOUIS: </w:t>
      </w:r>
      <w:proofErr w:type="spellStart"/>
      <w:r w:rsidRPr="00695E72">
        <w:rPr>
          <w:rFonts w:ascii="Times New Roman" w:hAnsi="Times New Roman" w:cs="Times New Roman"/>
          <w:i/>
        </w:rPr>
        <w:t>The</w:t>
      </w:r>
      <w:proofErr w:type="spellEnd"/>
      <w:r w:rsidRPr="00695E72">
        <w:rPr>
          <w:rFonts w:ascii="Times New Roman" w:hAnsi="Times New Roman" w:cs="Times New Roman"/>
          <w:i/>
        </w:rPr>
        <w:t xml:space="preserve"> </w:t>
      </w:r>
      <w:proofErr w:type="spellStart"/>
      <w:r w:rsidRPr="00695E72">
        <w:rPr>
          <w:rFonts w:ascii="Times New Roman" w:hAnsi="Times New Roman" w:cs="Times New Roman"/>
          <w:i/>
        </w:rPr>
        <w:t>Lisbon</w:t>
      </w:r>
      <w:proofErr w:type="spellEnd"/>
      <w:r w:rsidRPr="00695E72">
        <w:rPr>
          <w:rFonts w:ascii="Times New Roman" w:hAnsi="Times New Roman" w:cs="Times New Roman"/>
          <w:i/>
        </w:rPr>
        <w:t>…</w:t>
      </w:r>
      <w:r>
        <w:rPr>
          <w:rFonts w:ascii="Times New Roman" w:hAnsi="Times New Roman" w:cs="Times New Roman"/>
        </w:rPr>
        <w:t>, s. 141</w:t>
      </w:r>
      <w:r w:rsidRPr="00F94D90">
        <w:rPr>
          <w:rFonts w:ascii="Times New Roman" w:hAnsi="Times New Roman" w:cs="Times New Roman"/>
        </w:rPr>
        <w:t xml:space="preserve">. </w:t>
      </w:r>
    </w:p>
  </w:footnote>
  <w:footnote w:id="171">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Viz např.</w:t>
      </w:r>
      <w:r w:rsidRPr="0064406C">
        <w:t xml:space="preserve"> </w:t>
      </w:r>
      <w:r w:rsidRPr="0064406C">
        <w:rPr>
          <w:rFonts w:ascii="Times New Roman" w:hAnsi="Times New Roman" w:cs="Times New Roman"/>
        </w:rPr>
        <w:t xml:space="preserve">RAUNIO, </w:t>
      </w:r>
      <w:proofErr w:type="spellStart"/>
      <w:r w:rsidRPr="0064406C">
        <w:rPr>
          <w:rFonts w:ascii="Times New Roman" w:hAnsi="Times New Roman" w:cs="Times New Roman"/>
        </w:rPr>
        <w:t>Taupio</w:t>
      </w:r>
      <w:proofErr w:type="spellEnd"/>
      <w:r w:rsidRPr="0064406C">
        <w:rPr>
          <w:rFonts w:ascii="Times New Roman" w:hAnsi="Times New Roman" w:cs="Times New Roman"/>
        </w:rPr>
        <w:t xml:space="preserve">. </w:t>
      </w:r>
      <w:proofErr w:type="spellStart"/>
      <w:r w:rsidRPr="007603A9">
        <w:rPr>
          <w:rFonts w:ascii="Times New Roman" w:hAnsi="Times New Roman" w:cs="Times New Roman"/>
          <w:i/>
        </w:rPr>
        <w:t>Destined</w:t>
      </w:r>
      <w:proofErr w:type="spellEnd"/>
      <w:r w:rsidRPr="007603A9">
        <w:rPr>
          <w:rFonts w:ascii="Times New Roman" w:hAnsi="Times New Roman" w:cs="Times New Roman"/>
          <w:i/>
        </w:rPr>
        <w:t xml:space="preserve"> </w:t>
      </w:r>
      <w:proofErr w:type="spellStart"/>
      <w:r w:rsidRPr="007603A9">
        <w:rPr>
          <w:rFonts w:ascii="Times New Roman" w:hAnsi="Times New Roman" w:cs="Times New Roman"/>
          <w:i/>
        </w:rPr>
        <w:t>for</w:t>
      </w:r>
      <w:proofErr w:type="spellEnd"/>
      <w:r w:rsidRPr="007603A9">
        <w:rPr>
          <w:rFonts w:ascii="Times New Roman" w:hAnsi="Times New Roman" w:cs="Times New Roman"/>
          <w:i/>
        </w:rPr>
        <w:t xml:space="preserve"> </w:t>
      </w:r>
      <w:proofErr w:type="spellStart"/>
      <w:r w:rsidRPr="007603A9">
        <w:rPr>
          <w:rFonts w:ascii="Times New Roman" w:hAnsi="Times New Roman" w:cs="Times New Roman"/>
          <w:i/>
        </w:rPr>
        <w:t>Irrelevance</w:t>
      </w:r>
      <w:proofErr w:type="spellEnd"/>
      <w:r w:rsidRPr="007603A9">
        <w:rPr>
          <w:rFonts w:ascii="Times New Roman" w:hAnsi="Times New Roman" w:cs="Times New Roman"/>
          <w:i/>
        </w:rPr>
        <w:t xml:space="preserve">? Subsidiarity </w:t>
      </w:r>
      <w:proofErr w:type="spellStart"/>
      <w:r w:rsidRPr="007603A9">
        <w:rPr>
          <w:rFonts w:ascii="Times New Roman" w:hAnsi="Times New Roman" w:cs="Times New Roman"/>
          <w:i/>
        </w:rPr>
        <w:t>Control</w:t>
      </w:r>
      <w:proofErr w:type="spellEnd"/>
      <w:r w:rsidRPr="007603A9">
        <w:rPr>
          <w:rFonts w:ascii="Times New Roman" w:hAnsi="Times New Roman" w:cs="Times New Roman"/>
          <w:i/>
        </w:rPr>
        <w:t xml:space="preserve"> by </w:t>
      </w:r>
      <w:proofErr w:type="spellStart"/>
      <w:r w:rsidRPr="007603A9">
        <w:rPr>
          <w:rFonts w:ascii="Times New Roman" w:hAnsi="Times New Roman" w:cs="Times New Roman"/>
          <w:i/>
        </w:rPr>
        <w:t>National</w:t>
      </w:r>
      <w:proofErr w:type="spellEnd"/>
      <w:r w:rsidRPr="007603A9">
        <w:rPr>
          <w:rFonts w:ascii="Times New Roman" w:hAnsi="Times New Roman" w:cs="Times New Roman"/>
          <w:i/>
        </w:rPr>
        <w:t xml:space="preserve"> </w:t>
      </w:r>
      <w:proofErr w:type="spellStart"/>
      <w:r w:rsidRPr="007603A9">
        <w:rPr>
          <w:rFonts w:ascii="Times New Roman" w:hAnsi="Times New Roman" w:cs="Times New Roman"/>
          <w:i/>
        </w:rPr>
        <w:t>Parliaments</w:t>
      </w:r>
      <w:proofErr w:type="spellEnd"/>
      <w:r w:rsidRPr="0064406C">
        <w:rPr>
          <w:rFonts w:ascii="Times New Roman" w:hAnsi="Times New Roman" w:cs="Times New Roman"/>
        </w:rPr>
        <w:t xml:space="preserve"> [online]. Real </w:t>
      </w:r>
      <w:proofErr w:type="spellStart"/>
      <w:r w:rsidRPr="0064406C">
        <w:rPr>
          <w:rFonts w:ascii="Times New Roman" w:hAnsi="Times New Roman" w:cs="Times New Roman"/>
        </w:rPr>
        <w:t>Insti</w:t>
      </w:r>
      <w:r>
        <w:rPr>
          <w:rFonts w:ascii="Times New Roman" w:hAnsi="Times New Roman" w:cs="Times New Roman"/>
        </w:rPr>
        <w:t>tuto</w:t>
      </w:r>
      <w:proofErr w:type="spellEnd"/>
      <w:r>
        <w:rPr>
          <w:rFonts w:ascii="Times New Roman" w:hAnsi="Times New Roman" w:cs="Times New Roman"/>
        </w:rPr>
        <w:t xml:space="preserve"> </w:t>
      </w:r>
      <w:proofErr w:type="spellStart"/>
      <w:r>
        <w:rPr>
          <w:rFonts w:ascii="Times New Roman" w:hAnsi="Times New Roman" w:cs="Times New Roman"/>
        </w:rPr>
        <w:t>Elcano</w:t>
      </w:r>
      <w:proofErr w:type="spellEnd"/>
      <w:r>
        <w:rPr>
          <w:rFonts w:ascii="Times New Roman" w:hAnsi="Times New Roman" w:cs="Times New Roman"/>
        </w:rPr>
        <w:t>, 19. listopadu 2010</w:t>
      </w:r>
      <w:r w:rsidRPr="0064406C">
        <w:rPr>
          <w:rFonts w:ascii="Times New Roman" w:hAnsi="Times New Roman" w:cs="Times New Roman"/>
        </w:rPr>
        <w:t xml:space="preserve"> [cit. 8. prosince 2016]. Dostupné na &lt;http://www.realinstitutoelcano.org/wps/portal/web/rielcano_en/contenido?WCM_GLOBAL_CONTEXT=/elcano/elcano_in/zonas_in/dt36-2010&gt;.</w:t>
      </w:r>
    </w:p>
  </w:footnote>
  <w:footnote w:id="172">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Prost</w:t>
      </w:r>
      <w:r>
        <w:rPr>
          <w:rFonts w:ascii="Times New Roman" w:hAnsi="Times New Roman" w:cs="Times New Roman"/>
        </w:rPr>
        <w:t>á většina se zde rovná většině všech hlasů</w:t>
      </w:r>
      <w:r w:rsidRPr="00F94D90">
        <w:rPr>
          <w:rFonts w:ascii="Times New Roman" w:hAnsi="Times New Roman" w:cs="Times New Roman"/>
        </w:rPr>
        <w:t xml:space="preserve">. Viz </w:t>
      </w:r>
      <w:r w:rsidRPr="009D68C4">
        <w:rPr>
          <w:rFonts w:ascii="Times New Roman" w:hAnsi="Times New Roman" w:cs="Times New Roman"/>
        </w:rPr>
        <w:t xml:space="preserve">KIIVER, Philipp. </w:t>
      </w:r>
      <w:proofErr w:type="spellStart"/>
      <w:r w:rsidRPr="009D68C4">
        <w:rPr>
          <w:rFonts w:ascii="Times New Roman" w:hAnsi="Times New Roman" w:cs="Times New Roman"/>
        </w:rPr>
        <w:t>The</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Treaty</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of</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Lisbon</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the</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National</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Parliaments</w:t>
      </w:r>
      <w:proofErr w:type="spellEnd"/>
      <w:r w:rsidRPr="009D68C4">
        <w:rPr>
          <w:rFonts w:ascii="Times New Roman" w:hAnsi="Times New Roman" w:cs="Times New Roman"/>
        </w:rPr>
        <w:t xml:space="preserve"> and </w:t>
      </w:r>
      <w:proofErr w:type="spellStart"/>
      <w:r w:rsidRPr="009D68C4">
        <w:rPr>
          <w:rFonts w:ascii="Times New Roman" w:hAnsi="Times New Roman" w:cs="Times New Roman"/>
        </w:rPr>
        <w:t>the</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Principle</w:t>
      </w:r>
      <w:proofErr w:type="spellEnd"/>
      <w:r w:rsidRPr="009D68C4">
        <w:rPr>
          <w:rFonts w:ascii="Times New Roman" w:hAnsi="Times New Roman" w:cs="Times New Roman"/>
        </w:rPr>
        <w:t xml:space="preserve"> </w:t>
      </w:r>
      <w:proofErr w:type="spellStart"/>
      <w:r w:rsidRPr="009D68C4">
        <w:rPr>
          <w:rFonts w:ascii="Times New Roman" w:hAnsi="Times New Roman" w:cs="Times New Roman"/>
        </w:rPr>
        <w:t>of</w:t>
      </w:r>
      <w:proofErr w:type="spellEnd"/>
      <w:r w:rsidRPr="009D68C4">
        <w:rPr>
          <w:rFonts w:ascii="Times New Roman" w:hAnsi="Times New Roman" w:cs="Times New Roman"/>
        </w:rPr>
        <w:t xml:space="preserve"> Subsidiarity. </w:t>
      </w:r>
      <w:r w:rsidRPr="009D68C4">
        <w:rPr>
          <w:rFonts w:ascii="Times New Roman" w:hAnsi="Times New Roman" w:cs="Times New Roman"/>
          <w:i/>
        </w:rPr>
        <w:t xml:space="preserve">Maastricht </w:t>
      </w:r>
      <w:proofErr w:type="spellStart"/>
      <w:r w:rsidRPr="009D68C4">
        <w:rPr>
          <w:rFonts w:ascii="Times New Roman" w:hAnsi="Times New Roman" w:cs="Times New Roman"/>
          <w:i/>
        </w:rPr>
        <w:t>Journal</w:t>
      </w:r>
      <w:proofErr w:type="spellEnd"/>
      <w:r w:rsidRPr="009D68C4">
        <w:rPr>
          <w:rFonts w:ascii="Times New Roman" w:hAnsi="Times New Roman" w:cs="Times New Roman"/>
          <w:i/>
        </w:rPr>
        <w:t xml:space="preserve"> </w:t>
      </w:r>
      <w:proofErr w:type="spellStart"/>
      <w:r w:rsidRPr="009D68C4">
        <w:rPr>
          <w:rFonts w:ascii="Times New Roman" w:hAnsi="Times New Roman" w:cs="Times New Roman"/>
          <w:i/>
        </w:rPr>
        <w:t>of</w:t>
      </w:r>
      <w:proofErr w:type="spellEnd"/>
      <w:r w:rsidRPr="009D68C4">
        <w:rPr>
          <w:rFonts w:ascii="Times New Roman" w:hAnsi="Times New Roman" w:cs="Times New Roman"/>
          <w:i/>
        </w:rPr>
        <w:t xml:space="preserve"> </w:t>
      </w:r>
      <w:proofErr w:type="spellStart"/>
      <w:r w:rsidRPr="009D68C4">
        <w:rPr>
          <w:rFonts w:ascii="Times New Roman" w:hAnsi="Times New Roman" w:cs="Times New Roman"/>
          <w:i/>
        </w:rPr>
        <w:t>European</w:t>
      </w:r>
      <w:proofErr w:type="spellEnd"/>
      <w:r w:rsidRPr="009D68C4">
        <w:rPr>
          <w:rFonts w:ascii="Times New Roman" w:hAnsi="Times New Roman" w:cs="Times New Roman"/>
          <w:i/>
        </w:rPr>
        <w:t xml:space="preserve"> and </w:t>
      </w:r>
      <w:proofErr w:type="spellStart"/>
      <w:r w:rsidRPr="009D68C4">
        <w:rPr>
          <w:rFonts w:ascii="Times New Roman" w:hAnsi="Times New Roman" w:cs="Times New Roman"/>
          <w:i/>
        </w:rPr>
        <w:t>Comparative</w:t>
      </w:r>
      <w:proofErr w:type="spellEnd"/>
      <w:r w:rsidRPr="009D68C4">
        <w:rPr>
          <w:rFonts w:ascii="Times New Roman" w:hAnsi="Times New Roman" w:cs="Times New Roman"/>
          <w:i/>
        </w:rPr>
        <w:t xml:space="preserve"> </w:t>
      </w:r>
      <w:proofErr w:type="spellStart"/>
      <w:r w:rsidRPr="009D68C4">
        <w:rPr>
          <w:rFonts w:ascii="Times New Roman" w:hAnsi="Times New Roman" w:cs="Times New Roman"/>
          <w:i/>
        </w:rPr>
        <w:t>Law</w:t>
      </w:r>
      <w:proofErr w:type="spellEnd"/>
      <w:r w:rsidRPr="009D68C4">
        <w:rPr>
          <w:rFonts w:ascii="Times New Roman" w:hAnsi="Times New Roman" w:cs="Times New Roman"/>
        </w:rPr>
        <w:t>, 2008, vol. 15, s. 81.</w:t>
      </w:r>
    </w:p>
  </w:footnote>
  <w:footnote w:id="173">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Viz např. </w:t>
      </w:r>
      <w:r>
        <w:rPr>
          <w:rFonts w:ascii="Times New Roman" w:hAnsi="Times New Roman" w:cs="Times New Roman"/>
        </w:rPr>
        <w:t>COOPER:</w:t>
      </w:r>
      <w:r w:rsidRPr="001F0F36">
        <w:rPr>
          <w:rFonts w:ascii="Times New Roman" w:hAnsi="Times New Roman" w:cs="Times New Roman"/>
        </w:rPr>
        <w:t xml:space="preserve"> </w:t>
      </w:r>
      <w:r w:rsidRPr="00715B82">
        <w:rPr>
          <w:rFonts w:ascii="Times New Roman" w:hAnsi="Times New Roman" w:cs="Times New Roman"/>
          <w:i/>
        </w:rPr>
        <w:t>A ‘</w:t>
      </w:r>
      <w:proofErr w:type="spellStart"/>
      <w:r w:rsidRPr="00715B82">
        <w:rPr>
          <w:rFonts w:ascii="Times New Roman" w:hAnsi="Times New Roman" w:cs="Times New Roman"/>
          <w:i/>
        </w:rPr>
        <w:t>Virtual</w:t>
      </w:r>
      <w:proofErr w:type="spellEnd"/>
      <w:r w:rsidRPr="00715B82">
        <w:rPr>
          <w:rFonts w:ascii="Times New Roman" w:hAnsi="Times New Roman" w:cs="Times New Roman"/>
          <w:i/>
        </w:rPr>
        <w:t xml:space="preserve"> </w:t>
      </w:r>
      <w:proofErr w:type="spellStart"/>
      <w:r w:rsidRPr="00715B82">
        <w:rPr>
          <w:rFonts w:ascii="Times New Roman" w:hAnsi="Times New Roman" w:cs="Times New Roman"/>
          <w:i/>
        </w:rPr>
        <w:t>Third</w:t>
      </w:r>
      <w:proofErr w:type="spellEnd"/>
      <w:r w:rsidRPr="00715B82">
        <w:rPr>
          <w:rFonts w:ascii="Times New Roman" w:hAnsi="Times New Roman" w:cs="Times New Roman"/>
          <w:i/>
        </w:rPr>
        <w:t xml:space="preserve"> </w:t>
      </w:r>
      <w:proofErr w:type="spellStart"/>
      <w:r w:rsidRPr="00715B82">
        <w:rPr>
          <w:rFonts w:ascii="Times New Roman" w:hAnsi="Times New Roman" w:cs="Times New Roman"/>
          <w:i/>
        </w:rPr>
        <w:t>Chamber</w:t>
      </w:r>
      <w:proofErr w:type="spellEnd"/>
      <w:r w:rsidRPr="00715B82">
        <w:rPr>
          <w:rFonts w:ascii="Times New Roman" w:hAnsi="Times New Roman" w:cs="Times New Roman"/>
          <w:i/>
        </w:rPr>
        <w:t>’</w:t>
      </w:r>
      <w:r>
        <w:rPr>
          <w:rFonts w:ascii="Times New Roman" w:hAnsi="Times New Roman" w:cs="Times New Roman"/>
        </w:rPr>
        <w:t>…</w:t>
      </w:r>
      <w:r w:rsidRPr="00AD7D1F">
        <w:rPr>
          <w:rFonts w:ascii="Times New Roman" w:hAnsi="Times New Roman" w:cs="Times New Roman"/>
        </w:rPr>
        <w:t xml:space="preserve">, </w:t>
      </w:r>
      <w:r w:rsidRPr="00F94D90">
        <w:rPr>
          <w:rFonts w:ascii="Times New Roman" w:hAnsi="Times New Roman" w:cs="Times New Roman"/>
        </w:rPr>
        <w:t xml:space="preserve">s. 451. </w:t>
      </w:r>
    </w:p>
  </w:footnote>
  <w:footnote w:id="174">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Čl. 7 odst. 3 protokolu č. 2</w:t>
      </w:r>
      <w:r>
        <w:rPr>
          <w:rFonts w:ascii="Times New Roman" w:hAnsi="Times New Roman" w:cs="Times New Roman"/>
        </w:rPr>
        <w:t xml:space="preserve">. </w:t>
      </w:r>
      <w:proofErr w:type="spellStart"/>
      <w:r w:rsidRPr="00F94D90">
        <w:rPr>
          <w:rFonts w:ascii="Times New Roman" w:hAnsi="Times New Roman" w:cs="Times New Roman"/>
        </w:rPr>
        <w:t>Čakrt</w:t>
      </w:r>
      <w:proofErr w:type="spellEnd"/>
      <w:r w:rsidRPr="00F94D90">
        <w:rPr>
          <w:rFonts w:ascii="Times New Roman" w:hAnsi="Times New Roman" w:cs="Times New Roman"/>
        </w:rPr>
        <w:t xml:space="preserve"> si dobře všímá toho, že dle čl. 7 odst. 3 </w:t>
      </w:r>
      <w:r>
        <w:rPr>
          <w:rFonts w:ascii="Times New Roman" w:hAnsi="Times New Roman" w:cs="Times New Roman"/>
        </w:rPr>
        <w:t xml:space="preserve">protokolu č. 2 </w:t>
      </w:r>
      <w:r w:rsidRPr="00F94D90">
        <w:rPr>
          <w:rFonts w:ascii="Times New Roman" w:hAnsi="Times New Roman" w:cs="Times New Roman"/>
        </w:rPr>
        <w:t xml:space="preserve">již po přezkoumání návrhu rozhoduje o jeho zachování, změně či stažení pouze Komise, </w:t>
      </w:r>
      <w:r>
        <w:rPr>
          <w:rFonts w:ascii="Times New Roman" w:hAnsi="Times New Roman" w:cs="Times New Roman"/>
        </w:rPr>
        <w:t xml:space="preserve">a to </w:t>
      </w:r>
      <w:r w:rsidRPr="00F94D90">
        <w:rPr>
          <w:rFonts w:ascii="Times New Roman" w:hAnsi="Times New Roman" w:cs="Times New Roman"/>
        </w:rPr>
        <w:t xml:space="preserve">i kdyby teoreticky nebyla </w:t>
      </w:r>
      <w:r>
        <w:rPr>
          <w:rFonts w:ascii="Times New Roman" w:hAnsi="Times New Roman" w:cs="Times New Roman"/>
        </w:rPr>
        <w:t>navrhovatelem. Naproti tomu u žluté karty</w:t>
      </w:r>
      <w:r w:rsidRPr="00F94D90">
        <w:rPr>
          <w:rFonts w:ascii="Times New Roman" w:hAnsi="Times New Roman" w:cs="Times New Roman"/>
        </w:rPr>
        <w:t xml:space="preserve"> rozhoduje orgán, od kterého návrh (podnět) vzešel. Viz ČAKRT: </w:t>
      </w:r>
      <w:r w:rsidRPr="00F94D90">
        <w:rPr>
          <w:rFonts w:ascii="Times New Roman" w:hAnsi="Times New Roman" w:cs="Times New Roman"/>
          <w:i/>
        </w:rPr>
        <w:t>Lisabonská...,</w:t>
      </w:r>
      <w:r w:rsidRPr="00F94D90">
        <w:rPr>
          <w:rFonts w:ascii="Times New Roman" w:hAnsi="Times New Roman" w:cs="Times New Roman"/>
        </w:rPr>
        <w:t xml:space="preserve"> s. 8.</w:t>
      </w:r>
    </w:p>
  </w:footnote>
  <w:footnote w:id="175">
    <w:p w:rsidR="00076524" w:rsidRPr="00F94D90" w:rsidRDefault="00076524" w:rsidP="00F94D90">
      <w:pPr>
        <w:pStyle w:val="Textpoznpodarou"/>
        <w:jc w:val="both"/>
        <w:rPr>
          <w:rFonts w:ascii="Times New Roman" w:hAnsi="Times New Roman" w:cs="Times New Roman"/>
        </w:rPr>
      </w:pPr>
      <w:r w:rsidRPr="00F94D90">
        <w:rPr>
          <w:rStyle w:val="Znakapoznpodarou"/>
          <w:rFonts w:ascii="Times New Roman" w:hAnsi="Times New Roman" w:cs="Times New Roman"/>
        </w:rPr>
        <w:footnoteRef/>
      </w:r>
      <w:r w:rsidRPr="00F94D90">
        <w:rPr>
          <w:rFonts w:ascii="Times New Roman" w:hAnsi="Times New Roman" w:cs="Times New Roman"/>
        </w:rPr>
        <w:t xml:space="preserve"> Čl. 7 odst. 3 protokolu č. 2</w:t>
      </w:r>
    </w:p>
  </w:footnote>
  <w:footnote w:id="176">
    <w:p w:rsidR="00076524" w:rsidRDefault="00076524" w:rsidP="00F94D90">
      <w:pPr>
        <w:pStyle w:val="Textpoznpodarou"/>
        <w:jc w:val="both"/>
      </w:pPr>
      <w:r w:rsidRPr="00F94D90">
        <w:rPr>
          <w:rStyle w:val="Znakapoznpodarou"/>
          <w:rFonts w:ascii="Times New Roman" w:hAnsi="Times New Roman" w:cs="Times New Roman"/>
        </w:rPr>
        <w:footnoteRef/>
      </w:r>
      <w:r w:rsidRPr="00F94D90">
        <w:rPr>
          <w:rFonts w:ascii="Times New Roman" w:hAnsi="Times New Roman" w:cs="Times New Roman"/>
        </w:rPr>
        <w:t xml:space="preserve"> Viz </w:t>
      </w:r>
      <w:r w:rsidRPr="00E05B8A">
        <w:rPr>
          <w:rFonts w:ascii="Times New Roman" w:hAnsi="Times New Roman" w:cs="Times New Roman"/>
        </w:rPr>
        <w:t xml:space="preserve">GRINC: </w:t>
      </w:r>
      <w:r w:rsidRPr="00E05B8A">
        <w:rPr>
          <w:rFonts w:ascii="Times New Roman" w:hAnsi="Times New Roman" w:cs="Times New Roman"/>
          <w:i/>
        </w:rPr>
        <w:t>Národní…,</w:t>
      </w:r>
      <w:r>
        <w:rPr>
          <w:rFonts w:ascii="Times New Roman" w:hAnsi="Times New Roman" w:cs="Times New Roman"/>
          <w:i/>
        </w:rPr>
        <w:t xml:space="preserve"> </w:t>
      </w:r>
      <w:r w:rsidRPr="00F94D90">
        <w:rPr>
          <w:rFonts w:ascii="Times New Roman" w:hAnsi="Times New Roman" w:cs="Times New Roman"/>
        </w:rPr>
        <w:t>s. 166.</w:t>
      </w:r>
    </w:p>
  </w:footnote>
  <w:footnote w:id="177">
    <w:p w:rsidR="00076524" w:rsidRPr="008450DC" w:rsidRDefault="00076524" w:rsidP="00BE6EBD">
      <w:pPr>
        <w:pStyle w:val="Textpoznpodarou"/>
        <w:jc w:val="both"/>
        <w:rPr>
          <w:rFonts w:ascii="Times New Roman" w:hAnsi="Times New Roman" w:cs="Times New Roman"/>
        </w:rPr>
      </w:pPr>
      <w:r w:rsidRPr="008450DC">
        <w:rPr>
          <w:rStyle w:val="Znakapoznpodarou"/>
          <w:rFonts w:ascii="Times New Roman" w:hAnsi="Times New Roman" w:cs="Times New Roman"/>
        </w:rPr>
        <w:footnoteRef/>
      </w:r>
      <w:r w:rsidRPr="008450DC">
        <w:rPr>
          <w:rFonts w:ascii="Times New Roman" w:hAnsi="Times New Roman" w:cs="Times New Roman"/>
        </w:rPr>
        <w:t xml:space="preserve"> </w:t>
      </w:r>
      <w:r w:rsidRPr="004B7381">
        <w:rPr>
          <w:rFonts w:ascii="Times New Roman" w:hAnsi="Times New Roman" w:cs="Times New Roman"/>
        </w:rPr>
        <w:t>V této souvislosti je vhodné porovnat tuto potřebnou většinu s kvalifikovanou většinou a blokační menšinou tak, jak jsou vymezeny v čl. 238 odst. 3 písm. a) SFEU.</w:t>
      </w:r>
    </w:p>
  </w:footnote>
  <w:footnote w:id="178">
    <w:p w:rsidR="00076524" w:rsidRPr="008450DC" w:rsidRDefault="00076524" w:rsidP="00BE6EBD">
      <w:pPr>
        <w:pStyle w:val="Textpoznpodarou"/>
        <w:jc w:val="both"/>
        <w:rPr>
          <w:rFonts w:ascii="Times New Roman" w:hAnsi="Times New Roman" w:cs="Times New Roman"/>
        </w:rPr>
      </w:pPr>
      <w:r w:rsidRPr="008450DC">
        <w:rPr>
          <w:rStyle w:val="Znakapoznpodarou"/>
          <w:rFonts w:ascii="Times New Roman" w:hAnsi="Times New Roman" w:cs="Times New Roman"/>
        </w:rPr>
        <w:footnoteRef/>
      </w:r>
      <w:r>
        <w:rPr>
          <w:rFonts w:ascii="Times New Roman" w:hAnsi="Times New Roman" w:cs="Times New Roman"/>
        </w:rPr>
        <w:t xml:space="preserve"> Viz KIIVER:</w:t>
      </w:r>
      <w:r w:rsidRPr="009D68C4">
        <w:rPr>
          <w:rFonts w:ascii="Times New Roman" w:hAnsi="Times New Roman" w:cs="Times New Roman"/>
        </w:rPr>
        <w:t xml:space="preserve"> </w:t>
      </w:r>
      <w:proofErr w:type="spellStart"/>
      <w:r w:rsidRPr="003B5095">
        <w:rPr>
          <w:rFonts w:ascii="Times New Roman" w:hAnsi="Times New Roman" w:cs="Times New Roman"/>
          <w:i/>
        </w:rPr>
        <w:t>The</w:t>
      </w:r>
      <w:proofErr w:type="spellEnd"/>
      <w:r w:rsidRPr="003B5095">
        <w:rPr>
          <w:rFonts w:ascii="Times New Roman" w:hAnsi="Times New Roman" w:cs="Times New Roman"/>
          <w:i/>
        </w:rPr>
        <w:t xml:space="preserve"> </w:t>
      </w:r>
      <w:proofErr w:type="spellStart"/>
      <w:r w:rsidRPr="003B5095">
        <w:rPr>
          <w:rFonts w:ascii="Times New Roman" w:hAnsi="Times New Roman" w:cs="Times New Roman"/>
          <w:i/>
        </w:rPr>
        <w:t>Treaty</w:t>
      </w:r>
      <w:proofErr w:type="spellEnd"/>
      <w:r w:rsidRPr="003B5095">
        <w:rPr>
          <w:rFonts w:ascii="Times New Roman" w:hAnsi="Times New Roman" w:cs="Times New Roman"/>
          <w:i/>
        </w:rPr>
        <w:t>…</w:t>
      </w:r>
      <w:r w:rsidRPr="008450DC">
        <w:rPr>
          <w:rFonts w:ascii="Times New Roman" w:hAnsi="Times New Roman" w:cs="Times New Roman"/>
        </w:rPr>
        <w:t>, s. 81 a 82.</w:t>
      </w:r>
    </w:p>
  </w:footnote>
  <w:footnote w:id="179">
    <w:p w:rsidR="00076524" w:rsidRPr="008450DC" w:rsidRDefault="00076524" w:rsidP="00BE6EBD">
      <w:pPr>
        <w:pStyle w:val="Textpoznpodarou"/>
        <w:jc w:val="both"/>
        <w:rPr>
          <w:rFonts w:ascii="Times New Roman" w:hAnsi="Times New Roman" w:cs="Times New Roman"/>
        </w:rPr>
      </w:pPr>
      <w:r w:rsidRPr="008450DC">
        <w:rPr>
          <w:rStyle w:val="Znakapoznpodarou"/>
          <w:rFonts w:ascii="Times New Roman" w:hAnsi="Times New Roman" w:cs="Times New Roman"/>
        </w:rPr>
        <w:footnoteRef/>
      </w:r>
      <w:r w:rsidRPr="008450DC">
        <w:rPr>
          <w:rFonts w:ascii="Times New Roman" w:hAnsi="Times New Roman" w:cs="Times New Roman"/>
        </w:rPr>
        <w:t xml:space="preserve"> SVOBODOVÁ: </w:t>
      </w:r>
      <w:r w:rsidRPr="008450DC">
        <w:rPr>
          <w:rFonts w:ascii="Times New Roman" w:hAnsi="Times New Roman" w:cs="Times New Roman"/>
          <w:i/>
        </w:rPr>
        <w:t>K úloze…</w:t>
      </w:r>
      <w:r w:rsidRPr="008450DC">
        <w:rPr>
          <w:rFonts w:ascii="Times New Roman" w:hAnsi="Times New Roman" w:cs="Times New Roman"/>
        </w:rPr>
        <w:t>, s. 16.</w:t>
      </w:r>
    </w:p>
  </w:footnote>
  <w:footnote w:id="180">
    <w:p w:rsidR="00076524" w:rsidRPr="00921C42" w:rsidRDefault="00076524" w:rsidP="00B53445">
      <w:pPr>
        <w:pStyle w:val="Textpoznpodarou"/>
        <w:jc w:val="both"/>
        <w:rPr>
          <w:rFonts w:ascii="Times New Roman" w:hAnsi="Times New Roman" w:cs="Times New Roman"/>
        </w:rPr>
      </w:pPr>
      <w:r w:rsidRPr="00921C42">
        <w:rPr>
          <w:rStyle w:val="Znakapoznpodarou"/>
          <w:rFonts w:ascii="Times New Roman" w:hAnsi="Times New Roman" w:cs="Times New Roman"/>
        </w:rPr>
        <w:footnoteRef/>
      </w:r>
      <w:r w:rsidRPr="00921C42">
        <w:rPr>
          <w:rFonts w:ascii="Times New Roman" w:hAnsi="Times New Roman" w:cs="Times New Roman"/>
        </w:rPr>
        <w:t xml:space="preserve"> Čl. 5 protokolu č. 2. Pro úplný obraz obsahových náležitostí odůvodnění viz celé znění článku.</w:t>
      </w:r>
    </w:p>
  </w:footnote>
  <w:footnote w:id="181">
    <w:p w:rsidR="00076524" w:rsidRPr="00921C42" w:rsidRDefault="00076524" w:rsidP="00B53445">
      <w:pPr>
        <w:pStyle w:val="Textpoznpodarou"/>
        <w:jc w:val="both"/>
        <w:rPr>
          <w:rFonts w:ascii="Times New Roman" w:hAnsi="Times New Roman" w:cs="Times New Roman"/>
        </w:rPr>
      </w:pPr>
      <w:r w:rsidRPr="00921C42">
        <w:rPr>
          <w:rStyle w:val="Znakapoznpodarou"/>
          <w:rFonts w:ascii="Times New Roman" w:hAnsi="Times New Roman" w:cs="Times New Roman"/>
        </w:rPr>
        <w:footnoteRef/>
      </w:r>
      <w:r w:rsidRPr="00921C42">
        <w:rPr>
          <w:rFonts w:ascii="Times New Roman" w:hAnsi="Times New Roman" w:cs="Times New Roman"/>
        </w:rPr>
        <w:t xml:space="preserve"> Viz KIIVER: </w:t>
      </w:r>
      <w:proofErr w:type="spellStart"/>
      <w:r w:rsidRPr="00921C42">
        <w:rPr>
          <w:rFonts w:ascii="Times New Roman" w:hAnsi="Times New Roman" w:cs="Times New Roman"/>
          <w:i/>
        </w:rPr>
        <w:t>The</w:t>
      </w:r>
      <w:proofErr w:type="spellEnd"/>
      <w:r w:rsidRPr="00921C42">
        <w:rPr>
          <w:rFonts w:ascii="Times New Roman" w:hAnsi="Times New Roman" w:cs="Times New Roman"/>
          <w:i/>
        </w:rPr>
        <w:t xml:space="preserve"> Early…</w:t>
      </w:r>
      <w:r w:rsidRPr="00921C42">
        <w:rPr>
          <w:rFonts w:ascii="Times New Roman" w:hAnsi="Times New Roman" w:cs="Times New Roman"/>
        </w:rPr>
        <w:t>, s. 4,17, 100-101.</w:t>
      </w:r>
    </w:p>
  </w:footnote>
  <w:footnote w:id="182">
    <w:p w:rsidR="00076524" w:rsidRPr="00921C42" w:rsidRDefault="00076524" w:rsidP="00B53445">
      <w:pPr>
        <w:pStyle w:val="Textpoznpodarou"/>
        <w:jc w:val="both"/>
        <w:rPr>
          <w:rFonts w:ascii="Times New Roman" w:hAnsi="Times New Roman" w:cs="Times New Roman"/>
        </w:rPr>
      </w:pPr>
      <w:r w:rsidRPr="00921C42">
        <w:rPr>
          <w:rStyle w:val="Znakapoznpodarou"/>
          <w:rFonts w:ascii="Times New Roman" w:hAnsi="Times New Roman" w:cs="Times New Roman"/>
        </w:rPr>
        <w:footnoteRef/>
      </w:r>
      <w:r>
        <w:rPr>
          <w:rFonts w:ascii="Times New Roman" w:hAnsi="Times New Roman" w:cs="Times New Roman"/>
        </w:rPr>
        <w:t xml:space="preserve"> Viz body 2, 12 a</w:t>
      </w:r>
      <w:r w:rsidRPr="00921C42">
        <w:rPr>
          <w:rFonts w:ascii="Times New Roman" w:hAnsi="Times New Roman" w:cs="Times New Roman"/>
        </w:rPr>
        <w:t xml:space="preserve"> 25 Interinstitucionální dohody mezi Evropským parlamentem, Radou Evropské unie a Evropskou komisí o zdokonalení tvorby právních předpisů ze dne 13 dubna 2016. </w:t>
      </w:r>
      <w:proofErr w:type="spellStart"/>
      <w:r w:rsidRPr="00921C42">
        <w:rPr>
          <w:rFonts w:ascii="Times New Roman" w:hAnsi="Times New Roman" w:cs="Times New Roman"/>
        </w:rPr>
        <w:t>Úř</w:t>
      </w:r>
      <w:proofErr w:type="spellEnd"/>
      <w:r w:rsidRPr="00921C42">
        <w:rPr>
          <w:rFonts w:ascii="Times New Roman" w:hAnsi="Times New Roman" w:cs="Times New Roman"/>
        </w:rPr>
        <w:t xml:space="preserve">. </w:t>
      </w:r>
      <w:proofErr w:type="spellStart"/>
      <w:r w:rsidRPr="00921C42">
        <w:rPr>
          <w:rFonts w:ascii="Times New Roman" w:hAnsi="Times New Roman" w:cs="Times New Roman"/>
        </w:rPr>
        <w:t>věst</w:t>
      </w:r>
      <w:proofErr w:type="spellEnd"/>
      <w:r w:rsidRPr="00921C42">
        <w:rPr>
          <w:rFonts w:ascii="Times New Roman" w:hAnsi="Times New Roman" w:cs="Times New Roman"/>
        </w:rPr>
        <w:t>. L 123, 12. května 2016, s. 1-9.</w:t>
      </w:r>
    </w:p>
  </w:footnote>
  <w:footnote w:id="183">
    <w:p w:rsidR="00076524" w:rsidRPr="00921C42" w:rsidRDefault="00076524" w:rsidP="00B53445">
      <w:pPr>
        <w:pStyle w:val="Textpoznpodarou"/>
        <w:jc w:val="both"/>
        <w:rPr>
          <w:rFonts w:ascii="Times New Roman" w:hAnsi="Times New Roman" w:cs="Times New Roman"/>
        </w:rPr>
      </w:pPr>
      <w:r w:rsidRPr="00921C42">
        <w:rPr>
          <w:rStyle w:val="Znakapoznpodarou"/>
          <w:rFonts w:ascii="Times New Roman" w:hAnsi="Times New Roman" w:cs="Times New Roman"/>
        </w:rPr>
        <w:footnoteRef/>
      </w:r>
      <w:r>
        <w:rPr>
          <w:rFonts w:ascii="Times New Roman" w:hAnsi="Times New Roman" w:cs="Times New Roman"/>
        </w:rPr>
        <w:t xml:space="preserve"> Viz </w:t>
      </w:r>
      <w:proofErr w:type="spellStart"/>
      <w:r w:rsidRPr="00921C42">
        <w:rPr>
          <w:rFonts w:ascii="Times New Roman" w:hAnsi="Times New Roman" w:cs="Times New Roman"/>
        </w:rPr>
        <w:t>Better</w:t>
      </w:r>
      <w:proofErr w:type="spellEnd"/>
      <w:r w:rsidRPr="00921C42">
        <w:rPr>
          <w:rFonts w:ascii="Times New Roman" w:hAnsi="Times New Roman" w:cs="Times New Roman"/>
        </w:rPr>
        <w:t xml:space="preserve"> </w:t>
      </w:r>
      <w:proofErr w:type="spellStart"/>
      <w:r w:rsidRPr="00921C42">
        <w:rPr>
          <w:rFonts w:ascii="Times New Roman" w:hAnsi="Times New Roman" w:cs="Times New Roman"/>
        </w:rPr>
        <w:t>Regulation</w:t>
      </w:r>
      <w:proofErr w:type="spellEnd"/>
      <w:r w:rsidRPr="00921C42">
        <w:rPr>
          <w:rFonts w:ascii="Times New Roman" w:hAnsi="Times New Roman" w:cs="Times New Roman"/>
        </w:rPr>
        <w:t xml:space="preserve"> </w:t>
      </w:r>
      <w:proofErr w:type="spellStart"/>
      <w:r w:rsidRPr="00921C42">
        <w:rPr>
          <w:rFonts w:ascii="Times New Roman" w:hAnsi="Times New Roman" w:cs="Times New Roman"/>
        </w:rPr>
        <w:t>G</w:t>
      </w:r>
      <w:r>
        <w:rPr>
          <w:rFonts w:ascii="Times New Roman" w:hAnsi="Times New Roman" w:cs="Times New Roman"/>
        </w:rPr>
        <w:t>uidelines</w:t>
      </w:r>
      <w:proofErr w:type="spellEnd"/>
      <w:r w:rsidRPr="00921C42">
        <w:rPr>
          <w:rFonts w:ascii="Times New Roman" w:hAnsi="Times New Roman" w:cs="Times New Roman"/>
        </w:rPr>
        <w:t xml:space="preserve">. SWD (2015) 111 </w:t>
      </w:r>
      <w:proofErr w:type="spellStart"/>
      <w:r w:rsidRPr="00921C42">
        <w:rPr>
          <w:rFonts w:ascii="Times New Roman" w:hAnsi="Times New Roman" w:cs="Times New Roman"/>
        </w:rPr>
        <w:t>final</w:t>
      </w:r>
      <w:proofErr w:type="spellEnd"/>
      <w:r>
        <w:rPr>
          <w:rFonts w:ascii="Times New Roman" w:hAnsi="Times New Roman" w:cs="Times New Roman"/>
        </w:rPr>
        <w:t>, 19. května 2015.</w:t>
      </w:r>
    </w:p>
  </w:footnote>
  <w:footnote w:id="184">
    <w:p w:rsidR="00076524" w:rsidRDefault="00076524" w:rsidP="001669E8">
      <w:pPr>
        <w:pStyle w:val="Textpoznpodarou"/>
        <w:jc w:val="both"/>
      </w:pPr>
      <w:r w:rsidRPr="00921C42">
        <w:rPr>
          <w:rStyle w:val="Znakapoznpodarou"/>
          <w:rFonts w:ascii="Times New Roman" w:hAnsi="Times New Roman" w:cs="Times New Roman"/>
        </w:rPr>
        <w:footnoteRef/>
      </w:r>
      <w:r w:rsidRPr="00921C42">
        <w:rPr>
          <w:rFonts w:ascii="Times New Roman" w:hAnsi="Times New Roman" w:cs="Times New Roman"/>
        </w:rPr>
        <w:t xml:space="preserve"> K tomu viz také Soudní dvůr: Rozsudek ze dne 4. května 2016, </w:t>
      </w:r>
      <w:r w:rsidRPr="00921C42">
        <w:rPr>
          <w:rFonts w:ascii="Times New Roman" w:hAnsi="Times New Roman" w:cs="Times New Roman"/>
          <w:i/>
        </w:rPr>
        <w:t xml:space="preserve">Philip Morris </w:t>
      </w:r>
      <w:proofErr w:type="spellStart"/>
      <w:r w:rsidRPr="00921C42">
        <w:rPr>
          <w:rFonts w:ascii="Times New Roman" w:hAnsi="Times New Roman" w:cs="Times New Roman"/>
          <w:i/>
        </w:rPr>
        <w:t>Brands</w:t>
      </w:r>
      <w:proofErr w:type="spellEnd"/>
      <w:r w:rsidRPr="00921C42">
        <w:rPr>
          <w:rFonts w:ascii="Times New Roman" w:hAnsi="Times New Roman" w:cs="Times New Roman"/>
          <w:i/>
        </w:rPr>
        <w:t xml:space="preserve"> SARL a další v. </w:t>
      </w:r>
      <w:proofErr w:type="spellStart"/>
      <w:r w:rsidRPr="00921C42">
        <w:rPr>
          <w:rFonts w:ascii="Times New Roman" w:hAnsi="Times New Roman" w:cs="Times New Roman"/>
          <w:i/>
        </w:rPr>
        <w:t>Secretary</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of</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State</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for</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Health</w:t>
      </w:r>
      <w:proofErr w:type="spellEnd"/>
      <w:r>
        <w:rPr>
          <w:rFonts w:ascii="Times New Roman" w:hAnsi="Times New Roman" w:cs="Times New Roman"/>
        </w:rPr>
        <w:t>, C-547/14, body 225-</w:t>
      </w:r>
      <w:r w:rsidRPr="00921C42">
        <w:rPr>
          <w:rFonts w:ascii="Times New Roman" w:hAnsi="Times New Roman" w:cs="Times New Roman"/>
        </w:rPr>
        <w:t>227. Viz také Výroční zpráva za rok 2015 o subsidiaritě a proporci</w:t>
      </w:r>
      <w:r>
        <w:rPr>
          <w:rFonts w:ascii="Times New Roman" w:hAnsi="Times New Roman" w:cs="Times New Roman"/>
        </w:rPr>
        <w:t xml:space="preserve">onalitě. </w:t>
      </w:r>
      <w:proofErr w:type="gramStart"/>
      <w:r>
        <w:rPr>
          <w:rFonts w:ascii="Times New Roman" w:hAnsi="Times New Roman" w:cs="Times New Roman"/>
        </w:rPr>
        <w:t>COM(</w:t>
      </w:r>
      <w:proofErr w:type="gramEnd"/>
      <w:r>
        <w:rPr>
          <w:rFonts w:ascii="Times New Roman" w:hAnsi="Times New Roman" w:cs="Times New Roman"/>
        </w:rPr>
        <w:t xml:space="preserve">2016) 469 </w:t>
      </w:r>
      <w:proofErr w:type="spellStart"/>
      <w:r>
        <w:rPr>
          <w:rFonts w:ascii="Times New Roman" w:hAnsi="Times New Roman" w:cs="Times New Roman"/>
        </w:rPr>
        <w:t>final</w:t>
      </w:r>
      <w:proofErr w:type="spellEnd"/>
      <w:r>
        <w:rPr>
          <w:rFonts w:ascii="Times New Roman" w:hAnsi="Times New Roman" w:cs="Times New Roman"/>
        </w:rPr>
        <w:t>, 15. července 2016.</w:t>
      </w:r>
      <w:r w:rsidRPr="00921C42">
        <w:rPr>
          <w:rFonts w:ascii="Times New Roman" w:hAnsi="Times New Roman" w:cs="Times New Roman"/>
        </w:rPr>
        <w:t xml:space="preserve"> Za pozornost stojí i činnos</w:t>
      </w:r>
      <w:r>
        <w:rPr>
          <w:rFonts w:ascii="Times New Roman" w:hAnsi="Times New Roman" w:cs="Times New Roman"/>
        </w:rPr>
        <w:t xml:space="preserve">t Výboru pro kontrolu regulace, </w:t>
      </w:r>
      <w:r w:rsidRPr="00921C42">
        <w:rPr>
          <w:rFonts w:ascii="Times New Roman" w:hAnsi="Times New Roman" w:cs="Times New Roman"/>
        </w:rPr>
        <w:t>dříve Výbor</w:t>
      </w:r>
      <w:r>
        <w:rPr>
          <w:rFonts w:ascii="Times New Roman" w:hAnsi="Times New Roman" w:cs="Times New Roman"/>
        </w:rPr>
        <w:t>u pro posuzování dopadů. Má se jednat o nezávislý útvar</w:t>
      </w:r>
      <w:r w:rsidRPr="00921C42">
        <w:rPr>
          <w:rFonts w:ascii="Times New Roman" w:hAnsi="Times New Roman" w:cs="Times New Roman"/>
        </w:rPr>
        <w:t xml:space="preserve"> Komise. V roce 2015 doporučil </w:t>
      </w:r>
      <w:r>
        <w:rPr>
          <w:rFonts w:ascii="Times New Roman" w:hAnsi="Times New Roman" w:cs="Times New Roman"/>
        </w:rPr>
        <w:t>tento výbor zlepšení v otázce subsidiarity</w:t>
      </w:r>
      <w:r w:rsidRPr="00921C42">
        <w:rPr>
          <w:rFonts w:ascii="Times New Roman" w:hAnsi="Times New Roman" w:cs="Times New Roman"/>
        </w:rPr>
        <w:t xml:space="preserve"> u více než 15</w:t>
      </w:r>
      <w:r>
        <w:rPr>
          <w:rFonts w:ascii="Times New Roman" w:hAnsi="Times New Roman" w:cs="Times New Roman"/>
        </w:rPr>
        <w:t xml:space="preserve"> </w:t>
      </w:r>
      <w:r w:rsidRPr="00921C42">
        <w:rPr>
          <w:rFonts w:ascii="Times New Roman" w:hAnsi="Times New Roman" w:cs="Times New Roman"/>
        </w:rPr>
        <w:t>% posouzení dopadů, což bylo méně než</w:t>
      </w:r>
      <w:r>
        <w:rPr>
          <w:rFonts w:ascii="Times New Roman" w:hAnsi="Times New Roman" w:cs="Times New Roman"/>
        </w:rPr>
        <w:t xml:space="preserve"> v předchozích letech. Viz IMPACT ASSESSMENT BOARD</w:t>
      </w:r>
      <w:r w:rsidRPr="00921C42">
        <w:rPr>
          <w:rFonts w:ascii="Times New Roman" w:hAnsi="Times New Roman" w:cs="Times New Roman"/>
        </w:rPr>
        <w:t xml:space="preserve">. </w:t>
      </w:r>
      <w:proofErr w:type="spellStart"/>
      <w:r w:rsidRPr="00921C42">
        <w:rPr>
          <w:rFonts w:ascii="Times New Roman" w:hAnsi="Times New Roman" w:cs="Times New Roman"/>
          <w:i/>
        </w:rPr>
        <w:t>Regulatory</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Scrutiny</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Board</w:t>
      </w:r>
      <w:proofErr w:type="spellEnd"/>
      <w:r w:rsidRPr="00921C42">
        <w:rPr>
          <w:rFonts w:ascii="Times New Roman" w:hAnsi="Times New Roman" w:cs="Times New Roman"/>
          <w:i/>
        </w:rPr>
        <w:t xml:space="preserve"> 2015 </w:t>
      </w:r>
      <w:proofErr w:type="spellStart"/>
      <w:r w:rsidRPr="00921C42">
        <w:rPr>
          <w:rFonts w:ascii="Times New Roman" w:hAnsi="Times New Roman" w:cs="Times New Roman"/>
          <w:i/>
        </w:rPr>
        <w:t>activity</w:t>
      </w:r>
      <w:proofErr w:type="spellEnd"/>
      <w:r w:rsidRPr="00921C42">
        <w:rPr>
          <w:rFonts w:ascii="Times New Roman" w:hAnsi="Times New Roman" w:cs="Times New Roman"/>
          <w:i/>
        </w:rPr>
        <w:t xml:space="preserve"> </w:t>
      </w:r>
      <w:proofErr w:type="spellStart"/>
      <w:r w:rsidRPr="00921C42">
        <w:rPr>
          <w:rFonts w:ascii="Times New Roman" w:hAnsi="Times New Roman" w:cs="Times New Roman"/>
          <w:i/>
        </w:rPr>
        <w:t>statistics</w:t>
      </w:r>
      <w:proofErr w:type="spellEnd"/>
      <w:r>
        <w:rPr>
          <w:rFonts w:ascii="Times New Roman" w:hAnsi="Times New Roman" w:cs="Times New Roman"/>
        </w:rPr>
        <w:t xml:space="preserve"> [online]. Evropská unie</w:t>
      </w:r>
      <w:r w:rsidRPr="00921C42">
        <w:rPr>
          <w:rFonts w:ascii="Times New Roman" w:hAnsi="Times New Roman" w:cs="Times New Roman"/>
        </w:rPr>
        <w:t xml:space="preserve">, 2. března 2016 [cit. 26. prosince 2016]. Dostupné na &lt;http://ec.europa.eu/smart-regulation/impact/key_docs/ </w:t>
      </w:r>
      <w:proofErr w:type="spellStart"/>
      <w:r w:rsidRPr="00921C42">
        <w:rPr>
          <w:rFonts w:ascii="Times New Roman" w:hAnsi="Times New Roman" w:cs="Times New Roman"/>
        </w:rPr>
        <w:t>docs</w:t>
      </w:r>
      <w:proofErr w:type="spellEnd"/>
      <w:r w:rsidRPr="00921C42">
        <w:rPr>
          <w:rFonts w:ascii="Times New Roman" w:hAnsi="Times New Roman" w:cs="Times New Roman"/>
        </w:rPr>
        <w:t>/iab_rsb_stats_2015.pdf&gt;.</w:t>
      </w:r>
    </w:p>
  </w:footnote>
  <w:footnote w:id="185">
    <w:p w:rsidR="00076524" w:rsidRPr="00492198" w:rsidRDefault="00076524" w:rsidP="00E519F1">
      <w:pPr>
        <w:pStyle w:val="Textpoznpodarou"/>
        <w:jc w:val="both"/>
        <w:rPr>
          <w:rFonts w:ascii="Times New Roman" w:hAnsi="Times New Roman" w:cs="Times New Roman"/>
        </w:rPr>
      </w:pPr>
      <w:r w:rsidRPr="00492198">
        <w:rPr>
          <w:rStyle w:val="Znakapoznpodarou"/>
          <w:rFonts w:ascii="Times New Roman" w:hAnsi="Times New Roman" w:cs="Times New Roman"/>
        </w:rPr>
        <w:footnoteRef/>
      </w:r>
      <w:r w:rsidRPr="00492198">
        <w:rPr>
          <w:rFonts w:ascii="Times New Roman" w:hAnsi="Times New Roman" w:cs="Times New Roman"/>
        </w:rPr>
        <w:t xml:space="preserve"> GRINC: </w:t>
      </w:r>
      <w:r w:rsidRPr="00492198">
        <w:rPr>
          <w:rFonts w:ascii="Times New Roman" w:hAnsi="Times New Roman" w:cs="Times New Roman"/>
          <w:i/>
        </w:rPr>
        <w:t xml:space="preserve">Národní…, </w:t>
      </w:r>
      <w:r w:rsidRPr="00492198">
        <w:rPr>
          <w:rFonts w:ascii="Times New Roman" w:hAnsi="Times New Roman" w:cs="Times New Roman"/>
        </w:rPr>
        <w:t>s. 173.</w:t>
      </w:r>
    </w:p>
  </w:footnote>
  <w:footnote w:id="186">
    <w:p w:rsidR="00076524" w:rsidRPr="00492198" w:rsidRDefault="00076524" w:rsidP="00E519F1">
      <w:pPr>
        <w:pStyle w:val="Textpoznpodarou"/>
        <w:jc w:val="both"/>
        <w:rPr>
          <w:rFonts w:ascii="Times New Roman" w:hAnsi="Times New Roman" w:cs="Times New Roman"/>
        </w:rPr>
      </w:pPr>
      <w:r w:rsidRPr="00492198">
        <w:rPr>
          <w:rStyle w:val="Znakapoznpodarou"/>
          <w:rFonts w:ascii="Times New Roman" w:hAnsi="Times New Roman" w:cs="Times New Roman"/>
        </w:rPr>
        <w:footnoteRef/>
      </w:r>
      <w:r w:rsidRPr="00492198">
        <w:rPr>
          <w:rFonts w:ascii="Times New Roman" w:hAnsi="Times New Roman" w:cs="Times New Roman"/>
        </w:rPr>
        <w:t xml:space="preserve"> </w:t>
      </w:r>
      <w:r w:rsidRPr="00921C42">
        <w:rPr>
          <w:rFonts w:ascii="Times New Roman" w:hAnsi="Times New Roman" w:cs="Times New Roman"/>
        </w:rPr>
        <w:t xml:space="preserve">Viz KIIVER: </w:t>
      </w:r>
      <w:proofErr w:type="spellStart"/>
      <w:r w:rsidRPr="00921C42">
        <w:rPr>
          <w:rFonts w:ascii="Times New Roman" w:hAnsi="Times New Roman" w:cs="Times New Roman"/>
          <w:i/>
        </w:rPr>
        <w:t>The</w:t>
      </w:r>
      <w:proofErr w:type="spellEnd"/>
      <w:r w:rsidRPr="00921C42">
        <w:rPr>
          <w:rFonts w:ascii="Times New Roman" w:hAnsi="Times New Roman" w:cs="Times New Roman"/>
          <w:i/>
        </w:rPr>
        <w:t xml:space="preserve"> Early…</w:t>
      </w:r>
      <w:r w:rsidRPr="00921C42">
        <w:rPr>
          <w:rFonts w:ascii="Times New Roman" w:hAnsi="Times New Roman" w:cs="Times New Roman"/>
        </w:rPr>
        <w:t>,</w:t>
      </w:r>
      <w:r>
        <w:rPr>
          <w:rFonts w:ascii="Times New Roman" w:hAnsi="Times New Roman" w:cs="Times New Roman"/>
        </w:rPr>
        <w:t xml:space="preserve"> </w:t>
      </w:r>
      <w:r w:rsidRPr="007F2300">
        <w:rPr>
          <w:rFonts w:ascii="Times New Roman" w:hAnsi="Times New Roman" w:cs="Times New Roman"/>
        </w:rPr>
        <w:t>s. 95.</w:t>
      </w:r>
      <w:r w:rsidRPr="00492198">
        <w:rPr>
          <w:rFonts w:ascii="Times New Roman" w:hAnsi="Times New Roman" w:cs="Times New Roman"/>
        </w:rPr>
        <w:t xml:space="preserve"> Dále k odůvodňování viz např. BORONSKA-HRYNIEWIECKA, Karolina. </w:t>
      </w:r>
      <w:proofErr w:type="spellStart"/>
      <w:r w:rsidRPr="00492198">
        <w:rPr>
          <w:rFonts w:ascii="Times New Roman" w:hAnsi="Times New Roman" w:cs="Times New Roman"/>
        </w:rPr>
        <w:t>Democratizing</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the</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European</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multi</w:t>
      </w:r>
      <w:proofErr w:type="spellEnd"/>
      <w:r w:rsidRPr="00492198">
        <w:rPr>
          <w:rFonts w:ascii="Times New Roman" w:hAnsi="Times New Roman" w:cs="Times New Roman"/>
        </w:rPr>
        <w:t xml:space="preserve">-level </w:t>
      </w:r>
      <w:proofErr w:type="gramStart"/>
      <w:r w:rsidRPr="00492198">
        <w:rPr>
          <w:rFonts w:ascii="Times New Roman" w:hAnsi="Times New Roman" w:cs="Times New Roman"/>
        </w:rPr>
        <w:t>polity?:</w:t>
      </w:r>
      <w:proofErr w:type="gramEnd"/>
      <w:r w:rsidRPr="00492198">
        <w:rPr>
          <w:rFonts w:ascii="Times New Roman" w:hAnsi="Times New Roman" w:cs="Times New Roman"/>
        </w:rPr>
        <w:t xml:space="preserve"> a (re-)</w:t>
      </w:r>
      <w:proofErr w:type="spellStart"/>
      <w:r w:rsidRPr="00492198">
        <w:rPr>
          <w:rFonts w:ascii="Times New Roman" w:hAnsi="Times New Roman" w:cs="Times New Roman"/>
        </w:rPr>
        <w:t>assessment</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of</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the</w:t>
      </w:r>
      <w:proofErr w:type="spellEnd"/>
      <w:r w:rsidRPr="00492198">
        <w:rPr>
          <w:rFonts w:ascii="Times New Roman" w:hAnsi="Times New Roman" w:cs="Times New Roman"/>
        </w:rPr>
        <w:t xml:space="preserve"> early </w:t>
      </w:r>
      <w:proofErr w:type="spellStart"/>
      <w:r w:rsidRPr="00492198">
        <w:rPr>
          <w:rFonts w:ascii="Times New Roman" w:hAnsi="Times New Roman" w:cs="Times New Roman"/>
        </w:rPr>
        <w:t>warning</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system</w:t>
      </w:r>
      <w:proofErr w:type="spellEnd"/>
      <w:r w:rsidRPr="00492198">
        <w:rPr>
          <w:rFonts w:ascii="Times New Roman" w:hAnsi="Times New Roman" w:cs="Times New Roman"/>
        </w:rPr>
        <w:t>. In GÓRALCZYK Bogdan (</w:t>
      </w:r>
      <w:proofErr w:type="spellStart"/>
      <w:r w:rsidRPr="00492198">
        <w:rPr>
          <w:rFonts w:ascii="Times New Roman" w:hAnsi="Times New Roman" w:cs="Times New Roman"/>
        </w:rPr>
        <w:t>ed</w:t>
      </w:r>
      <w:proofErr w:type="spellEnd"/>
      <w:r w:rsidRPr="00492198">
        <w:rPr>
          <w:rFonts w:ascii="Times New Roman" w:hAnsi="Times New Roman" w:cs="Times New Roman"/>
        </w:rPr>
        <w:t xml:space="preserve">). </w:t>
      </w:r>
      <w:proofErr w:type="spellStart"/>
      <w:r w:rsidRPr="008342E9">
        <w:rPr>
          <w:rFonts w:ascii="Times New Roman" w:hAnsi="Times New Roman" w:cs="Times New Roman"/>
          <w:i/>
        </w:rPr>
        <w:t>Yearbook</w:t>
      </w:r>
      <w:proofErr w:type="spellEnd"/>
      <w:r w:rsidRPr="008342E9">
        <w:rPr>
          <w:rFonts w:ascii="Times New Roman" w:hAnsi="Times New Roman" w:cs="Times New Roman"/>
          <w:i/>
        </w:rPr>
        <w:t xml:space="preserve"> </w:t>
      </w:r>
      <w:proofErr w:type="spellStart"/>
      <w:r w:rsidRPr="008342E9">
        <w:rPr>
          <w:rFonts w:ascii="Times New Roman" w:hAnsi="Times New Roman" w:cs="Times New Roman"/>
          <w:i/>
        </w:rPr>
        <w:t>of</w:t>
      </w:r>
      <w:proofErr w:type="spellEnd"/>
      <w:r w:rsidRPr="008342E9">
        <w:rPr>
          <w:rFonts w:ascii="Times New Roman" w:hAnsi="Times New Roman" w:cs="Times New Roman"/>
          <w:i/>
        </w:rPr>
        <w:t xml:space="preserve"> </w:t>
      </w:r>
      <w:proofErr w:type="spellStart"/>
      <w:r w:rsidRPr="008342E9">
        <w:rPr>
          <w:rFonts w:ascii="Times New Roman" w:hAnsi="Times New Roman" w:cs="Times New Roman"/>
          <w:i/>
        </w:rPr>
        <w:t>Polish</w:t>
      </w:r>
      <w:proofErr w:type="spellEnd"/>
      <w:r w:rsidRPr="008342E9">
        <w:rPr>
          <w:rFonts w:ascii="Times New Roman" w:hAnsi="Times New Roman" w:cs="Times New Roman"/>
          <w:i/>
        </w:rPr>
        <w:t xml:space="preserve"> </w:t>
      </w:r>
      <w:proofErr w:type="spellStart"/>
      <w:r w:rsidRPr="008342E9">
        <w:rPr>
          <w:rFonts w:ascii="Times New Roman" w:hAnsi="Times New Roman" w:cs="Times New Roman"/>
          <w:i/>
        </w:rPr>
        <w:t>European</w:t>
      </w:r>
      <w:proofErr w:type="spellEnd"/>
      <w:r w:rsidRPr="008342E9">
        <w:rPr>
          <w:rFonts w:ascii="Times New Roman" w:hAnsi="Times New Roman" w:cs="Times New Roman"/>
          <w:i/>
        </w:rPr>
        <w:t xml:space="preserve"> </w:t>
      </w:r>
      <w:proofErr w:type="spellStart"/>
      <w:r w:rsidRPr="008342E9">
        <w:rPr>
          <w:rFonts w:ascii="Times New Roman" w:hAnsi="Times New Roman" w:cs="Times New Roman"/>
          <w:i/>
        </w:rPr>
        <w:t>Studies</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Warsaw</w:t>
      </w:r>
      <w:proofErr w:type="spellEnd"/>
      <w:r w:rsidRPr="00492198">
        <w:rPr>
          <w:rFonts w:ascii="Times New Roman" w:hAnsi="Times New Roman" w:cs="Times New Roman"/>
        </w:rPr>
        <w:t xml:space="preserve">: Centre </w:t>
      </w:r>
      <w:proofErr w:type="spellStart"/>
      <w:r w:rsidRPr="00492198">
        <w:rPr>
          <w:rFonts w:ascii="Times New Roman" w:hAnsi="Times New Roman" w:cs="Times New Roman"/>
        </w:rPr>
        <w:t>for</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Europe</w:t>
      </w:r>
      <w:proofErr w:type="spellEnd"/>
      <w:r w:rsidRPr="00492198">
        <w:rPr>
          <w:rFonts w:ascii="Times New Roman" w:hAnsi="Times New Roman" w:cs="Times New Roman"/>
        </w:rPr>
        <w:t xml:space="preserve">, University </w:t>
      </w:r>
      <w:proofErr w:type="spellStart"/>
      <w:r w:rsidRPr="00492198">
        <w:rPr>
          <w:rFonts w:ascii="Times New Roman" w:hAnsi="Times New Roman" w:cs="Times New Roman"/>
        </w:rPr>
        <w:t>of</w:t>
      </w:r>
      <w:proofErr w:type="spellEnd"/>
      <w:r w:rsidRPr="00492198">
        <w:rPr>
          <w:rFonts w:ascii="Times New Roman" w:hAnsi="Times New Roman" w:cs="Times New Roman"/>
        </w:rPr>
        <w:t xml:space="preserve"> </w:t>
      </w:r>
      <w:proofErr w:type="spellStart"/>
      <w:r w:rsidRPr="00492198">
        <w:rPr>
          <w:rFonts w:ascii="Times New Roman" w:hAnsi="Times New Roman" w:cs="Times New Roman"/>
        </w:rPr>
        <w:t>Warsaw</w:t>
      </w:r>
      <w:proofErr w:type="spellEnd"/>
      <w:r w:rsidRPr="00492198">
        <w:rPr>
          <w:rFonts w:ascii="Times New Roman" w:hAnsi="Times New Roman" w:cs="Times New Roman"/>
        </w:rPr>
        <w:t xml:space="preserve">, 2013, s. 167-187. Nebo viz detailnější analýzu PALSSON, Anne-Marie. </w:t>
      </w:r>
      <w:proofErr w:type="spellStart"/>
      <w:r w:rsidRPr="00B811A2">
        <w:rPr>
          <w:rFonts w:ascii="Times New Roman" w:hAnsi="Times New Roman" w:cs="Times New Roman"/>
          <w:i/>
        </w:rPr>
        <w:t>The</w:t>
      </w:r>
      <w:proofErr w:type="spellEnd"/>
      <w:r w:rsidRPr="00B811A2">
        <w:rPr>
          <w:rFonts w:ascii="Times New Roman" w:hAnsi="Times New Roman" w:cs="Times New Roman"/>
          <w:i/>
        </w:rPr>
        <w:t xml:space="preserve"> </w:t>
      </w:r>
      <w:proofErr w:type="spellStart"/>
      <w:r w:rsidRPr="00B811A2">
        <w:rPr>
          <w:rFonts w:ascii="Times New Roman" w:hAnsi="Times New Roman" w:cs="Times New Roman"/>
          <w:i/>
        </w:rPr>
        <w:t>EU’s</w:t>
      </w:r>
      <w:proofErr w:type="spellEnd"/>
      <w:r w:rsidRPr="00B811A2">
        <w:rPr>
          <w:rFonts w:ascii="Times New Roman" w:hAnsi="Times New Roman" w:cs="Times New Roman"/>
          <w:i/>
        </w:rPr>
        <w:t xml:space="preserve"> </w:t>
      </w:r>
      <w:proofErr w:type="spellStart"/>
      <w:r w:rsidRPr="00B811A2">
        <w:rPr>
          <w:rFonts w:ascii="Times New Roman" w:hAnsi="Times New Roman" w:cs="Times New Roman"/>
          <w:i/>
        </w:rPr>
        <w:t>principle</w:t>
      </w:r>
      <w:proofErr w:type="spellEnd"/>
      <w:r w:rsidRPr="00B811A2">
        <w:rPr>
          <w:rFonts w:ascii="Times New Roman" w:hAnsi="Times New Roman" w:cs="Times New Roman"/>
          <w:i/>
        </w:rPr>
        <w:t xml:space="preserve"> </w:t>
      </w:r>
      <w:proofErr w:type="spellStart"/>
      <w:r w:rsidRPr="00B811A2">
        <w:rPr>
          <w:rFonts w:ascii="Times New Roman" w:hAnsi="Times New Roman" w:cs="Times New Roman"/>
          <w:i/>
        </w:rPr>
        <w:t>of</w:t>
      </w:r>
      <w:proofErr w:type="spellEnd"/>
      <w:r w:rsidRPr="00B811A2">
        <w:rPr>
          <w:rFonts w:ascii="Times New Roman" w:hAnsi="Times New Roman" w:cs="Times New Roman"/>
          <w:i/>
        </w:rPr>
        <w:t xml:space="preserve"> subsidiarity </w:t>
      </w:r>
      <w:proofErr w:type="spellStart"/>
      <w:r w:rsidRPr="00B811A2">
        <w:rPr>
          <w:rFonts w:ascii="Times New Roman" w:hAnsi="Times New Roman" w:cs="Times New Roman"/>
          <w:i/>
        </w:rPr>
        <w:t>an</w:t>
      </w:r>
      <w:proofErr w:type="spellEnd"/>
      <w:r w:rsidRPr="00B811A2">
        <w:rPr>
          <w:rFonts w:ascii="Times New Roman" w:hAnsi="Times New Roman" w:cs="Times New Roman"/>
          <w:i/>
        </w:rPr>
        <w:t xml:space="preserve"> </w:t>
      </w:r>
      <w:proofErr w:type="spellStart"/>
      <w:r w:rsidRPr="00B811A2">
        <w:rPr>
          <w:rFonts w:ascii="Times New Roman" w:hAnsi="Times New Roman" w:cs="Times New Roman"/>
          <w:i/>
        </w:rPr>
        <w:t>empty</w:t>
      </w:r>
      <w:proofErr w:type="spellEnd"/>
      <w:r w:rsidRPr="00B811A2">
        <w:rPr>
          <w:rFonts w:ascii="Times New Roman" w:hAnsi="Times New Roman" w:cs="Times New Roman"/>
          <w:i/>
        </w:rPr>
        <w:t xml:space="preserve"> </w:t>
      </w:r>
      <w:proofErr w:type="spellStart"/>
      <w:r w:rsidRPr="00B811A2">
        <w:rPr>
          <w:rFonts w:ascii="Times New Roman" w:hAnsi="Times New Roman" w:cs="Times New Roman"/>
          <w:i/>
        </w:rPr>
        <w:t>promise</w:t>
      </w:r>
      <w:proofErr w:type="spellEnd"/>
      <w:r>
        <w:rPr>
          <w:rFonts w:ascii="Times New Roman" w:hAnsi="Times New Roman" w:cs="Times New Roman"/>
        </w:rPr>
        <w:t xml:space="preserve"> [online]. EUD</w:t>
      </w:r>
      <w:r w:rsidRPr="00492198">
        <w:rPr>
          <w:rFonts w:ascii="Times New Roman" w:hAnsi="Times New Roman" w:cs="Times New Roman"/>
        </w:rPr>
        <w:t xml:space="preserve">, 16. ledna 2013 [cit. 27. prosince 2016]. Dostupné na &lt;http://www.eudemocrats.org/eud/uploads/AMP_Subsidiarity_an_empty_promise_2013.pdf&gt;. </w:t>
      </w:r>
    </w:p>
  </w:footnote>
  <w:footnote w:id="187">
    <w:p w:rsidR="00076524" w:rsidRPr="00492198" w:rsidRDefault="00076524" w:rsidP="00E519F1">
      <w:pPr>
        <w:pStyle w:val="Textpoznpodarou"/>
        <w:jc w:val="both"/>
        <w:rPr>
          <w:rFonts w:ascii="Times New Roman" w:hAnsi="Times New Roman" w:cs="Times New Roman"/>
        </w:rPr>
      </w:pPr>
      <w:r w:rsidRPr="003720AA">
        <w:rPr>
          <w:rStyle w:val="Znakapoznpodarou"/>
          <w:rFonts w:ascii="Times New Roman" w:hAnsi="Times New Roman" w:cs="Times New Roman"/>
        </w:rPr>
        <w:footnoteRef/>
      </w:r>
      <w:r w:rsidRPr="003720AA">
        <w:rPr>
          <w:rFonts w:ascii="Times New Roman" w:hAnsi="Times New Roman" w:cs="Times New Roman"/>
        </w:rPr>
        <w:t xml:space="preserve"> Viz MOENS, TRONE: </w:t>
      </w:r>
      <w:proofErr w:type="spellStart"/>
      <w:r w:rsidRPr="003720AA">
        <w:rPr>
          <w:rFonts w:ascii="Times New Roman" w:hAnsi="Times New Roman" w:cs="Times New Roman"/>
          <w:i/>
        </w:rPr>
        <w:t>The</w:t>
      </w:r>
      <w:proofErr w:type="spellEnd"/>
      <w:r w:rsidRPr="003720AA">
        <w:rPr>
          <w:rFonts w:ascii="Times New Roman" w:hAnsi="Times New Roman" w:cs="Times New Roman"/>
          <w:i/>
        </w:rPr>
        <w:t xml:space="preserve"> </w:t>
      </w:r>
      <w:proofErr w:type="spellStart"/>
      <w:r w:rsidRPr="003720AA">
        <w:rPr>
          <w:rFonts w:ascii="Times New Roman" w:hAnsi="Times New Roman" w:cs="Times New Roman"/>
          <w:i/>
        </w:rPr>
        <w:t>Principle</w:t>
      </w:r>
      <w:proofErr w:type="spellEnd"/>
      <w:r w:rsidRPr="003720AA">
        <w:rPr>
          <w:rFonts w:ascii="Times New Roman" w:hAnsi="Times New Roman" w:cs="Times New Roman"/>
          <w:i/>
        </w:rPr>
        <w:t>...,</w:t>
      </w:r>
      <w:r w:rsidRPr="003720AA">
        <w:rPr>
          <w:rFonts w:ascii="Times New Roman" w:hAnsi="Times New Roman" w:cs="Times New Roman"/>
        </w:rPr>
        <w:t xml:space="preserve"> s. 92.</w:t>
      </w:r>
    </w:p>
  </w:footnote>
  <w:footnote w:id="188">
    <w:p w:rsidR="00076524" w:rsidRPr="00492198" w:rsidRDefault="00076524" w:rsidP="00E519F1">
      <w:pPr>
        <w:pStyle w:val="Textpoznpodarou"/>
        <w:jc w:val="both"/>
        <w:rPr>
          <w:rFonts w:ascii="Times New Roman" w:hAnsi="Times New Roman" w:cs="Times New Roman"/>
        </w:rPr>
      </w:pPr>
      <w:r w:rsidRPr="00492198">
        <w:rPr>
          <w:rStyle w:val="Znakapoznpodarou"/>
          <w:rFonts w:ascii="Times New Roman" w:hAnsi="Times New Roman" w:cs="Times New Roman"/>
        </w:rPr>
        <w:footnoteRef/>
      </w:r>
      <w:r w:rsidRPr="00492198">
        <w:rPr>
          <w:rFonts w:ascii="Times New Roman" w:hAnsi="Times New Roman" w:cs="Times New Roman"/>
        </w:rPr>
        <w:t xml:space="preserve"> </w:t>
      </w:r>
      <w:r>
        <w:rPr>
          <w:rFonts w:ascii="Times New Roman" w:hAnsi="Times New Roman" w:cs="Times New Roman"/>
        </w:rPr>
        <w:t xml:space="preserve">Viz </w:t>
      </w:r>
      <w:r w:rsidRPr="00492198">
        <w:rPr>
          <w:rFonts w:ascii="Times New Roman" w:hAnsi="Times New Roman" w:cs="Times New Roman"/>
        </w:rPr>
        <w:t xml:space="preserve">COSAC. </w:t>
      </w:r>
      <w:proofErr w:type="spellStart"/>
      <w:r w:rsidRPr="00D205B1">
        <w:rPr>
          <w:rFonts w:ascii="Times New Roman" w:hAnsi="Times New Roman" w:cs="Times New Roman"/>
          <w:i/>
        </w:rPr>
        <w:t>Twenty</w:t>
      </w:r>
      <w:proofErr w:type="spellEnd"/>
      <w:r w:rsidRPr="00D205B1">
        <w:rPr>
          <w:rFonts w:ascii="Times New Roman" w:hAnsi="Times New Roman" w:cs="Times New Roman"/>
          <w:i/>
        </w:rPr>
        <w:t xml:space="preserve">-second </w:t>
      </w:r>
      <w:proofErr w:type="spellStart"/>
      <w:r w:rsidRPr="00D205B1">
        <w:rPr>
          <w:rFonts w:ascii="Times New Roman" w:hAnsi="Times New Roman" w:cs="Times New Roman"/>
          <w:i/>
        </w:rPr>
        <w:t>Bi-annual</w:t>
      </w:r>
      <w:proofErr w:type="spellEnd"/>
      <w:r w:rsidRPr="00D205B1">
        <w:rPr>
          <w:rFonts w:ascii="Times New Roman" w:hAnsi="Times New Roman" w:cs="Times New Roman"/>
          <w:i/>
        </w:rPr>
        <w:t xml:space="preserve"> Report: </w:t>
      </w:r>
      <w:proofErr w:type="spellStart"/>
      <w:r w:rsidRPr="00D205B1">
        <w:rPr>
          <w:rFonts w:ascii="Times New Roman" w:hAnsi="Times New Roman" w:cs="Times New Roman"/>
          <w:i/>
        </w:rPr>
        <w:t>Developments</w:t>
      </w:r>
      <w:proofErr w:type="spellEnd"/>
      <w:r w:rsidRPr="00D205B1">
        <w:rPr>
          <w:rFonts w:ascii="Times New Roman" w:hAnsi="Times New Roman" w:cs="Times New Roman"/>
          <w:i/>
        </w:rPr>
        <w:t xml:space="preserve"> in </w:t>
      </w:r>
      <w:proofErr w:type="spellStart"/>
      <w:r w:rsidRPr="00D205B1">
        <w:rPr>
          <w:rFonts w:ascii="Times New Roman" w:hAnsi="Times New Roman" w:cs="Times New Roman"/>
          <w:i/>
        </w:rPr>
        <w:t>European</w:t>
      </w:r>
      <w:proofErr w:type="spellEnd"/>
      <w:r w:rsidRPr="00D205B1">
        <w:rPr>
          <w:rFonts w:ascii="Times New Roman" w:hAnsi="Times New Roman" w:cs="Times New Roman"/>
          <w:i/>
        </w:rPr>
        <w:t xml:space="preserve"> Union </w:t>
      </w:r>
      <w:proofErr w:type="spellStart"/>
      <w:r w:rsidRPr="00D205B1">
        <w:rPr>
          <w:rFonts w:ascii="Times New Roman" w:hAnsi="Times New Roman" w:cs="Times New Roman"/>
          <w:i/>
        </w:rPr>
        <w:t>Procedures</w:t>
      </w:r>
      <w:proofErr w:type="spellEnd"/>
      <w:r w:rsidRPr="00D205B1">
        <w:rPr>
          <w:rFonts w:ascii="Times New Roman" w:hAnsi="Times New Roman" w:cs="Times New Roman"/>
          <w:i/>
        </w:rPr>
        <w:t xml:space="preserve"> and </w:t>
      </w:r>
      <w:proofErr w:type="spellStart"/>
      <w:r w:rsidRPr="00D205B1">
        <w:rPr>
          <w:rFonts w:ascii="Times New Roman" w:hAnsi="Times New Roman" w:cs="Times New Roman"/>
          <w:i/>
        </w:rPr>
        <w:t>Practices</w:t>
      </w:r>
      <w:proofErr w:type="spellEnd"/>
      <w:r w:rsidRPr="00D205B1">
        <w:rPr>
          <w:rFonts w:ascii="Times New Roman" w:hAnsi="Times New Roman" w:cs="Times New Roman"/>
          <w:i/>
        </w:rPr>
        <w:t xml:space="preserve"> </w:t>
      </w:r>
      <w:proofErr w:type="spellStart"/>
      <w:r w:rsidRPr="00D205B1">
        <w:rPr>
          <w:rFonts w:ascii="Times New Roman" w:hAnsi="Times New Roman" w:cs="Times New Roman"/>
          <w:i/>
        </w:rPr>
        <w:t>Relevant</w:t>
      </w:r>
      <w:proofErr w:type="spellEnd"/>
      <w:r w:rsidRPr="00D205B1">
        <w:rPr>
          <w:rFonts w:ascii="Times New Roman" w:hAnsi="Times New Roman" w:cs="Times New Roman"/>
          <w:i/>
        </w:rPr>
        <w:t xml:space="preserve"> to </w:t>
      </w:r>
      <w:proofErr w:type="spellStart"/>
      <w:r w:rsidRPr="00D205B1">
        <w:rPr>
          <w:rFonts w:ascii="Times New Roman" w:hAnsi="Times New Roman" w:cs="Times New Roman"/>
          <w:i/>
        </w:rPr>
        <w:t>Parliamentary</w:t>
      </w:r>
      <w:proofErr w:type="spellEnd"/>
      <w:r w:rsidRPr="00D205B1">
        <w:rPr>
          <w:rFonts w:ascii="Times New Roman" w:hAnsi="Times New Roman" w:cs="Times New Roman"/>
          <w:i/>
        </w:rPr>
        <w:t xml:space="preserve"> </w:t>
      </w:r>
      <w:proofErr w:type="spellStart"/>
      <w:r w:rsidRPr="00D205B1">
        <w:rPr>
          <w:rFonts w:ascii="Times New Roman" w:hAnsi="Times New Roman" w:cs="Times New Roman"/>
          <w:i/>
        </w:rPr>
        <w:t>Scrutiny</w:t>
      </w:r>
      <w:proofErr w:type="spellEnd"/>
      <w:r w:rsidRPr="00492198">
        <w:rPr>
          <w:rFonts w:ascii="Times New Roman" w:hAnsi="Times New Roman" w:cs="Times New Roman"/>
        </w:rPr>
        <w:t xml:space="preserve"> [online]. COSAC, 4. listopadu 2014 [cit. 18. listopadu 2016]. Dostupné na &lt;http://www.cosac.eu/</w:t>
      </w:r>
      <w:proofErr w:type="spellStart"/>
      <w:r w:rsidRPr="00492198">
        <w:rPr>
          <w:rFonts w:ascii="Times New Roman" w:hAnsi="Times New Roman" w:cs="Times New Roman"/>
        </w:rPr>
        <w:t>documents</w:t>
      </w:r>
      <w:proofErr w:type="spellEnd"/>
      <w:r w:rsidRPr="00492198">
        <w:rPr>
          <w:rFonts w:ascii="Times New Roman" w:hAnsi="Times New Roman" w:cs="Times New Roman"/>
        </w:rPr>
        <w:t>/</w:t>
      </w:r>
      <w:proofErr w:type="spellStart"/>
      <w:r w:rsidRPr="00492198">
        <w:rPr>
          <w:rFonts w:ascii="Times New Roman" w:hAnsi="Times New Roman" w:cs="Times New Roman"/>
        </w:rPr>
        <w:t>bi-a</w:t>
      </w:r>
      <w:r>
        <w:rPr>
          <w:rFonts w:ascii="Times New Roman" w:hAnsi="Times New Roman" w:cs="Times New Roman"/>
        </w:rPr>
        <w:t>nnual-reports-of-cosac</w:t>
      </w:r>
      <w:proofErr w:type="spellEnd"/>
      <w:r>
        <w:rPr>
          <w:rFonts w:ascii="Times New Roman" w:hAnsi="Times New Roman" w:cs="Times New Roman"/>
        </w:rPr>
        <w:t>/&gt;.</w:t>
      </w:r>
    </w:p>
  </w:footnote>
  <w:footnote w:id="189">
    <w:p w:rsidR="00076524" w:rsidRPr="00BF5DCE" w:rsidRDefault="00076524" w:rsidP="00E851E0">
      <w:pPr>
        <w:spacing w:after="0"/>
        <w:jc w:val="both"/>
        <w:rPr>
          <w:rFonts w:ascii="Times New Roman" w:hAnsi="Times New Roman" w:cs="Times New Roman"/>
          <w:b/>
          <w:i/>
          <w:sz w:val="20"/>
          <w:szCs w:val="20"/>
        </w:rPr>
      </w:pPr>
      <w:r w:rsidRPr="00492198">
        <w:rPr>
          <w:rStyle w:val="Znakapoznpodarou"/>
          <w:rFonts w:ascii="Times New Roman" w:hAnsi="Times New Roman" w:cs="Times New Roman"/>
          <w:sz w:val="20"/>
          <w:szCs w:val="20"/>
        </w:rPr>
        <w:footnoteRef/>
      </w:r>
      <w:r w:rsidRPr="00492198">
        <w:rPr>
          <w:rFonts w:ascii="Times New Roman" w:hAnsi="Times New Roman" w:cs="Times New Roman"/>
          <w:sz w:val="20"/>
          <w:szCs w:val="20"/>
        </w:rPr>
        <w:t xml:space="preserve"> </w:t>
      </w:r>
      <w:r>
        <w:rPr>
          <w:rFonts w:ascii="Times New Roman" w:hAnsi="Times New Roman" w:cs="Times New Roman"/>
          <w:sz w:val="20"/>
          <w:szCs w:val="20"/>
        </w:rPr>
        <w:t xml:space="preserve">Viz </w:t>
      </w:r>
      <w:r w:rsidRPr="00492198">
        <w:rPr>
          <w:rFonts w:ascii="Times New Roman" w:hAnsi="Times New Roman" w:cs="Times New Roman"/>
          <w:sz w:val="20"/>
          <w:szCs w:val="20"/>
        </w:rPr>
        <w:t xml:space="preserve">COSAC. </w:t>
      </w:r>
      <w:proofErr w:type="spellStart"/>
      <w:r w:rsidRPr="002B3D5A">
        <w:rPr>
          <w:rFonts w:ascii="Times New Roman" w:hAnsi="Times New Roman" w:cs="Times New Roman"/>
          <w:i/>
          <w:sz w:val="20"/>
          <w:szCs w:val="20"/>
        </w:rPr>
        <w:t>Twenty-fourth</w:t>
      </w:r>
      <w:proofErr w:type="spellEnd"/>
      <w:r w:rsidRPr="002B3D5A">
        <w:rPr>
          <w:rFonts w:ascii="Times New Roman" w:hAnsi="Times New Roman" w:cs="Times New Roman"/>
          <w:i/>
          <w:sz w:val="20"/>
          <w:szCs w:val="20"/>
        </w:rPr>
        <w:t xml:space="preserve"> </w:t>
      </w:r>
      <w:proofErr w:type="spellStart"/>
      <w:r w:rsidRPr="002B3D5A">
        <w:rPr>
          <w:rFonts w:ascii="Times New Roman" w:hAnsi="Times New Roman" w:cs="Times New Roman"/>
          <w:i/>
          <w:sz w:val="20"/>
          <w:szCs w:val="20"/>
        </w:rPr>
        <w:t>Bi-annual</w:t>
      </w:r>
      <w:proofErr w:type="spellEnd"/>
      <w:r w:rsidRPr="002B3D5A">
        <w:rPr>
          <w:rFonts w:ascii="Times New Roman" w:hAnsi="Times New Roman" w:cs="Times New Roman"/>
          <w:i/>
          <w:sz w:val="20"/>
          <w:szCs w:val="20"/>
        </w:rPr>
        <w:t xml:space="preserve"> Report: </w:t>
      </w:r>
      <w:proofErr w:type="spellStart"/>
      <w:r w:rsidRPr="002B3D5A">
        <w:rPr>
          <w:rFonts w:ascii="Times New Roman" w:hAnsi="Times New Roman" w:cs="Times New Roman"/>
          <w:i/>
          <w:sz w:val="20"/>
          <w:szCs w:val="20"/>
        </w:rPr>
        <w:t>Developments</w:t>
      </w:r>
      <w:proofErr w:type="spellEnd"/>
      <w:r w:rsidRPr="002B3D5A">
        <w:rPr>
          <w:rFonts w:ascii="Times New Roman" w:hAnsi="Times New Roman" w:cs="Times New Roman"/>
          <w:i/>
          <w:sz w:val="20"/>
          <w:szCs w:val="20"/>
        </w:rPr>
        <w:t xml:space="preserve"> in </w:t>
      </w:r>
      <w:proofErr w:type="spellStart"/>
      <w:r w:rsidRPr="002B3D5A">
        <w:rPr>
          <w:rFonts w:ascii="Times New Roman" w:hAnsi="Times New Roman" w:cs="Times New Roman"/>
          <w:i/>
          <w:sz w:val="20"/>
          <w:szCs w:val="20"/>
        </w:rPr>
        <w:t>European</w:t>
      </w:r>
      <w:proofErr w:type="spellEnd"/>
      <w:r w:rsidRPr="002B3D5A">
        <w:rPr>
          <w:rFonts w:ascii="Times New Roman" w:hAnsi="Times New Roman" w:cs="Times New Roman"/>
          <w:i/>
          <w:sz w:val="20"/>
          <w:szCs w:val="20"/>
        </w:rPr>
        <w:t xml:space="preserve"> Union </w:t>
      </w:r>
      <w:proofErr w:type="spellStart"/>
      <w:r w:rsidRPr="002B3D5A">
        <w:rPr>
          <w:rFonts w:ascii="Times New Roman" w:hAnsi="Times New Roman" w:cs="Times New Roman"/>
          <w:i/>
          <w:sz w:val="20"/>
          <w:szCs w:val="20"/>
        </w:rPr>
        <w:t>Procedures</w:t>
      </w:r>
      <w:proofErr w:type="spellEnd"/>
      <w:r w:rsidRPr="002B3D5A">
        <w:rPr>
          <w:rFonts w:ascii="Times New Roman" w:hAnsi="Times New Roman" w:cs="Times New Roman"/>
          <w:i/>
          <w:sz w:val="20"/>
          <w:szCs w:val="20"/>
        </w:rPr>
        <w:t xml:space="preserve"> and </w:t>
      </w:r>
      <w:proofErr w:type="spellStart"/>
      <w:r w:rsidRPr="002B3D5A">
        <w:rPr>
          <w:rFonts w:ascii="Times New Roman" w:hAnsi="Times New Roman" w:cs="Times New Roman"/>
          <w:i/>
          <w:sz w:val="20"/>
          <w:szCs w:val="20"/>
        </w:rPr>
        <w:t>Practices</w:t>
      </w:r>
      <w:proofErr w:type="spellEnd"/>
      <w:r w:rsidRPr="002B3D5A">
        <w:rPr>
          <w:rFonts w:ascii="Times New Roman" w:hAnsi="Times New Roman" w:cs="Times New Roman"/>
          <w:i/>
          <w:sz w:val="20"/>
          <w:szCs w:val="20"/>
        </w:rPr>
        <w:t xml:space="preserve"> </w:t>
      </w:r>
      <w:proofErr w:type="spellStart"/>
      <w:r w:rsidRPr="002B3D5A">
        <w:rPr>
          <w:rFonts w:ascii="Times New Roman" w:hAnsi="Times New Roman" w:cs="Times New Roman"/>
          <w:i/>
          <w:sz w:val="20"/>
          <w:szCs w:val="20"/>
        </w:rPr>
        <w:t>Relevant</w:t>
      </w:r>
      <w:proofErr w:type="spellEnd"/>
      <w:r w:rsidRPr="002B3D5A">
        <w:rPr>
          <w:rFonts w:ascii="Times New Roman" w:hAnsi="Times New Roman" w:cs="Times New Roman"/>
          <w:i/>
          <w:sz w:val="20"/>
          <w:szCs w:val="20"/>
        </w:rPr>
        <w:t xml:space="preserve"> to </w:t>
      </w:r>
      <w:proofErr w:type="spellStart"/>
      <w:r w:rsidRPr="002B3D5A">
        <w:rPr>
          <w:rFonts w:ascii="Times New Roman" w:hAnsi="Times New Roman" w:cs="Times New Roman"/>
          <w:i/>
          <w:sz w:val="20"/>
          <w:szCs w:val="20"/>
        </w:rPr>
        <w:t>Parliamentary</w:t>
      </w:r>
      <w:proofErr w:type="spellEnd"/>
      <w:r w:rsidRPr="002B3D5A">
        <w:rPr>
          <w:rFonts w:ascii="Times New Roman" w:hAnsi="Times New Roman" w:cs="Times New Roman"/>
          <w:i/>
          <w:sz w:val="20"/>
          <w:szCs w:val="20"/>
        </w:rPr>
        <w:t xml:space="preserve"> </w:t>
      </w:r>
      <w:proofErr w:type="spellStart"/>
      <w:r w:rsidRPr="002B3D5A">
        <w:rPr>
          <w:rFonts w:ascii="Times New Roman" w:hAnsi="Times New Roman" w:cs="Times New Roman"/>
          <w:i/>
          <w:sz w:val="20"/>
          <w:szCs w:val="20"/>
        </w:rPr>
        <w:t>Scrutiny</w:t>
      </w:r>
      <w:proofErr w:type="spellEnd"/>
      <w:r w:rsidRPr="00492198">
        <w:rPr>
          <w:rFonts w:ascii="Times New Roman" w:hAnsi="Times New Roman" w:cs="Times New Roman"/>
          <w:sz w:val="20"/>
          <w:szCs w:val="20"/>
        </w:rPr>
        <w:t xml:space="preserve"> [online]. COSAC, 4. </w:t>
      </w:r>
      <w:proofErr w:type="spellStart"/>
      <w:r w:rsidRPr="00492198">
        <w:rPr>
          <w:rFonts w:ascii="Times New Roman" w:hAnsi="Times New Roman" w:cs="Times New Roman"/>
          <w:sz w:val="20"/>
          <w:szCs w:val="20"/>
        </w:rPr>
        <w:t>listoapadu</w:t>
      </w:r>
      <w:proofErr w:type="spellEnd"/>
      <w:r w:rsidRPr="00492198">
        <w:rPr>
          <w:rFonts w:ascii="Times New Roman" w:hAnsi="Times New Roman" w:cs="Times New Roman"/>
          <w:sz w:val="20"/>
          <w:szCs w:val="20"/>
        </w:rPr>
        <w:t xml:space="preserve"> 2015 [cit. 19. listopadu 2016]. Dostupné na &lt;http://www.cosac.eu/</w:t>
      </w:r>
      <w:proofErr w:type="spellStart"/>
      <w:r w:rsidRPr="00492198">
        <w:rPr>
          <w:rFonts w:ascii="Times New Roman" w:hAnsi="Times New Roman" w:cs="Times New Roman"/>
          <w:sz w:val="20"/>
          <w:szCs w:val="20"/>
        </w:rPr>
        <w:t>documents</w:t>
      </w:r>
      <w:proofErr w:type="spellEnd"/>
      <w:r w:rsidRPr="00492198">
        <w:rPr>
          <w:rFonts w:ascii="Times New Roman" w:hAnsi="Times New Roman" w:cs="Times New Roman"/>
          <w:sz w:val="20"/>
          <w:szCs w:val="20"/>
        </w:rPr>
        <w:t>/</w:t>
      </w:r>
      <w:proofErr w:type="spellStart"/>
      <w:r w:rsidRPr="00492198">
        <w:rPr>
          <w:rFonts w:ascii="Times New Roman" w:hAnsi="Times New Roman" w:cs="Times New Roman"/>
          <w:sz w:val="20"/>
          <w:szCs w:val="20"/>
        </w:rPr>
        <w:t>bi-ann</w:t>
      </w:r>
      <w:r>
        <w:rPr>
          <w:rFonts w:ascii="Times New Roman" w:hAnsi="Times New Roman" w:cs="Times New Roman"/>
          <w:sz w:val="20"/>
          <w:szCs w:val="20"/>
        </w:rPr>
        <w:t>ual-reports-of-cosac</w:t>
      </w:r>
      <w:proofErr w:type="spellEnd"/>
      <w:r>
        <w:rPr>
          <w:rFonts w:ascii="Times New Roman" w:hAnsi="Times New Roman" w:cs="Times New Roman"/>
          <w:sz w:val="20"/>
          <w:szCs w:val="20"/>
        </w:rPr>
        <w:t>/&gt;.</w:t>
      </w:r>
    </w:p>
  </w:footnote>
  <w:footnote w:id="190">
    <w:p w:rsidR="00076524" w:rsidRPr="00492198" w:rsidRDefault="00076524" w:rsidP="00E851E0">
      <w:pPr>
        <w:pStyle w:val="Textpoznpodarou"/>
        <w:jc w:val="both"/>
        <w:rPr>
          <w:rFonts w:ascii="Times New Roman" w:hAnsi="Times New Roman" w:cs="Times New Roman"/>
        </w:rPr>
      </w:pPr>
      <w:r w:rsidRPr="00BF5DCE">
        <w:rPr>
          <w:rStyle w:val="Znakapoznpodarou"/>
          <w:rFonts w:ascii="Times New Roman" w:hAnsi="Times New Roman" w:cs="Times New Roman"/>
        </w:rPr>
        <w:footnoteRef/>
      </w:r>
      <w:r w:rsidRPr="00BF5DCE">
        <w:rPr>
          <w:rFonts w:ascii="Times New Roman" w:hAnsi="Times New Roman" w:cs="Times New Roman"/>
        </w:rPr>
        <w:t xml:space="preserve"> Myšleno zejména v materiálním smyslu. K tomu viz </w:t>
      </w:r>
      <w:r w:rsidRPr="003720AA">
        <w:rPr>
          <w:rFonts w:ascii="Times New Roman" w:hAnsi="Times New Roman" w:cs="Times New Roman"/>
        </w:rPr>
        <w:t xml:space="preserve">MOENS, TRONE: </w:t>
      </w:r>
      <w:proofErr w:type="spellStart"/>
      <w:r w:rsidRPr="003720AA">
        <w:rPr>
          <w:rFonts w:ascii="Times New Roman" w:hAnsi="Times New Roman" w:cs="Times New Roman"/>
          <w:i/>
        </w:rPr>
        <w:t>The</w:t>
      </w:r>
      <w:proofErr w:type="spellEnd"/>
      <w:r w:rsidRPr="003720AA">
        <w:rPr>
          <w:rFonts w:ascii="Times New Roman" w:hAnsi="Times New Roman" w:cs="Times New Roman"/>
          <w:i/>
        </w:rPr>
        <w:t xml:space="preserve"> </w:t>
      </w:r>
      <w:proofErr w:type="spellStart"/>
      <w:r w:rsidRPr="003720AA">
        <w:rPr>
          <w:rFonts w:ascii="Times New Roman" w:hAnsi="Times New Roman" w:cs="Times New Roman"/>
          <w:i/>
        </w:rPr>
        <w:t>Principle</w:t>
      </w:r>
      <w:proofErr w:type="spellEnd"/>
      <w:r w:rsidRPr="003720AA">
        <w:rPr>
          <w:rFonts w:ascii="Times New Roman" w:hAnsi="Times New Roman" w:cs="Times New Roman"/>
          <w:i/>
        </w:rPr>
        <w:t>...,</w:t>
      </w:r>
      <w:r w:rsidRPr="003720AA">
        <w:rPr>
          <w:rFonts w:ascii="Times New Roman" w:hAnsi="Times New Roman" w:cs="Times New Roman"/>
        </w:rPr>
        <w:t xml:space="preserve"> s. 92.</w:t>
      </w:r>
    </w:p>
  </w:footnote>
  <w:footnote w:id="191">
    <w:p w:rsidR="00076524" w:rsidRPr="00B802D8" w:rsidRDefault="00076524" w:rsidP="00E519F1">
      <w:pPr>
        <w:pStyle w:val="Textpoznpodarou"/>
        <w:jc w:val="both"/>
        <w:rPr>
          <w:rFonts w:ascii="Times New Roman" w:hAnsi="Times New Roman" w:cs="Times New Roman"/>
        </w:rPr>
      </w:pPr>
      <w:r w:rsidRPr="00B802D8">
        <w:rPr>
          <w:rStyle w:val="Znakapoznpodarou"/>
          <w:rFonts w:ascii="Times New Roman" w:hAnsi="Times New Roman" w:cs="Times New Roman"/>
        </w:rPr>
        <w:footnoteRef/>
      </w:r>
      <w:r w:rsidRPr="00B802D8">
        <w:rPr>
          <w:rFonts w:ascii="Times New Roman" w:hAnsi="Times New Roman" w:cs="Times New Roman"/>
        </w:rPr>
        <w:t xml:space="preserve"> Viz Výroční zpráva za rok 2015 o subsidiaritě a proporcio</w:t>
      </w:r>
      <w:r>
        <w:rPr>
          <w:rFonts w:ascii="Times New Roman" w:hAnsi="Times New Roman" w:cs="Times New Roman"/>
        </w:rPr>
        <w:t xml:space="preserve">nalitě. </w:t>
      </w:r>
      <w:proofErr w:type="gramStart"/>
      <w:r>
        <w:rPr>
          <w:rFonts w:ascii="Times New Roman" w:hAnsi="Times New Roman" w:cs="Times New Roman"/>
        </w:rPr>
        <w:t>COM(</w:t>
      </w:r>
      <w:proofErr w:type="gramEnd"/>
      <w:r>
        <w:rPr>
          <w:rFonts w:ascii="Times New Roman" w:hAnsi="Times New Roman" w:cs="Times New Roman"/>
        </w:rPr>
        <w:t xml:space="preserve">2016) </w:t>
      </w:r>
      <w:r w:rsidRPr="00B802D8">
        <w:rPr>
          <w:rFonts w:ascii="Times New Roman" w:hAnsi="Times New Roman" w:cs="Times New Roman"/>
        </w:rPr>
        <w:t xml:space="preserve">469 </w:t>
      </w:r>
      <w:proofErr w:type="spellStart"/>
      <w:r w:rsidRPr="00B802D8">
        <w:rPr>
          <w:rFonts w:ascii="Times New Roman" w:hAnsi="Times New Roman" w:cs="Times New Roman"/>
        </w:rPr>
        <w:t>final</w:t>
      </w:r>
      <w:proofErr w:type="spellEnd"/>
      <w:r w:rsidRPr="00B802D8">
        <w:rPr>
          <w:rFonts w:ascii="Times New Roman" w:hAnsi="Times New Roman" w:cs="Times New Roman"/>
        </w:rPr>
        <w:t>, 15. července 2016.</w:t>
      </w:r>
      <w:r>
        <w:rPr>
          <w:rFonts w:ascii="Times New Roman" w:hAnsi="Times New Roman" w:cs="Times New Roman"/>
        </w:rPr>
        <w:t xml:space="preserve"> </w:t>
      </w:r>
    </w:p>
  </w:footnote>
  <w:footnote w:id="192">
    <w:p w:rsidR="00076524" w:rsidRPr="00925102" w:rsidRDefault="00076524" w:rsidP="00925102">
      <w:pPr>
        <w:pStyle w:val="Textpoznpodarou"/>
        <w:jc w:val="both"/>
        <w:rPr>
          <w:rFonts w:ascii="Times New Roman" w:hAnsi="Times New Roman" w:cs="Times New Roman"/>
        </w:rPr>
      </w:pPr>
      <w:r w:rsidRPr="00925102">
        <w:rPr>
          <w:rStyle w:val="Znakapoznpodarou"/>
          <w:rFonts w:ascii="Times New Roman" w:hAnsi="Times New Roman" w:cs="Times New Roman"/>
        </w:rPr>
        <w:footnoteRef/>
      </w:r>
      <w:r w:rsidRPr="00925102">
        <w:rPr>
          <w:rFonts w:ascii="Times New Roman" w:hAnsi="Times New Roman" w:cs="Times New Roman"/>
        </w:rPr>
        <w:t xml:space="preserve"> Viz OZLEM, </w:t>
      </w:r>
      <w:proofErr w:type="spellStart"/>
      <w:r w:rsidRPr="00925102">
        <w:rPr>
          <w:rFonts w:ascii="Times New Roman" w:hAnsi="Times New Roman" w:cs="Times New Roman"/>
        </w:rPr>
        <w:t>Ulgen</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Strengthening</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European</w:t>
      </w:r>
      <w:proofErr w:type="spellEnd"/>
      <w:r w:rsidRPr="00925102">
        <w:rPr>
          <w:rFonts w:ascii="Times New Roman" w:hAnsi="Times New Roman" w:cs="Times New Roman"/>
        </w:rPr>
        <w:t xml:space="preserve"> Union </w:t>
      </w:r>
      <w:proofErr w:type="spellStart"/>
      <w:r w:rsidRPr="00925102">
        <w:rPr>
          <w:rFonts w:ascii="Times New Roman" w:hAnsi="Times New Roman" w:cs="Times New Roman"/>
        </w:rPr>
        <w:t>Democratic</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Accountability</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Through</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National</w:t>
      </w:r>
      <w:proofErr w:type="spellEnd"/>
      <w:r w:rsidRPr="00925102">
        <w:rPr>
          <w:rFonts w:ascii="Times New Roman" w:hAnsi="Times New Roman" w:cs="Times New Roman"/>
        </w:rPr>
        <w:t xml:space="preserve"> and </w:t>
      </w:r>
      <w:proofErr w:type="spellStart"/>
      <w:r w:rsidRPr="00925102">
        <w:rPr>
          <w:rFonts w:ascii="Times New Roman" w:hAnsi="Times New Roman" w:cs="Times New Roman"/>
        </w:rPr>
        <w:t>Treaty-Based</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Pre-Legislative</w:t>
      </w:r>
      <w:proofErr w:type="spellEnd"/>
      <w:r w:rsidRPr="00925102">
        <w:rPr>
          <w:rFonts w:ascii="Times New Roman" w:hAnsi="Times New Roman" w:cs="Times New Roman"/>
        </w:rPr>
        <w:t xml:space="preserve"> Controls. </w:t>
      </w:r>
      <w:r w:rsidRPr="00925102">
        <w:rPr>
          <w:rFonts w:ascii="Times New Roman" w:hAnsi="Times New Roman" w:cs="Times New Roman"/>
          <w:i/>
        </w:rPr>
        <w:t xml:space="preserve">German </w:t>
      </w:r>
      <w:proofErr w:type="spellStart"/>
      <w:r w:rsidRPr="00925102">
        <w:rPr>
          <w:rFonts w:ascii="Times New Roman" w:hAnsi="Times New Roman" w:cs="Times New Roman"/>
          <w:i/>
        </w:rPr>
        <w:t>Law</w:t>
      </w:r>
      <w:proofErr w:type="spellEnd"/>
      <w:r w:rsidRPr="00925102">
        <w:rPr>
          <w:rFonts w:ascii="Times New Roman" w:hAnsi="Times New Roman" w:cs="Times New Roman"/>
          <w:i/>
        </w:rPr>
        <w:t xml:space="preserve"> </w:t>
      </w:r>
      <w:proofErr w:type="spellStart"/>
      <w:r w:rsidRPr="00925102">
        <w:rPr>
          <w:rFonts w:ascii="Times New Roman" w:hAnsi="Times New Roman" w:cs="Times New Roman"/>
          <w:i/>
        </w:rPr>
        <w:t>Journal</w:t>
      </w:r>
      <w:proofErr w:type="spellEnd"/>
      <w:r w:rsidRPr="00925102">
        <w:rPr>
          <w:rFonts w:ascii="Times New Roman" w:hAnsi="Times New Roman" w:cs="Times New Roman"/>
        </w:rPr>
        <w:t xml:space="preserve">, 2015, vol. 16, no. 4, s. 773. </w:t>
      </w:r>
    </w:p>
  </w:footnote>
  <w:footnote w:id="193">
    <w:p w:rsidR="00076524" w:rsidRPr="00925102" w:rsidRDefault="00076524" w:rsidP="00925102">
      <w:pPr>
        <w:pStyle w:val="Textpoznpodarou"/>
        <w:jc w:val="both"/>
        <w:rPr>
          <w:rFonts w:ascii="Times New Roman" w:hAnsi="Times New Roman" w:cs="Times New Roman"/>
        </w:rPr>
      </w:pPr>
      <w:r w:rsidRPr="00925102">
        <w:rPr>
          <w:rStyle w:val="Znakapoznpodarou"/>
          <w:rFonts w:ascii="Times New Roman" w:hAnsi="Times New Roman" w:cs="Times New Roman"/>
        </w:rPr>
        <w:footnoteRef/>
      </w:r>
      <w:r w:rsidRPr="00925102">
        <w:rPr>
          <w:rFonts w:ascii="Times New Roman" w:hAnsi="Times New Roman" w:cs="Times New Roman"/>
        </w:rPr>
        <w:t xml:space="preserve"> Viz čl. 6 protokolu č. 2</w:t>
      </w:r>
    </w:p>
  </w:footnote>
  <w:footnote w:id="194">
    <w:p w:rsidR="00076524" w:rsidRPr="00925102" w:rsidRDefault="00076524" w:rsidP="00925102">
      <w:pPr>
        <w:pStyle w:val="Textpoznpodarou"/>
        <w:jc w:val="both"/>
        <w:rPr>
          <w:rFonts w:ascii="Times New Roman" w:hAnsi="Times New Roman" w:cs="Times New Roman"/>
        </w:rPr>
      </w:pPr>
      <w:r w:rsidRPr="00925102">
        <w:rPr>
          <w:rStyle w:val="Znakapoznpodarou"/>
          <w:rFonts w:ascii="Times New Roman" w:hAnsi="Times New Roman" w:cs="Times New Roman"/>
        </w:rPr>
        <w:footnoteRef/>
      </w:r>
      <w:r w:rsidRPr="00925102">
        <w:rPr>
          <w:rFonts w:ascii="Times New Roman" w:hAnsi="Times New Roman" w:cs="Times New Roman"/>
        </w:rPr>
        <w:t xml:space="preserve"> KANIOK: </w:t>
      </w:r>
      <w:r w:rsidRPr="00925102">
        <w:rPr>
          <w:rFonts w:ascii="Times New Roman" w:hAnsi="Times New Roman" w:cs="Times New Roman"/>
          <w:i/>
        </w:rPr>
        <w:t>Národní…</w:t>
      </w:r>
      <w:r w:rsidRPr="00925102">
        <w:rPr>
          <w:rFonts w:ascii="Times New Roman" w:hAnsi="Times New Roman" w:cs="Times New Roman"/>
        </w:rPr>
        <w:t>, s. 107.</w:t>
      </w:r>
    </w:p>
  </w:footnote>
  <w:footnote w:id="195">
    <w:p w:rsidR="00076524" w:rsidRPr="00925102" w:rsidRDefault="00076524" w:rsidP="00925102">
      <w:pPr>
        <w:pStyle w:val="Textpoznpodarou"/>
        <w:jc w:val="both"/>
        <w:rPr>
          <w:rFonts w:ascii="Times New Roman" w:hAnsi="Times New Roman" w:cs="Times New Roman"/>
        </w:rPr>
      </w:pPr>
      <w:r w:rsidRPr="00925102">
        <w:rPr>
          <w:rStyle w:val="Znakapoznpodarou"/>
          <w:rFonts w:ascii="Times New Roman" w:hAnsi="Times New Roman" w:cs="Times New Roman"/>
        </w:rPr>
        <w:footnoteRef/>
      </w:r>
      <w:r w:rsidRPr="00925102">
        <w:rPr>
          <w:rFonts w:ascii="Times New Roman" w:hAnsi="Times New Roman" w:cs="Times New Roman"/>
        </w:rPr>
        <w:t xml:space="preserve"> Viz KIIVER: </w:t>
      </w:r>
      <w:proofErr w:type="spellStart"/>
      <w:r w:rsidRPr="00925102">
        <w:rPr>
          <w:rFonts w:ascii="Times New Roman" w:hAnsi="Times New Roman" w:cs="Times New Roman"/>
          <w:i/>
        </w:rPr>
        <w:t>The</w:t>
      </w:r>
      <w:proofErr w:type="spellEnd"/>
      <w:r w:rsidRPr="00925102">
        <w:rPr>
          <w:rFonts w:ascii="Times New Roman" w:hAnsi="Times New Roman" w:cs="Times New Roman"/>
          <w:i/>
        </w:rPr>
        <w:t xml:space="preserve"> Early…</w:t>
      </w:r>
      <w:r w:rsidRPr="00925102">
        <w:rPr>
          <w:rFonts w:ascii="Times New Roman" w:hAnsi="Times New Roman" w:cs="Times New Roman"/>
        </w:rPr>
        <w:t xml:space="preserve">, s. 97-102. A viz také GRINC: </w:t>
      </w:r>
      <w:r w:rsidRPr="00925102">
        <w:rPr>
          <w:rFonts w:ascii="Times New Roman" w:hAnsi="Times New Roman" w:cs="Times New Roman"/>
          <w:i/>
        </w:rPr>
        <w:t xml:space="preserve">Národní…, </w:t>
      </w:r>
      <w:r w:rsidRPr="00925102">
        <w:rPr>
          <w:rFonts w:ascii="Times New Roman" w:hAnsi="Times New Roman" w:cs="Times New Roman"/>
        </w:rPr>
        <w:t xml:space="preserve">s. 175-179. </w:t>
      </w:r>
    </w:p>
  </w:footnote>
  <w:footnote w:id="196">
    <w:p w:rsidR="00076524" w:rsidRPr="00925102" w:rsidRDefault="00076524" w:rsidP="00925102">
      <w:pPr>
        <w:pStyle w:val="Textpoznpodarou"/>
        <w:jc w:val="both"/>
        <w:rPr>
          <w:rFonts w:ascii="Times New Roman" w:hAnsi="Times New Roman" w:cs="Times New Roman"/>
        </w:rPr>
      </w:pPr>
      <w:r w:rsidRPr="00925102">
        <w:rPr>
          <w:rStyle w:val="Znakapoznpodarou"/>
          <w:rFonts w:ascii="Times New Roman" w:hAnsi="Times New Roman" w:cs="Times New Roman"/>
        </w:rPr>
        <w:footnoteRef/>
      </w:r>
      <w:r w:rsidRPr="00925102">
        <w:rPr>
          <w:rFonts w:ascii="Times New Roman" w:hAnsi="Times New Roman" w:cs="Times New Roman"/>
        </w:rPr>
        <w:t xml:space="preserve"> Viz Výroční zpráva za rok 2013 o subs</w:t>
      </w:r>
      <w:r>
        <w:rPr>
          <w:rFonts w:ascii="Times New Roman" w:hAnsi="Times New Roman" w:cs="Times New Roman"/>
        </w:rPr>
        <w:t xml:space="preserve">idiaritě a proporcionalitě. </w:t>
      </w:r>
      <w:proofErr w:type="gramStart"/>
      <w:r>
        <w:rPr>
          <w:rFonts w:ascii="Times New Roman" w:hAnsi="Times New Roman" w:cs="Times New Roman"/>
        </w:rPr>
        <w:t>COM</w:t>
      </w:r>
      <w:r w:rsidRPr="00925102">
        <w:rPr>
          <w:rFonts w:ascii="Times New Roman" w:hAnsi="Times New Roman" w:cs="Times New Roman"/>
        </w:rPr>
        <w:t>(</w:t>
      </w:r>
      <w:proofErr w:type="gramEnd"/>
      <w:r w:rsidRPr="00925102">
        <w:rPr>
          <w:rFonts w:ascii="Times New Roman" w:hAnsi="Times New Roman" w:cs="Times New Roman"/>
        </w:rPr>
        <w:t>2014)</w:t>
      </w:r>
      <w:r>
        <w:rPr>
          <w:rFonts w:ascii="Times New Roman" w:hAnsi="Times New Roman" w:cs="Times New Roman"/>
        </w:rPr>
        <w:t xml:space="preserve"> 506 </w:t>
      </w:r>
      <w:proofErr w:type="spellStart"/>
      <w:r>
        <w:rPr>
          <w:rFonts w:ascii="Times New Roman" w:hAnsi="Times New Roman" w:cs="Times New Roman"/>
        </w:rPr>
        <w:t>final</w:t>
      </w:r>
      <w:proofErr w:type="spellEnd"/>
      <w:r>
        <w:rPr>
          <w:rFonts w:ascii="Times New Roman" w:hAnsi="Times New Roman" w:cs="Times New Roman"/>
        </w:rPr>
        <w:t xml:space="preserve">, 5. srpna 2014. </w:t>
      </w:r>
    </w:p>
  </w:footnote>
  <w:footnote w:id="197">
    <w:p w:rsidR="00076524" w:rsidRDefault="00076524" w:rsidP="00925102">
      <w:pPr>
        <w:pStyle w:val="Textpoznpodarou"/>
        <w:jc w:val="both"/>
      </w:pPr>
      <w:r w:rsidRPr="00925102">
        <w:rPr>
          <w:rStyle w:val="Znakapoznpodarou"/>
          <w:rFonts w:ascii="Times New Roman" w:hAnsi="Times New Roman" w:cs="Times New Roman"/>
        </w:rPr>
        <w:footnoteRef/>
      </w:r>
      <w:r w:rsidRPr="00925102">
        <w:rPr>
          <w:rFonts w:ascii="Times New Roman" w:hAnsi="Times New Roman" w:cs="Times New Roman"/>
        </w:rPr>
        <w:t xml:space="preserve"> Viz JANČIČ, </w:t>
      </w:r>
      <w:proofErr w:type="spellStart"/>
      <w:r w:rsidRPr="00925102">
        <w:rPr>
          <w:rFonts w:ascii="Times New Roman" w:hAnsi="Times New Roman" w:cs="Times New Roman"/>
        </w:rPr>
        <w:t>Davor</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The</w:t>
      </w:r>
      <w:proofErr w:type="spellEnd"/>
      <w:r w:rsidRPr="00925102">
        <w:rPr>
          <w:rFonts w:ascii="Times New Roman" w:hAnsi="Times New Roman" w:cs="Times New Roman"/>
        </w:rPr>
        <w:t xml:space="preserve"> game </w:t>
      </w:r>
      <w:proofErr w:type="spellStart"/>
      <w:r w:rsidRPr="00925102">
        <w:rPr>
          <w:rFonts w:ascii="Times New Roman" w:hAnsi="Times New Roman" w:cs="Times New Roman"/>
        </w:rPr>
        <w:t>of</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cards</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National</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parliaments</w:t>
      </w:r>
      <w:proofErr w:type="spellEnd"/>
      <w:r w:rsidRPr="00925102">
        <w:rPr>
          <w:rFonts w:ascii="Times New Roman" w:hAnsi="Times New Roman" w:cs="Times New Roman"/>
        </w:rPr>
        <w:t xml:space="preserve"> in </w:t>
      </w:r>
      <w:proofErr w:type="spellStart"/>
      <w:r w:rsidRPr="00925102">
        <w:rPr>
          <w:rFonts w:ascii="Times New Roman" w:hAnsi="Times New Roman" w:cs="Times New Roman"/>
        </w:rPr>
        <w:t>the</w:t>
      </w:r>
      <w:proofErr w:type="spellEnd"/>
      <w:r w:rsidRPr="00925102">
        <w:rPr>
          <w:rFonts w:ascii="Times New Roman" w:hAnsi="Times New Roman" w:cs="Times New Roman"/>
        </w:rPr>
        <w:t xml:space="preserve"> EU and </w:t>
      </w:r>
      <w:proofErr w:type="spellStart"/>
      <w:r w:rsidRPr="00925102">
        <w:rPr>
          <w:rFonts w:ascii="Times New Roman" w:hAnsi="Times New Roman" w:cs="Times New Roman"/>
        </w:rPr>
        <w:t>the</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future</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of</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the</w:t>
      </w:r>
      <w:proofErr w:type="spellEnd"/>
      <w:r w:rsidRPr="00925102">
        <w:rPr>
          <w:rFonts w:ascii="Times New Roman" w:hAnsi="Times New Roman" w:cs="Times New Roman"/>
        </w:rPr>
        <w:t xml:space="preserve"> early </w:t>
      </w:r>
      <w:proofErr w:type="spellStart"/>
      <w:r w:rsidRPr="00925102">
        <w:rPr>
          <w:rFonts w:ascii="Times New Roman" w:hAnsi="Times New Roman" w:cs="Times New Roman"/>
        </w:rPr>
        <w:t>warning</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mechanism</w:t>
      </w:r>
      <w:proofErr w:type="spellEnd"/>
      <w:r w:rsidRPr="00925102">
        <w:rPr>
          <w:rFonts w:ascii="Times New Roman" w:hAnsi="Times New Roman" w:cs="Times New Roman"/>
        </w:rPr>
        <w:t xml:space="preserve"> and </w:t>
      </w:r>
      <w:proofErr w:type="spellStart"/>
      <w:r w:rsidRPr="00925102">
        <w:rPr>
          <w:rFonts w:ascii="Times New Roman" w:hAnsi="Times New Roman" w:cs="Times New Roman"/>
        </w:rPr>
        <w:t>the</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political</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rPr>
        <w:t>dialogue</w:t>
      </w:r>
      <w:proofErr w:type="spellEnd"/>
      <w:r w:rsidRPr="00925102">
        <w:rPr>
          <w:rFonts w:ascii="Times New Roman" w:hAnsi="Times New Roman" w:cs="Times New Roman"/>
        </w:rPr>
        <w:t xml:space="preserve">. </w:t>
      </w:r>
      <w:proofErr w:type="spellStart"/>
      <w:r w:rsidRPr="00925102">
        <w:rPr>
          <w:rFonts w:ascii="Times New Roman" w:hAnsi="Times New Roman" w:cs="Times New Roman"/>
          <w:i/>
        </w:rPr>
        <w:t>Common</w:t>
      </w:r>
      <w:proofErr w:type="spellEnd"/>
      <w:r w:rsidRPr="00925102">
        <w:rPr>
          <w:rFonts w:ascii="Times New Roman" w:hAnsi="Times New Roman" w:cs="Times New Roman"/>
          <w:i/>
        </w:rPr>
        <w:t xml:space="preserve"> Market </w:t>
      </w:r>
      <w:proofErr w:type="spellStart"/>
      <w:r w:rsidRPr="00925102">
        <w:rPr>
          <w:rFonts w:ascii="Times New Roman" w:hAnsi="Times New Roman" w:cs="Times New Roman"/>
          <w:i/>
        </w:rPr>
        <w:t>Law</w:t>
      </w:r>
      <w:proofErr w:type="spellEnd"/>
      <w:r w:rsidRPr="00925102">
        <w:rPr>
          <w:rFonts w:ascii="Times New Roman" w:hAnsi="Times New Roman" w:cs="Times New Roman"/>
          <w:i/>
        </w:rPr>
        <w:t xml:space="preserve"> </w:t>
      </w:r>
      <w:proofErr w:type="spellStart"/>
      <w:r w:rsidRPr="00925102">
        <w:rPr>
          <w:rFonts w:ascii="Times New Roman" w:hAnsi="Times New Roman" w:cs="Times New Roman"/>
          <w:i/>
        </w:rPr>
        <w:t>Review</w:t>
      </w:r>
      <w:proofErr w:type="spellEnd"/>
      <w:r w:rsidRPr="00925102">
        <w:rPr>
          <w:rFonts w:ascii="Times New Roman" w:hAnsi="Times New Roman" w:cs="Times New Roman"/>
        </w:rPr>
        <w:t xml:space="preserve">, 2015, vol. 52, </w:t>
      </w:r>
      <w:proofErr w:type="spellStart"/>
      <w:r w:rsidRPr="00925102">
        <w:rPr>
          <w:rFonts w:ascii="Times New Roman" w:hAnsi="Times New Roman" w:cs="Times New Roman"/>
        </w:rPr>
        <w:t>issue</w:t>
      </w:r>
      <w:proofErr w:type="spellEnd"/>
      <w:r w:rsidRPr="00925102">
        <w:rPr>
          <w:rFonts w:ascii="Times New Roman" w:hAnsi="Times New Roman" w:cs="Times New Roman"/>
        </w:rPr>
        <w:t xml:space="preserve"> 4, s. 949.</w:t>
      </w:r>
    </w:p>
  </w:footnote>
  <w:footnote w:id="198">
    <w:p w:rsidR="00076524" w:rsidRPr="0036155B" w:rsidRDefault="00076524" w:rsidP="000C62FC">
      <w:pPr>
        <w:pStyle w:val="Textpoznpodarou"/>
        <w:jc w:val="both"/>
        <w:rPr>
          <w:rFonts w:ascii="Times New Roman" w:hAnsi="Times New Roman" w:cs="Times New Roman"/>
        </w:rPr>
      </w:pPr>
      <w:r w:rsidRPr="0036155B">
        <w:rPr>
          <w:rStyle w:val="Znakapoznpodarou"/>
          <w:rFonts w:ascii="Times New Roman" w:hAnsi="Times New Roman" w:cs="Times New Roman"/>
        </w:rPr>
        <w:footnoteRef/>
      </w:r>
      <w:r w:rsidRPr="0036155B">
        <w:rPr>
          <w:rFonts w:ascii="Times New Roman" w:hAnsi="Times New Roman" w:cs="Times New Roman"/>
        </w:rPr>
        <w:t xml:space="preserve"> Výroční zpráva za rok 2014 o subsidiaritě a proporcionalitě. </w:t>
      </w:r>
      <w:proofErr w:type="gramStart"/>
      <w:r w:rsidRPr="0036155B">
        <w:rPr>
          <w:rFonts w:ascii="Times New Roman" w:hAnsi="Times New Roman" w:cs="Times New Roman"/>
        </w:rPr>
        <w:t>COM(</w:t>
      </w:r>
      <w:proofErr w:type="gramEnd"/>
      <w:r w:rsidRPr="0036155B">
        <w:rPr>
          <w:rFonts w:ascii="Times New Roman" w:hAnsi="Times New Roman" w:cs="Times New Roman"/>
        </w:rPr>
        <w:t>2015) 31</w:t>
      </w:r>
      <w:r>
        <w:rPr>
          <w:rFonts w:ascii="Times New Roman" w:hAnsi="Times New Roman" w:cs="Times New Roman"/>
        </w:rPr>
        <w:t xml:space="preserve">5 </w:t>
      </w:r>
      <w:proofErr w:type="spellStart"/>
      <w:r>
        <w:rPr>
          <w:rFonts w:ascii="Times New Roman" w:hAnsi="Times New Roman" w:cs="Times New Roman"/>
        </w:rPr>
        <w:t>final</w:t>
      </w:r>
      <w:proofErr w:type="spellEnd"/>
      <w:r>
        <w:rPr>
          <w:rFonts w:ascii="Times New Roman" w:hAnsi="Times New Roman" w:cs="Times New Roman"/>
        </w:rPr>
        <w:t>, 2. července 2015.</w:t>
      </w:r>
    </w:p>
  </w:footnote>
  <w:footnote w:id="199">
    <w:p w:rsidR="00076524" w:rsidRPr="0036155B" w:rsidRDefault="00076524" w:rsidP="000C62FC">
      <w:pPr>
        <w:pStyle w:val="Textpoznpodarou"/>
        <w:jc w:val="both"/>
        <w:rPr>
          <w:rFonts w:ascii="Times New Roman" w:hAnsi="Times New Roman" w:cs="Times New Roman"/>
        </w:rPr>
      </w:pPr>
      <w:r w:rsidRPr="0036155B">
        <w:rPr>
          <w:rStyle w:val="Znakapoznpodarou"/>
          <w:rFonts w:ascii="Times New Roman" w:hAnsi="Times New Roman" w:cs="Times New Roman"/>
        </w:rPr>
        <w:footnoteRef/>
      </w:r>
      <w:r w:rsidRPr="0036155B">
        <w:rPr>
          <w:rFonts w:ascii="Times New Roman" w:hAnsi="Times New Roman" w:cs="Times New Roman"/>
        </w:rPr>
        <w:t xml:space="preserve"> Viz také MOENS, TRONE: </w:t>
      </w:r>
      <w:proofErr w:type="spellStart"/>
      <w:r w:rsidRPr="0036155B">
        <w:rPr>
          <w:rFonts w:ascii="Times New Roman" w:hAnsi="Times New Roman" w:cs="Times New Roman"/>
          <w:i/>
        </w:rPr>
        <w:t>The</w:t>
      </w:r>
      <w:proofErr w:type="spellEnd"/>
      <w:r w:rsidRPr="0036155B">
        <w:rPr>
          <w:rFonts w:ascii="Times New Roman" w:hAnsi="Times New Roman" w:cs="Times New Roman"/>
          <w:i/>
        </w:rPr>
        <w:t xml:space="preserve"> </w:t>
      </w:r>
      <w:proofErr w:type="spellStart"/>
      <w:r w:rsidRPr="0036155B">
        <w:rPr>
          <w:rFonts w:ascii="Times New Roman" w:hAnsi="Times New Roman" w:cs="Times New Roman"/>
          <w:i/>
        </w:rPr>
        <w:t>Principle</w:t>
      </w:r>
      <w:proofErr w:type="spellEnd"/>
      <w:r w:rsidRPr="0036155B">
        <w:rPr>
          <w:rFonts w:ascii="Times New Roman" w:hAnsi="Times New Roman" w:cs="Times New Roman"/>
          <w:i/>
        </w:rPr>
        <w:t>...,</w:t>
      </w:r>
      <w:r w:rsidRPr="0036155B">
        <w:rPr>
          <w:rFonts w:ascii="Times New Roman" w:hAnsi="Times New Roman" w:cs="Times New Roman"/>
        </w:rPr>
        <w:t xml:space="preserve"> s. 94-95.</w:t>
      </w:r>
    </w:p>
  </w:footnote>
  <w:footnote w:id="200">
    <w:p w:rsidR="00076524" w:rsidRPr="0036155B" w:rsidRDefault="00076524" w:rsidP="000C62FC">
      <w:pPr>
        <w:pStyle w:val="Textpoznpodarou"/>
        <w:jc w:val="both"/>
        <w:rPr>
          <w:rFonts w:ascii="Times New Roman" w:hAnsi="Times New Roman" w:cs="Times New Roman"/>
        </w:rPr>
      </w:pPr>
      <w:r w:rsidRPr="0036155B">
        <w:rPr>
          <w:rStyle w:val="Znakapoznpodarou"/>
          <w:rFonts w:ascii="Times New Roman" w:hAnsi="Times New Roman" w:cs="Times New Roman"/>
        </w:rPr>
        <w:footnoteRef/>
      </w:r>
      <w:r w:rsidRPr="0036155B">
        <w:rPr>
          <w:rFonts w:ascii="Times New Roman" w:hAnsi="Times New Roman" w:cs="Times New Roman"/>
        </w:rPr>
        <w:t xml:space="preserve"> Viz Výroční zpráva za rok 2015 o subsidiaritě a proporcionalitě. </w:t>
      </w:r>
      <w:proofErr w:type="gramStart"/>
      <w:r w:rsidRPr="0036155B">
        <w:rPr>
          <w:rFonts w:ascii="Times New Roman" w:hAnsi="Times New Roman" w:cs="Times New Roman"/>
        </w:rPr>
        <w:t>COM(</w:t>
      </w:r>
      <w:proofErr w:type="gramEnd"/>
      <w:r w:rsidRPr="0036155B">
        <w:rPr>
          <w:rFonts w:ascii="Times New Roman" w:hAnsi="Times New Roman" w:cs="Times New Roman"/>
        </w:rPr>
        <w:t xml:space="preserve">2016) 469 </w:t>
      </w:r>
      <w:proofErr w:type="spellStart"/>
      <w:r w:rsidRPr="0036155B">
        <w:rPr>
          <w:rFonts w:ascii="Times New Roman" w:hAnsi="Times New Roman" w:cs="Times New Roman"/>
        </w:rPr>
        <w:t>final</w:t>
      </w:r>
      <w:proofErr w:type="spellEnd"/>
      <w:r w:rsidRPr="0036155B">
        <w:rPr>
          <w:rFonts w:ascii="Times New Roman" w:hAnsi="Times New Roman" w:cs="Times New Roman"/>
        </w:rPr>
        <w:t>, 15. července 2016.</w:t>
      </w:r>
    </w:p>
  </w:footnote>
  <w:footnote w:id="201">
    <w:p w:rsidR="00076524" w:rsidRPr="0036155B" w:rsidRDefault="00076524" w:rsidP="000C62FC">
      <w:pPr>
        <w:pStyle w:val="Textpoznpodarou"/>
        <w:jc w:val="both"/>
        <w:rPr>
          <w:rFonts w:ascii="Times New Roman" w:hAnsi="Times New Roman" w:cs="Times New Roman"/>
        </w:rPr>
      </w:pPr>
      <w:r w:rsidRPr="0036155B">
        <w:rPr>
          <w:rStyle w:val="Znakapoznpodarou"/>
          <w:rFonts w:ascii="Times New Roman" w:hAnsi="Times New Roman" w:cs="Times New Roman"/>
        </w:rPr>
        <w:footnoteRef/>
      </w:r>
      <w:r w:rsidRPr="0036155B">
        <w:rPr>
          <w:rFonts w:ascii="Times New Roman" w:hAnsi="Times New Roman" w:cs="Times New Roman"/>
        </w:rPr>
        <w:t xml:space="preserve"> Návrh směrnice Evropského parlamentu a Rady, kterou se mění směrnice Evropského parlamentu a Rady 96/71/ES ze dne 16. prosince 1996 o vysílání pracovníků </w:t>
      </w:r>
      <w:r>
        <w:rPr>
          <w:rFonts w:ascii="Times New Roman" w:hAnsi="Times New Roman" w:cs="Times New Roman"/>
        </w:rPr>
        <w:t xml:space="preserve">v rámci poskytování služeb. </w:t>
      </w:r>
      <w:proofErr w:type="gramStart"/>
      <w:r>
        <w:rPr>
          <w:rFonts w:ascii="Times New Roman" w:hAnsi="Times New Roman" w:cs="Times New Roman"/>
        </w:rPr>
        <w:t>COM</w:t>
      </w:r>
      <w:r w:rsidRPr="0036155B">
        <w:rPr>
          <w:rFonts w:ascii="Times New Roman" w:hAnsi="Times New Roman" w:cs="Times New Roman"/>
        </w:rPr>
        <w:t>(</w:t>
      </w:r>
      <w:proofErr w:type="gramEnd"/>
      <w:r w:rsidRPr="0036155B">
        <w:rPr>
          <w:rFonts w:ascii="Times New Roman" w:hAnsi="Times New Roman" w:cs="Times New Roman"/>
        </w:rPr>
        <w:t xml:space="preserve">2016) 128 </w:t>
      </w:r>
      <w:proofErr w:type="spellStart"/>
      <w:r w:rsidRPr="0036155B">
        <w:rPr>
          <w:rFonts w:ascii="Times New Roman" w:hAnsi="Times New Roman" w:cs="Times New Roman"/>
        </w:rPr>
        <w:t>final</w:t>
      </w:r>
      <w:proofErr w:type="spellEnd"/>
      <w:r w:rsidRPr="0036155B">
        <w:rPr>
          <w:rFonts w:ascii="Times New Roman" w:hAnsi="Times New Roman" w:cs="Times New Roman"/>
        </w:rPr>
        <w:t>, 8. března 2016.</w:t>
      </w:r>
    </w:p>
  </w:footnote>
  <w:footnote w:id="202">
    <w:p w:rsidR="00076524" w:rsidRPr="00492820" w:rsidRDefault="00076524" w:rsidP="000C62FC">
      <w:pPr>
        <w:pStyle w:val="Textpoznpodarou"/>
        <w:jc w:val="both"/>
        <w:rPr>
          <w:rFonts w:ascii="Times New Roman" w:hAnsi="Times New Roman" w:cs="Times New Roman"/>
        </w:rPr>
      </w:pPr>
      <w:r w:rsidRPr="0036155B">
        <w:rPr>
          <w:rStyle w:val="Znakapoznpodarou"/>
          <w:rFonts w:ascii="Times New Roman" w:hAnsi="Times New Roman" w:cs="Times New Roman"/>
        </w:rPr>
        <w:footnoteRef/>
      </w:r>
      <w:r w:rsidRPr="0036155B">
        <w:rPr>
          <w:rFonts w:ascii="Times New Roman" w:hAnsi="Times New Roman" w:cs="Times New Roman"/>
        </w:rPr>
        <w:t xml:space="preserve"> Jde o Národní radu Slovinska. Viz KOVÁŘ, Jan, RAFFAJ, Ivan. </w:t>
      </w:r>
      <w:r w:rsidRPr="002A5DE0">
        <w:rPr>
          <w:rFonts w:ascii="Times New Roman" w:hAnsi="Times New Roman" w:cs="Times New Roman"/>
          <w:i/>
        </w:rPr>
        <w:t xml:space="preserve">Využívání principu subsidiarity národními parlamenty a jejich zapojení do rozhodovacího procesu EU </w:t>
      </w:r>
      <w:r w:rsidRPr="0036155B">
        <w:rPr>
          <w:rFonts w:ascii="Times New Roman" w:hAnsi="Times New Roman" w:cs="Times New Roman"/>
        </w:rPr>
        <w:t>[online]. Evropské hodnoty, 2. února 2016 [cit. 3. ledna 2017]. Dostupné na &lt;http://www.evropskehodnoty.cz/wp-content/uploads/2016/02/Vyu%C5%BE%C3%A Dv%C3%A1n%C3%AD-principu-subsidiarity-n%C3%A1rodn%C3%ADmi-parlamenty-a-jejich-zapojen%C3% AD-do-rozhodovac%C3 %ADho-procesu-EU1.pdf&gt;.</w:t>
      </w:r>
    </w:p>
  </w:footnote>
  <w:footnote w:id="203">
    <w:p w:rsidR="00076524" w:rsidRPr="000C1899" w:rsidRDefault="00076524" w:rsidP="00492820">
      <w:pPr>
        <w:pStyle w:val="Textpoznpodarou"/>
        <w:jc w:val="both"/>
        <w:rPr>
          <w:rFonts w:ascii="Times New Roman" w:hAnsi="Times New Roman" w:cs="Times New Roman"/>
        </w:rPr>
      </w:pPr>
      <w:r w:rsidRPr="000C1899">
        <w:rPr>
          <w:rStyle w:val="Znakapoznpodarou"/>
          <w:rFonts w:ascii="Times New Roman" w:hAnsi="Times New Roman" w:cs="Times New Roman"/>
        </w:rPr>
        <w:footnoteRef/>
      </w:r>
      <w:r w:rsidRPr="000C1899">
        <w:rPr>
          <w:rFonts w:ascii="Times New Roman" w:hAnsi="Times New Roman" w:cs="Times New Roman"/>
        </w:rPr>
        <w:t xml:space="preserve"> </w:t>
      </w:r>
      <w:r>
        <w:rPr>
          <w:rFonts w:ascii="Times New Roman" w:hAnsi="Times New Roman" w:cs="Times New Roman"/>
        </w:rPr>
        <w:t xml:space="preserve">Tamtéž. Jde o </w:t>
      </w:r>
      <w:r w:rsidRPr="000C1899">
        <w:rPr>
          <w:rFonts w:ascii="Times New Roman" w:hAnsi="Times New Roman" w:cs="Times New Roman"/>
        </w:rPr>
        <w:t>Švédsko, Nizozemsko, Polsko, Francie, Spojené království</w:t>
      </w:r>
      <w:r>
        <w:rPr>
          <w:rFonts w:ascii="Times New Roman" w:hAnsi="Times New Roman" w:cs="Times New Roman"/>
        </w:rPr>
        <w:t>.</w:t>
      </w:r>
    </w:p>
  </w:footnote>
  <w:footnote w:id="204">
    <w:p w:rsidR="00076524" w:rsidRPr="000C1899" w:rsidRDefault="00076524" w:rsidP="00492820">
      <w:pPr>
        <w:pStyle w:val="Textpoznpodarou"/>
        <w:jc w:val="both"/>
        <w:rPr>
          <w:rFonts w:ascii="Times New Roman" w:hAnsi="Times New Roman" w:cs="Times New Roman"/>
        </w:rPr>
      </w:pPr>
      <w:r w:rsidRPr="000C1899">
        <w:rPr>
          <w:rStyle w:val="Znakapoznpodarou"/>
          <w:rFonts w:ascii="Times New Roman" w:hAnsi="Times New Roman" w:cs="Times New Roman"/>
        </w:rPr>
        <w:footnoteRef/>
      </w:r>
      <w:r w:rsidRPr="000C1899">
        <w:rPr>
          <w:rFonts w:ascii="Times New Roman" w:hAnsi="Times New Roman" w:cs="Times New Roman"/>
        </w:rPr>
        <w:t xml:space="preserve"> </w:t>
      </w:r>
      <w:r>
        <w:rPr>
          <w:rFonts w:ascii="Times New Roman" w:hAnsi="Times New Roman" w:cs="Times New Roman"/>
        </w:rPr>
        <w:t xml:space="preserve">Tamtéž. Jde o </w:t>
      </w:r>
      <w:r w:rsidRPr="000C1899">
        <w:rPr>
          <w:rFonts w:ascii="Times New Roman" w:hAnsi="Times New Roman" w:cs="Times New Roman"/>
        </w:rPr>
        <w:t>Bulharsko, Estonsko, Finsko, Řecko, Chorvatsko, Irsko, Kypr, Lotyšsko, Maďarsko, Portugalsko, Slovensko, Slovinsko</w:t>
      </w:r>
    </w:p>
  </w:footnote>
  <w:footnote w:id="205">
    <w:p w:rsidR="00076524" w:rsidRPr="000C1899" w:rsidRDefault="00076524" w:rsidP="00B53445">
      <w:pPr>
        <w:pStyle w:val="Textpoznpodarou"/>
        <w:jc w:val="both"/>
        <w:rPr>
          <w:rFonts w:ascii="Times New Roman" w:hAnsi="Times New Roman" w:cs="Times New Roman"/>
        </w:rPr>
      </w:pPr>
      <w:r w:rsidRPr="000C1899">
        <w:rPr>
          <w:rStyle w:val="Znakapoznpodarou"/>
          <w:rFonts w:ascii="Times New Roman" w:hAnsi="Times New Roman" w:cs="Times New Roman"/>
        </w:rPr>
        <w:footnoteRef/>
      </w:r>
      <w:r w:rsidRPr="000C1899">
        <w:rPr>
          <w:rFonts w:ascii="Times New Roman" w:hAnsi="Times New Roman" w:cs="Times New Roman"/>
        </w:rPr>
        <w:t xml:space="preserve"> Viz KANIOK: </w:t>
      </w:r>
      <w:r w:rsidRPr="000C1899">
        <w:rPr>
          <w:rFonts w:ascii="Times New Roman" w:hAnsi="Times New Roman" w:cs="Times New Roman"/>
          <w:i/>
        </w:rPr>
        <w:t>Národní…</w:t>
      </w:r>
      <w:r w:rsidRPr="000C1899">
        <w:rPr>
          <w:rFonts w:ascii="Times New Roman" w:hAnsi="Times New Roman" w:cs="Times New Roman"/>
        </w:rPr>
        <w:t>, s. 121-122.</w:t>
      </w:r>
    </w:p>
  </w:footnote>
  <w:footnote w:id="206">
    <w:p w:rsidR="00076524" w:rsidRPr="000C1899" w:rsidRDefault="00076524" w:rsidP="000C1899">
      <w:pPr>
        <w:spacing w:after="0"/>
        <w:jc w:val="both"/>
        <w:rPr>
          <w:rFonts w:ascii="Times New Roman" w:hAnsi="Times New Roman" w:cs="Times New Roman"/>
          <w:sz w:val="24"/>
        </w:rPr>
      </w:pPr>
      <w:r w:rsidRPr="000C1899">
        <w:rPr>
          <w:rStyle w:val="Znakapoznpodarou"/>
          <w:rFonts w:ascii="Times New Roman" w:hAnsi="Times New Roman" w:cs="Times New Roman"/>
          <w:sz w:val="20"/>
          <w:szCs w:val="20"/>
        </w:rPr>
        <w:footnoteRef/>
      </w:r>
      <w:r w:rsidRPr="000C1899">
        <w:rPr>
          <w:rFonts w:ascii="Times New Roman" w:hAnsi="Times New Roman" w:cs="Times New Roman"/>
          <w:sz w:val="20"/>
          <w:szCs w:val="20"/>
        </w:rPr>
        <w:t xml:space="preserve"> Viz COSAC. </w:t>
      </w:r>
      <w:proofErr w:type="spellStart"/>
      <w:r w:rsidRPr="000C1899">
        <w:rPr>
          <w:rFonts w:ascii="Times New Roman" w:hAnsi="Times New Roman" w:cs="Times New Roman"/>
          <w:i/>
          <w:sz w:val="20"/>
          <w:szCs w:val="20"/>
        </w:rPr>
        <w:t>Twenty</w:t>
      </w:r>
      <w:proofErr w:type="spellEnd"/>
      <w:r w:rsidRPr="000C1899">
        <w:rPr>
          <w:rFonts w:ascii="Times New Roman" w:hAnsi="Times New Roman" w:cs="Times New Roman"/>
          <w:i/>
          <w:sz w:val="20"/>
          <w:szCs w:val="20"/>
        </w:rPr>
        <w:t xml:space="preserve">-second </w:t>
      </w:r>
      <w:proofErr w:type="spellStart"/>
      <w:r w:rsidRPr="000C1899">
        <w:rPr>
          <w:rFonts w:ascii="Times New Roman" w:hAnsi="Times New Roman" w:cs="Times New Roman"/>
          <w:i/>
          <w:sz w:val="20"/>
          <w:szCs w:val="20"/>
        </w:rPr>
        <w:t>Bi-annual</w:t>
      </w:r>
      <w:proofErr w:type="spellEnd"/>
      <w:r w:rsidRPr="000C1899">
        <w:rPr>
          <w:rFonts w:ascii="Times New Roman" w:hAnsi="Times New Roman" w:cs="Times New Roman"/>
          <w:i/>
          <w:sz w:val="20"/>
          <w:szCs w:val="20"/>
        </w:rPr>
        <w:t xml:space="preserve"> Report: </w:t>
      </w:r>
      <w:proofErr w:type="spellStart"/>
      <w:r w:rsidRPr="000C1899">
        <w:rPr>
          <w:rFonts w:ascii="Times New Roman" w:hAnsi="Times New Roman" w:cs="Times New Roman"/>
          <w:i/>
          <w:sz w:val="20"/>
          <w:szCs w:val="20"/>
        </w:rPr>
        <w:t>Developments</w:t>
      </w:r>
      <w:proofErr w:type="spellEnd"/>
      <w:r w:rsidRPr="000C1899">
        <w:rPr>
          <w:rFonts w:ascii="Times New Roman" w:hAnsi="Times New Roman" w:cs="Times New Roman"/>
          <w:i/>
          <w:sz w:val="20"/>
          <w:szCs w:val="20"/>
        </w:rPr>
        <w:t xml:space="preserve"> in </w:t>
      </w:r>
      <w:proofErr w:type="spellStart"/>
      <w:r w:rsidRPr="000C1899">
        <w:rPr>
          <w:rFonts w:ascii="Times New Roman" w:hAnsi="Times New Roman" w:cs="Times New Roman"/>
          <w:i/>
          <w:sz w:val="20"/>
          <w:szCs w:val="20"/>
        </w:rPr>
        <w:t>European</w:t>
      </w:r>
      <w:proofErr w:type="spellEnd"/>
      <w:r w:rsidRPr="000C1899">
        <w:rPr>
          <w:rFonts w:ascii="Times New Roman" w:hAnsi="Times New Roman" w:cs="Times New Roman"/>
          <w:i/>
          <w:sz w:val="20"/>
          <w:szCs w:val="20"/>
        </w:rPr>
        <w:t xml:space="preserve"> Union </w:t>
      </w:r>
      <w:proofErr w:type="spellStart"/>
      <w:r w:rsidRPr="000C1899">
        <w:rPr>
          <w:rFonts w:ascii="Times New Roman" w:hAnsi="Times New Roman" w:cs="Times New Roman"/>
          <w:i/>
          <w:sz w:val="20"/>
          <w:szCs w:val="20"/>
        </w:rPr>
        <w:t>Procedures</w:t>
      </w:r>
      <w:proofErr w:type="spellEnd"/>
      <w:r w:rsidRPr="000C1899">
        <w:rPr>
          <w:rFonts w:ascii="Times New Roman" w:hAnsi="Times New Roman" w:cs="Times New Roman"/>
          <w:i/>
          <w:sz w:val="20"/>
          <w:szCs w:val="20"/>
        </w:rPr>
        <w:t xml:space="preserve"> and </w:t>
      </w:r>
      <w:proofErr w:type="spellStart"/>
      <w:r w:rsidRPr="000C1899">
        <w:rPr>
          <w:rFonts w:ascii="Times New Roman" w:hAnsi="Times New Roman" w:cs="Times New Roman"/>
          <w:i/>
          <w:sz w:val="20"/>
          <w:szCs w:val="20"/>
        </w:rPr>
        <w:t>Practices</w:t>
      </w:r>
      <w:proofErr w:type="spellEnd"/>
      <w:r w:rsidRPr="000C1899">
        <w:rPr>
          <w:rFonts w:ascii="Times New Roman" w:hAnsi="Times New Roman" w:cs="Times New Roman"/>
          <w:i/>
          <w:sz w:val="20"/>
          <w:szCs w:val="20"/>
        </w:rPr>
        <w:t xml:space="preserve"> </w:t>
      </w:r>
      <w:proofErr w:type="spellStart"/>
      <w:r w:rsidRPr="000C1899">
        <w:rPr>
          <w:rFonts w:ascii="Times New Roman" w:hAnsi="Times New Roman" w:cs="Times New Roman"/>
          <w:i/>
          <w:sz w:val="20"/>
          <w:szCs w:val="20"/>
        </w:rPr>
        <w:t>Relevant</w:t>
      </w:r>
      <w:proofErr w:type="spellEnd"/>
      <w:r w:rsidRPr="000C1899">
        <w:rPr>
          <w:rFonts w:ascii="Times New Roman" w:hAnsi="Times New Roman" w:cs="Times New Roman"/>
          <w:i/>
          <w:sz w:val="20"/>
          <w:szCs w:val="20"/>
        </w:rPr>
        <w:t xml:space="preserve"> to </w:t>
      </w:r>
      <w:proofErr w:type="spellStart"/>
      <w:r w:rsidRPr="000C1899">
        <w:rPr>
          <w:rFonts w:ascii="Times New Roman" w:hAnsi="Times New Roman" w:cs="Times New Roman"/>
          <w:i/>
          <w:sz w:val="20"/>
          <w:szCs w:val="20"/>
        </w:rPr>
        <w:t>Parliamentary</w:t>
      </w:r>
      <w:proofErr w:type="spellEnd"/>
      <w:r w:rsidRPr="000C1899">
        <w:rPr>
          <w:rFonts w:ascii="Times New Roman" w:hAnsi="Times New Roman" w:cs="Times New Roman"/>
          <w:i/>
          <w:sz w:val="20"/>
          <w:szCs w:val="20"/>
        </w:rPr>
        <w:t xml:space="preserve"> </w:t>
      </w:r>
      <w:proofErr w:type="spellStart"/>
      <w:r w:rsidRPr="000C1899">
        <w:rPr>
          <w:rFonts w:ascii="Times New Roman" w:hAnsi="Times New Roman" w:cs="Times New Roman"/>
          <w:i/>
          <w:sz w:val="20"/>
          <w:szCs w:val="20"/>
        </w:rPr>
        <w:t>Scrutiny</w:t>
      </w:r>
      <w:proofErr w:type="spellEnd"/>
      <w:r w:rsidRPr="000C1899">
        <w:rPr>
          <w:rFonts w:ascii="Times New Roman" w:hAnsi="Times New Roman" w:cs="Times New Roman"/>
          <w:sz w:val="20"/>
          <w:szCs w:val="20"/>
        </w:rPr>
        <w:t xml:space="preserve"> [online]. COSAC, 4. listopadu 2014 [cit. 18. listopadu 2016]. Dostupné na &lt;http://www.cosac.eu/</w:t>
      </w:r>
      <w:proofErr w:type="spellStart"/>
      <w:r w:rsidRPr="000C1899">
        <w:rPr>
          <w:rFonts w:ascii="Times New Roman" w:hAnsi="Times New Roman" w:cs="Times New Roman"/>
          <w:sz w:val="20"/>
          <w:szCs w:val="20"/>
        </w:rPr>
        <w:t>documents</w:t>
      </w:r>
      <w:proofErr w:type="spellEnd"/>
      <w:r w:rsidRPr="000C1899">
        <w:rPr>
          <w:rFonts w:ascii="Times New Roman" w:hAnsi="Times New Roman" w:cs="Times New Roman"/>
          <w:sz w:val="20"/>
          <w:szCs w:val="20"/>
        </w:rPr>
        <w:t>/</w:t>
      </w:r>
      <w:proofErr w:type="spellStart"/>
      <w:r w:rsidRPr="000C1899">
        <w:rPr>
          <w:rFonts w:ascii="Times New Roman" w:hAnsi="Times New Roman" w:cs="Times New Roman"/>
          <w:sz w:val="20"/>
          <w:szCs w:val="20"/>
        </w:rPr>
        <w:t>bi-annual-reports-of-cosac</w:t>
      </w:r>
      <w:proofErr w:type="spellEnd"/>
      <w:r w:rsidRPr="000C1899">
        <w:rPr>
          <w:rFonts w:ascii="Times New Roman" w:hAnsi="Times New Roman" w:cs="Times New Roman"/>
          <w:sz w:val="20"/>
          <w:szCs w:val="20"/>
        </w:rPr>
        <w:t>/&gt;.</w:t>
      </w:r>
    </w:p>
  </w:footnote>
  <w:footnote w:id="207">
    <w:p w:rsidR="00076524" w:rsidRPr="00A7441F" w:rsidRDefault="00076524" w:rsidP="000C1899">
      <w:pPr>
        <w:pStyle w:val="Textpoznpodarou"/>
        <w:jc w:val="both"/>
        <w:rPr>
          <w:rFonts w:ascii="Times New Roman" w:hAnsi="Times New Roman" w:cs="Times New Roman"/>
        </w:rPr>
      </w:pPr>
      <w:r w:rsidRPr="00A7441F">
        <w:rPr>
          <w:rStyle w:val="Znakapoznpodarou"/>
          <w:rFonts w:ascii="Times New Roman" w:hAnsi="Times New Roman" w:cs="Times New Roman"/>
        </w:rPr>
        <w:footnoteRef/>
      </w:r>
      <w:r w:rsidRPr="00A7441F">
        <w:rPr>
          <w:rFonts w:ascii="Times New Roman" w:hAnsi="Times New Roman" w:cs="Times New Roman"/>
        </w:rPr>
        <w:t xml:space="preserve"> Tak, jak je předestřela Komise ve výročních zprávách</w:t>
      </w:r>
      <w:r>
        <w:rPr>
          <w:rFonts w:ascii="Times New Roman" w:hAnsi="Times New Roman" w:cs="Times New Roman"/>
        </w:rPr>
        <w:t xml:space="preserve"> </w:t>
      </w:r>
      <w:r w:rsidRPr="00492820">
        <w:rPr>
          <w:rFonts w:ascii="Times New Roman" w:hAnsi="Times New Roman" w:cs="Times New Roman"/>
        </w:rPr>
        <w:t>o subsidiaritě a proporcionalitě</w:t>
      </w:r>
      <w:r w:rsidRPr="00A7441F">
        <w:rPr>
          <w:rFonts w:ascii="Times New Roman" w:hAnsi="Times New Roman" w:cs="Times New Roman"/>
        </w:rPr>
        <w:t xml:space="preserve"> za roky 2013, 201</w:t>
      </w:r>
      <w:r>
        <w:rPr>
          <w:rFonts w:ascii="Times New Roman" w:hAnsi="Times New Roman" w:cs="Times New Roman"/>
        </w:rPr>
        <w:t>4 a 2015. Šlo o celkem devět návrhů. V</w:t>
      </w:r>
      <w:r w:rsidRPr="00A7441F">
        <w:rPr>
          <w:rFonts w:ascii="Times New Roman" w:hAnsi="Times New Roman" w:cs="Times New Roman"/>
        </w:rPr>
        <w:t>ynechán j</w:t>
      </w:r>
      <w:r>
        <w:rPr>
          <w:rFonts w:ascii="Times New Roman" w:hAnsi="Times New Roman" w:cs="Times New Roman"/>
        </w:rPr>
        <w:t>e návrh, k němuž byla udělena žlutá karta</w:t>
      </w:r>
      <w:r w:rsidRPr="00A7441F">
        <w:rPr>
          <w:rFonts w:ascii="Times New Roman" w:hAnsi="Times New Roman" w:cs="Times New Roman"/>
        </w:rPr>
        <w:t>.</w:t>
      </w:r>
    </w:p>
  </w:footnote>
  <w:footnote w:id="208">
    <w:p w:rsidR="00076524" w:rsidRPr="00A7441F" w:rsidRDefault="00076524" w:rsidP="00B53445">
      <w:pPr>
        <w:pStyle w:val="Textpoznpodarou"/>
        <w:rPr>
          <w:rFonts w:ascii="Times New Roman" w:hAnsi="Times New Roman" w:cs="Times New Roman"/>
        </w:rPr>
      </w:pPr>
      <w:r w:rsidRPr="00A7441F">
        <w:rPr>
          <w:rStyle w:val="Znakapoznpodarou"/>
          <w:rFonts w:ascii="Times New Roman" w:hAnsi="Times New Roman" w:cs="Times New Roman"/>
        </w:rPr>
        <w:footnoteRef/>
      </w:r>
      <w:r w:rsidRPr="00A7441F">
        <w:rPr>
          <w:rFonts w:ascii="Times New Roman" w:hAnsi="Times New Roman" w:cs="Times New Roman"/>
        </w:rPr>
        <w:t xml:space="preserve"> Čerpáno z databáze EUR-Lex.</w:t>
      </w:r>
    </w:p>
  </w:footnote>
  <w:footnote w:id="209">
    <w:p w:rsidR="00076524" w:rsidRDefault="00076524" w:rsidP="00B53445">
      <w:pPr>
        <w:pStyle w:val="Textpoznpodarou"/>
      </w:pPr>
      <w:r w:rsidRPr="00A7441F">
        <w:rPr>
          <w:rStyle w:val="Znakapoznpodarou"/>
          <w:rFonts w:ascii="Times New Roman" w:hAnsi="Times New Roman" w:cs="Times New Roman"/>
        </w:rPr>
        <w:footnoteRef/>
      </w:r>
      <w:r>
        <w:rPr>
          <w:rFonts w:ascii="Times New Roman" w:hAnsi="Times New Roman" w:cs="Times New Roman"/>
        </w:rPr>
        <w:t xml:space="preserve"> </w:t>
      </w:r>
      <w:r w:rsidRPr="00492198">
        <w:rPr>
          <w:rFonts w:ascii="Times New Roman" w:hAnsi="Times New Roman" w:cs="Times New Roman"/>
        </w:rPr>
        <w:t xml:space="preserve">GRINC: </w:t>
      </w:r>
      <w:r>
        <w:rPr>
          <w:rFonts w:ascii="Times New Roman" w:hAnsi="Times New Roman" w:cs="Times New Roman"/>
          <w:i/>
        </w:rPr>
        <w:t>Národní…,</w:t>
      </w:r>
      <w:r w:rsidRPr="00A7441F">
        <w:rPr>
          <w:rFonts w:ascii="Times New Roman" w:hAnsi="Times New Roman" w:cs="Times New Roman"/>
        </w:rPr>
        <w:t xml:space="preserve"> s. 191.</w:t>
      </w:r>
    </w:p>
  </w:footnote>
  <w:footnote w:id="210">
    <w:p w:rsidR="00076524" w:rsidRPr="00FE3A29" w:rsidRDefault="00076524" w:rsidP="0031764D">
      <w:pPr>
        <w:pStyle w:val="Textpoznpodarou"/>
        <w:jc w:val="both"/>
        <w:rPr>
          <w:rFonts w:ascii="Times New Roman" w:hAnsi="Times New Roman" w:cs="Times New Roman"/>
        </w:rPr>
      </w:pPr>
      <w:r w:rsidRPr="00FE3A29">
        <w:rPr>
          <w:rStyle w:val="Znakapoznpodarou"/>
          <w:rFonts w:ascii="Times New Roman" w:hAnsi="Times New Roman" w:cs="Times New Roman"/>
        </w:rPr>
        <w:footnoteRef/>
      </w:r>
      <w:r>
        <w:rPr>
          <w:rFonts w:ascii="Times New Roman" w:hAnsi="Times New Roman" w:cs="Times New Roman"/>
        </w:rPr>
        <w:t xml:space="preserve"> Viz např. </w:t>
      </w:r>
      <w:r>
        <w:rPr>
          <w:rFonts w:ascii="Times New Roman" w:hAnsi="Times New Roman" w:cs="Times New Roman"/>
          <w:color w:val="000000"/>
          <w:shd w:val="clear" w:color="auto" w:fill="FFFFFF"/>
        </w:rPr>
        <w:t>§</w:t>
      </w:r>
      <w:r>
        <w:rPr>
          <w:rFonts w:ascii="Times New Roman" w:hAnsi="Times New Roman" w:cs="Times New Roman"/>
        </w:rPr>
        <w:t xml:space="preserve"> 119f, </w:t>
      </w:r>
      <w:proofErr w:type="gramStart"/>
      <w:r w:rsidRPr="00FE3A29">
        <w:rPr>
          <w:rFonts w:ascii="Times New Roman" w:hAnsi="Times New Roman" w:cs="Times New Roman"/>
        </w:rPr>
        <w:t>119g</w:t>
      </w:r>
      <w:proofErr w:type="gramEnd"/>
      <w:r w:rsidRPr="00FE3A29">
        <w:rPr>
          <w:rFonts w:ascii="Times New Roman" w:hAnsi="Times New Roman" w:cs="Times New Roman"/>
        </w:rPr>
        <w:t xml:space="preserve">, 119i a 119j zákona č. 107/1999 Sb., o jednacím řádu Senátu, ve znění pozdějších předpisů. </w:t>
      </w:r>
    </w:p>
  </w:footnote>
  <w:footnote w:id="211">
    <w:p w:rsidR="00076524" w:rsidRPr="00FE3A29" w:rsidRDefault="00076524" w:rsidP="0031764D">
      <w:pPr>
        <w:pStyle w:val="Textpoznpodarou"/>
        <w:jc w:val="both"/>
        <w:rPr>
          <w:rFonts w:ascii="Times New Roman" w:hAnsi="Times New Roman" w:cs="Times New Roman"/>
        </w:rPr>
      </w:pPr>
      <w:r w:rsidRPr="00FE3A29">
        <w:rPr>
          <w:rStyle w:val="Znakapoznpodarou"/>
          <w:rFonts w:ascii="Times New Roman" w:hAnsi="Times New Roman" w:cs="Times New Roman"/>
        </w:rPr>
        <w:footnoteRef/>
      </w:r>
      <w:r>
        <w:rPr>
          <w:rFonts w:ascii="Times New Roman" w:hAnsi="Times New Roman" w:cs="Times New Roman"/>
        </w:rPr>
        <w:t xml:space="preserve"> Viz např. </w:t>
      </w:r>
      <w:r>
        <w:rPr>
          <w:rFonts w:ascii="Times New Roman" w:hAnsi="Times New Roman" w:cs="Times New Roman"/>
          <w:color w:val="000000"/>
          <w:shd w:val="clear" w:color="auto" w:fill="FFFFFF"/>
        </w:rPr>
        <w:t xml:space="preserve">§ </w:t>
      </w:r>
      <w:proofErr w:type="gramStart"/>
      <w:r w:rsidRPr="00FE3A29">
        <w:rPr>
          <w:rFonts w:ascii="Times New Roman" w:hAnsi="Times New Roman" w:cs="Times New Roman"/>
        </w:rPr>
        <w:t>109a</w:t>
      </w:r>
      <w:proofErr w:type="gramEnd"/>
      <w:r w:rsidRPr="00FE3A29">
        <w:rPr>
          <w:rFonts w:ascii="Times New Roman" w:hAnsi="Times New Roman" w:cs="Times New Roman"/>
        </w:rPr>
        <w:t xml:space="preserve"> </w:t>
      </w:r>
      <w:r w:rsidRPr="00CD2A1A">
        <w:rPr>
          <w:rFonts w:ascii="Times New Roman" w:hAnsi="Times New Roman" w:cs="Times New Roman"/>
        </w:rPr>
        <w:t>zákona č. 90/1995 Sb., o jednacím řádu Poslanecké sněmovny, ve znění pozdějších předpisů</w:t>
      </w:r>
      <w:r>
        <w:rPr>
          <w:rFonts w:ascii="Times New Roman" w:hAnsi="Times New Roman" w:cs="Times New Roman"/>
        </w:rPr>
        <w:t>.</w:t>
      </w:r>
    </w:p>
  </w:footnote>
  <w:footnote w:id="212">
    <w:p w:rsidR="00076524" w:rsidRPr="00FE3A29" w:rsidRDefault="00076524" w:rsidP="0031764D">
      <w:pPr>
        <w:pStyle w:val="Textpoznpodarou"/>
        <w:jc w:val="both"/>
        <w:rPr>
          <w:rFonts w:ascii="Times New Roman" w:hAnsi="Times New Roman" w:cs="Times New Roman"/>
        </w:rPr>
      </w:pPr>
      <w:r w:rsidRPr="00FE3A29">
        <w:rPr>
          <w:rStyle w:val="Znakapoznpodarou"/>
          <w:rFonts w:ascii="Times New Roman" w:hAnsi="Times New Roman" w:cs="Times New Roman"/>
        </w:rPr>
        <w:footnoteRef/>
      </w:r>
      <w:r>
        <w:rPr>
          <w:rFonts w:ascii="Times New Roman" w:hAnsi="Times New Roman" w:cs="Times New Roman"/>
        </w:rPr>
        <w:t xml:space="preserve"> Více odkazujeme na </w:t>
      </w:r>
      <w:r w:rsidRPr="00FE3A29">
        <w:rPr>
          <w:rFonts w:ascii="Times New Roman" w:hAnsi="Times New Roman" w:cs="Times New Roman"/>
        </w:rPr>
        <w:t>přehled vyprac</w:t>
      </w:r>
      <w:r>
        <w:rPr>
          <w:rFonts w:ascii="Times New Roman" w:hAnsi="Times New Roman" w:cs="Times New Roman"/>
        </w:rPr>
        <w:t xml:space="preserve">ovaný </w:t>
      </w:r>
      <w:proofErr w:type="spellStart"/>
      <w:r>
        <w:rPr>
          <w:rFonts w:ascii="Times New Roman" w:hAnsi="Times New Roman" w:cs="Times New Roman"/>
        </w:rPr>
        <w:t>Kaniokem</w:t>
      </w:r>
      <w:proofErr w:type="spellEnd"/>
      <w:r>
        <w:rPr>
          <w:rFonts w:ascii="Times New Roman" w:hAnsi="Times New Roman" w:cs="Times New Roman"/>
        </w:rPr>
        <w:t xml:space="preserve">. </w:t>
      </w:r>
      <w:r w:rsidRPr="00A7441F">
        <w:rPr>
          <w:rFonts w:ascii="Times New Roman" w:hAnsi="Times New Roman" w:cs="Times New Roman"/>
        </w:rPr>
        <w:t xml:space="preserve">Viz KANIOK: </w:t>
      </w:r>
      <w:r w:rsidRPr="00A7441F">
        <w:rPr>
          <w:rFonts w:ascii="Times New Roman" w:hAnsi="Times New Roman" w:cs="Times New Roman"/>
          <w:i/>
        </w:rPr>
        <w:t>Národní…</w:t>
      </w:r>
      <w:r>
        <w:rPr>
          <w:rFonts w:ascii="Times New Roman" w:hAnsi="Times New Roman" w:cs="Times New Roman"/>
        </w:rPr>
        <w:t>,</w:t>
      </w:r>
      <w:r w:rsidRPr="00FE3A29">
        <w:rPr>
          <w:rFonts w:ascii="Times New Roman" w:hAnsi="Times New Roman" w:cs="Times New Roman"/>
        </w:rPr>
        <w:t xml:space="preserve"> s. 61-64.</w:t>
      </w:r>
    </w:p>
  </w:footnote>
  <w:footnote w:id="213">
    <w:p w:rsidR="00076524" w:rsidRPr="00FE3A29" w:rsidRDefault="00076524" w:rsidP="0031764D">
      <w:pPr>
        <w:pStyle w:val="Textpoznpodarou"/>
        <w:jc w:val="both"/>
        <w:rPr>
          <w:rFonts w:ascii="Times New Roman" w:hAnsi="Times New Roman" w:cs="Times New Roman"/>
        </w:rPr>
      </w:pPr>
      <w:r w:rsidRPr="00FE3A29">
        <w:rPr>
          <w:rStyle w:val="Znakapoznpodarou"/>
          <w:rFonts w:ascii="Times New Roman" w:hAnsi="Times New Roman" w:cs="Times New Roman"/>
        </w:rPr>
        <w:footnoteRef/>
      </w:r>
      <w:r w:rsidRPr="00FE3A29">
        <w:rPr>
          <w:rFonts w:ascii="Times New Roman" w:hAnsi="Times New Roman" w:cs="Times New Roman"/>
        </w:rPr>
        <w:t xml:space="preserve"> </w:t>
      </w:r>
      <w:r>
        <w:rPr>
          <w:rFonts w:ascii="Times New Roman" w:hAnsi="Times New Roman" w:cs="Times New Roman"/>
        </w:rPr>
        <w:t xml:space="preserve">Viz </w:t>
      </w:r>
      <w:r w:rsidRPr="00492820">
        <w:rPr>
          <w:rFonts w:ascii="Times New Roman" w:hAnsi="Times New Roman" w:cs="Times New Roman"/>
        </w:rPr>
        <w:t xml:space="preserve">MOENS, TRONE: </w:t>
      </w:r>
      <w:proofErr w:type="spellStart"/>
      <w:r w:rsidRPr="00492820">
        <w:rPr>
          <w:rFonts w:ascii="Times New Roman" w:hAnsi="Times New Roman" w:cs="Times New Roman"/>
          <w:i/>
        </w:rPr>
        <w:t>The</w:t>
      </w:r>
      <w:proofErr w:type="spellEnd"/>
      <w:r w:rsidRPr="00492820">
        <w:rPr>
          <w:rFonts w:ascii="Times New Roman" w:hAnsi="Times New Roman" w:cs="Times New Roman"/>
          <w:i/>
        </w:rPr>
        <w:t xml:space="preserve"> </w:t>
      </w:r>
      <w:proofErr w:type="spellStart"/>
      <w:r w:rsidRPr="00492820">
        <w:rPr>
          <w:rFonts w:ascii="Times New Roman" w:hAnsi="Times New Roman" w:cs="Times New Roman"/>
          <w:i/>
        </w:rPr>
        <w:t>Principle</w:t>
      </w:r>
      <w:proofErr w:type="spellEnd"/>
      <w:r w:rsidRPr="00492820">
        <w:rPr>
          <w:rFonts w:ascii="Times New Roman" w:hAnsi="Times New Roman" w:cs="Times New Roman"/>
          <w:i/>
        </w:rPr>
        <w:t>...,</w:t>
      </w:r>
      <w:r w:rsidRPr="00FE3A29">
        <w:rPr>
          <w:rFonts w:ascii="Times New Roman" w:hAnsi="Times New Roman" w:cs="Times New Roman"/>
        </w:rPr>
        <w:t xml:space="preserve"> s. 91.</w:t>
      </w:r>
    </w:p>
  </w:footnote>
  <w:footnote w:id="214">
    <w:p w:rsidR="00076524" w:rsidRPr="00FE3A29" w:rsidRDefault="00076524" w:rsidP="0031764D">
      <w:pPr>
        <w:pStyle w:val="Textpoznpodarou"/>
        <w:jc w:val="both"/>
        <w:rPr>
          <w:rFonts w:ascii="Times New Roman" w:hAnsi="Times New Roman" w:cs="Times New Roman"/>
        </w:rPr>
      </w:pPr>
      <w:r w:rsidRPr="00FE3A29">
        <w:rPr>
          <w:rStyle w:val="Znakapoznpodarou"/>
          <w:rFonts w:ascii="Times New Roman" w:hAnsi="Times New Roman" w:cs="Times New Roman"/>
        </w:rPr>
        <w:footnoteRef/>
      </w:r>
      <w:r w:rsidRPr="00FE3A29">
        <w:rPr>
          <w:rFonts w:ascii="Times New Roman" w:hAnsi="Times New Roman" w:cs="Times New Roman"/>
        </w:rPr>
        <w:t xml:space="preserve"> </w:t>
      </w:r>
      <w:r>
        <w:rPr>
          <w:rFonts w:ascii="Times New Roman" w:hAnsi="Times New Roman" w:cs="Times New Roman"/>
        </w:rPr>
        <w:t xml:space="preserve">Viz </w:t>
      </w:r>
      <w:r w:rsidRPr="000C6BCC">
        <w:rPr>
          <w:rFonts w:ascii="Times New Roman" w:hAnsi="Times New Roman" w:cs="Times New Roman"/>
        </w:rPr>
        <w:t xml:space="preserve">GRINC, Jan. Projednávání záležitostí Evropské unie v Senátu po Lisabonské smlouvě: zhodnocení dosavadní praxe a podněty do budoucna. </w:t>
      </w:r>
      <w:r w:rsidRPr="000C6BCC">
        <w:rPr>
          <w:rFonts w:ascii="Times New Roman" w:hAnsi="Times New Roman" w:cs="Times New Roman"/>
          <w:i/>
        </w:rPr>
        <w:t xml:space="preserve">Acta </w:t>
      </w:r>
      <w:proofErr w:type="spellStart"/>
      <w:r w:rsidRPr="000C6BCC">
        <w:rPr>
          <w:rFonts w:ascii="Times New Roman" w:hAnsi="Times New Roman" w:cs="Times New Roman"/>
          <w:i/>
        </w:rPr>
        <w:t>Universitatis</w:t>
      </w:r>
      <w:proofErr w:type="spellEnd"/>
      <w:r w:rsidRPr="000C6BCC">
        <w:rPr>
          <w:rFonts w:ascii="Times New Roman" w:hAnsi="Times New Roman" w:cs="Times New Roman"/>
          <w:i/>
        </w:rPr>
        <w:t xml:space="preserve"> </w:t>
      </w:r>
      <w:proofErr w:type="spellStart"/>
      <w:r w:rsidRPr="000C6BCC">
        <w:rPr>
          <w:rFonts w:ascii="Times New Roman" w:hAnsi="Times New Roman" w:cs="Times New Roman"/>
          <w:i/>
        </w:rPr>
        <w:t>Carolinae</w:t>
      </w:r>
      <w:proofErr w:type="spellEnd"/>
      <w:r w:rsidRPr="000C6BCC">
        <w:rPr>
          <w:rFonts w:ascii="Times New Roman" w:hAnsi="Times New Roman" w:cs="Times New Roman"/>
          <w:i/>
        </w:rPr>
        <w:t xml:space="preserve"> </w:t>
      </w:r>
      <w:proofErr w:type="spellStart"/>
      <w:r w:rsidRPr="000C6BCC">
        <w:rPr>
          <w:rFonts w:ascii="Times New Roman" w:hAnsi="Times New Roman" w:cs="Times New Roman"/>
          <w:i/>
        </w:rPr>
        <w:t>Iuridica</w:t>
      </w:r>
      <w:proofErr w:type="spellEnd"/>
      <w:r>
        <w:rPr>
          <w:rFonts w:ascii="Times New Roman" w:hAnsi="Times New Roman" w:cs="Times New Roman"/>
        </w:rPr>
        <w:t>, 2013, č. 4, s.</w:t>
      </w:r>
      <w:r w:rsidRPr="00FE3A29">
        <w:rPr>
          <w:rFonts w:ascii="Times New Roman" w:hAnsi="Times New Roman" w:cs="Times New Roman"/>
        </w:rPr>
        <w:t xml:space="preserve"> 103, 10</w:t>
      </w:r>
      <w:r>
        <w:rPr>
          <w:rFonts w:ascii="Times New Roman" w:hAnsi="Times New Roman" w:cs="Times New Roman"/>
        </w:rPr>
        <w:t>5, 107 a 112.</w:t>
      </w:r>
    </w:p>
  </w:footnote>
  <w:footnote w:id="215">
    <w:p w:rsidR="00076524" w:rsidRDefault="00076524" w:rsidP="0031764D">
      <w:pPr>
        <w:pStyle w:val="Textpoznpodarou"/>
        <w:jc w:val="both"/>
      </w:pPr>
      <w:r w:rsidRPr="00FE3A29">
        <w:rPr>
          <w:rStyle w:val="Znakapoznpodarou"/>
          <w:rFonts w:ascii="Times New Roman" w:hAnsi="Times New Roman" w:cs="Times New Roman"/>
        </w:rPr>
        <w:footnoteRef/>
      </w:r>
      <w:r>
        <w:rPr>
          <w:rFonts w:ascii="Times New Roman" w:hAnsi="Times New Roman" w:cs="Times New Roman"/>
        </w:rPr>
        <w:t xml:space="preserve"> Viz </w:t>
      </w:r>
      <w:r w:rsidRPr="004E5E77">
        <w:rPr>
          <w:rFonts w:ascii="Times New Roman" w:hAnsi="Times New Roman" w:cs="Times New Roman"/>
        </w:rPr>
        <w:t xml:space="preserve">STRELKOV, Alexander. </w:t>
      </w:r>
      <w:proofErr w:type="spellStart"/>
      <w:r w:rsidRPr="00BC7E55">
        <w:rPr>
          <w:rFonts w:ascii="Times New Roman" w:hAnsi="Times New Roman" w:cs="Times New Roman"/>
          <w:i/>
        </w:rPr>
        <w:t>National</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Parliaments</w:t>
      </w:r>
      <w:proofErr w:type="spellEnd"/>
      <w:r w:rsidRPr="00BC7E55">
        <w:rPr>
          <w:rFonts w:ascii="Times New Roman" w:hAnsi="Times New Roman" w:cs="Times New Roman"/>
          <w:i/>
        </w:rPr>
        <w:t xml:space="preserve"> in </w:t>
      </w:r>
      <w:proofErr w:type="spellStart"/>
      <w:r w:rsidRPr="00BC7E55">
        <w:rPr>
          <w:rFonts w:ascii="Times New Roman" w:hAnsi="Times New Roman" w:cs="Times New Roman"/>
          <w:i/>
        </w:rPr>
        <w:t>the</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Aftermath</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of</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the</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Lisbon</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Treaty</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Adaptation</w:t>
      </w:r>
      <w:proofErr w:type="spellEnd"/>
      <w:r w:rsidRPr="00BC7E55">
        <w:rPr>
          <w:rFonts w:ascii="Times New Roman" w:hAnsi="Times New Roman" w:cs="Times New Roman"/>
          <w:i/>
        </w:rPr>
        <w:t xml:space="preserve"> to </w:t>
      </w:r>
      <w:proofErr w:type="spellStart"/>
      <w:r w:rsidRPr="00BC7E55">
        <w:rPr>
          <w:rFonts w:ascii="Times New Roman" w:hAnsi="Times New Roman" w:cs="Times New Roman"/>
          <w:i/>
        </w:rPr>
        <w:t>the</w:t>
      </w:r>
      <w:proofErr w:type="spellEnd"/>
      <w:r w:rsidRPr="00BC7E55">
        <w:rPr>
          <w:rFonts w:ascii="Times New Roman" w:hAnsi="Times New Roman" w:cs="Times New Roman"/>
          <w:i/>
        </w:rPr>
        <w:t xml:space="preserve"> ‘New </w:t>
      </w:r>
      <w:proofErr w:type="spellStart"/>
      <w:r w:rsidRPr="00BC7E55">
        <w:rPr>
          <w:rFonts w:ascii="Times New Roman" w:hAnsi="Times New Roman" w:cs="Times New Roman"/>
          <w:i/>
        </w:rPr>
        <w:t>Opportunity</w:t>
      </w:r>
      <w:proofErr w:type="spellEnd"/>
      <w:r w:rsidRPr="00BC7E55">
        <w:rPr>
          <w:rFonts w:ascii="Times New Roman" w:hAnsi="Times New Roman" w:cs="Times New Roman"/>
          <w:i/>
        </w:rPr>
        <w:t xml:space="preserve"> </w:t>
      </w:r>
      <w:proofErr w:type="spellStart"/>
      <w:r w:rsidRPr="00BC7E55">
        <w:rPr>
          <w:rFonts w:ascii="Times New Roman" w:hAnsi="Times New Roman" w:cs="Times New Roman"/>
          <w:i/>
        </w:rPr>
        <w:t>Structure</w:t>
      </w:r>
      <w:proofErr w:type="spellEnd"/>
      <w:r w:rsidRPr="00BC7E55">
        <w:rPr>
          <w:rFonts w:ascii="Times New Roman" w:hAnsi="Times New Roman" w:cs="Times New Roman"/>
          <w:i/>
        </w:rPr>
        <w:t>’</w:t>
      </w:r>
      <w:r w:rsidRPr="004E5E77">
        <w:rPr>
          <w:rFonts w:ascii="Times New Roman" w:hAnsi="Times New Roman" w:cs="Times New Roman"/>
        </w:rPr>
        <w:t xml:space="preserve">. Maastricht: </w:t>
      </w:r>
      <w:proofErr w:type="spellStart"/>
      <w:r w:rsidRPr="004E5E77">
        <w:rPr>
          <w:rFonts w:ascii="Times New Roman" w:hAnsi="Times New Roman" w:cs="Times New Roman"/>
        </w:rPr>
        <w:t>Universitai</w:t>
      </w:r>
      <w:r>
        <w:rPr>
          <w:rFonts w:ascii="Times New Roman" w:hAnsi="Times New Roman" w:cs="Times New Roman"/>
        </w:rPr>
        <w:t>re</w:t>
      </w:r>
      <w:proofErr w:type="spellEnd"/>
      <w:r>
        <w:rPr>
          <w:rFonts w:ascii="Times New Roman" w:hAnsi="Times New Roman" w:cs="Times New Roman"/>
        </w:rPr>
        <w:t xml:space="preserve"> </w:t>
      </w:r>
      <w:proofErr w:type="spellStart"/>
      <w:r>
        <w:rPr>
          <w:rFonts w:ascii="Times New Roman" w:hAnsi="Times New Roman" w:cs="Times New Roman"/>
        </w:rPr>
        <w:t>Pers</w:t>
      </w:r>
      <w:proofErr w:type="spellEnd"/>
      <w:r>
        <w:rPr>
          <w:rFonts w:ascii="Times New Roman" w:hAnsi="Times New Roman" w:cs="Times New Roman"/>
        </w:rPr>
        <w:t xml:space="preserve"> Maastricht, 2015,</w:t>
      </w:r>
      <w:r w:rsidRPr="00FE3A29">
        <w:rPr>
          <w:rFonts w:ascii="Times New Roman" w:hAnsi="Times New Roman" w:cs="Times New Roman"/>
        </w:rPr>
        <w:t xml:space="preserve"> s. 174-175.</w:t>
      </w:r>
    </w:p>
  </w:footnote>
  <w:footnote w:id="216">
    <w:p w:rsidR="00076524" w:rsidRPr="009B276A" w:rsidRDefault="00076524" w:rsidP="009B276A">
      <w:pPr>
        <w:pStyle w:val="Textpoznpodarou"/>
        <w:jc w:val="both"/>
        <w:rPr>
          <w:rFonts w:ascii="Times New Roman" w:hAnsi="Times New Roman" w:cs="Times New Roman"/>
        </w:rPr>
      </w:pPr>
      <w:r w:rsidRPr="009B276A">
        <w:rPr>
          <w:rStyle w:val="Znakapoznpodarou"/>
          <w:rFonts w:ascii="Times New Roman" w:hAnsi="Times New Roman" w:cs="Times New Roman"/>
        </w:rPr>
        <w:footnoteRef/>
      </w:r>
      <w:r w:rsidRPr="009B276A">
        <w:rPr>
          <w:rFonts w:ascii="Times New Roman" w:hAnsi="Times New Roman" w:cs="Times New Roman"/>
        </w:rPr>
        <w:t xml:space="preserve"> </w:t>
      </w:r>
      <w:r>
        <w:rPr>
          <w:rFonts w:ascii="Times New Roman" w:hAnsi="Times New Roman" w:cs="Times New Roman"/>
        </w:rPr>
        <w:t xml:space="preserve">Viz </w:t>
      </w:r>
      <w:r w:rsidRPr="009B276A">
        <w:rPr>
          <w:rFonts w:ascii="Times New Roman" w:hAnsi="Times New Roman" w:cs="Times New Roman"/>
        </w:rPr>
        <w:t xml:space="preserve">Návrh nařízení Rady o výkonu práva na kolektivní akci v rámci svobody usazování a volného pohybu služeb. </w:t>
      </w:r>
      <w:proofErr w:type="gramStart"/>
      <w:r w:rsidRPr="009B276A">
        <w:rPr>
          <w:rFonts w:ascii="Times New Roman" w:hAnsi="Times New Roman" w:cs="Times New Roman"/>
        </w:rPr>
        <w:t>COM(</w:t>
      </w:r>
      <w:proofErr w:type="gramEnd"/>
      <w:r w:rsidRPr="009B276A">
        <w:rPr>
          <w:rFonts w:ascii="Times New Roman" w:hAnsi="Times New Roman" w:cs="Times New Roman"/>
        </w:rPr>
        <w:t xml:space="preserve">2012) 130 </w:t>
      </w:r>
      <w:proofErr w:type="spellStart"/>
      <w:r w:rsidRPr="009B276A">
        <w:rPr>
          <w:rFonts w:ascii="Times New Roman" w:hAnsi="Times New Roman" w:cs="Times New Roman"/>
        </w:rPr>
        <w:t>final</w:t>
      </w:r>
      <w:proofErr w:type="spellEnd"/>
      <w:r w:rsidRPr="009B276A">
        <w:rPr>
          <w:rFonts w:ascii="Times New Roman" w:hAnsi="Times New Roman" w:cs="Times New Roman"/>
        </w:rPr>
        <w:t>, 21. března 2012.</w:t>
      </w:r>
    </w:p>
  </w:footnote>
  <w:footnote w:id="217">
    <w:p w:rsidR="00076524" w:rsidRPr="009B276A" w:rsidRDefault="00076524" w:rsidP="009B276A">
      <w:pPr>
        <w:pStyle w:val="Textpoznpodarou"/>
        <w:jc w:val="both"/>
        <w:rPr>
          <w:rFonts w:ascii="Times New Roman" w:hAnsi="Times New Roman" w:cs="Times New Roman"/>
        </w:rPr>
      </w:pPr>
      <w:r w:rsidRPr="009B276A">
        <w:rPr>
          <w:rStyle w:val="Znakapoznpodarou"/>
          <w:rFonts w:ascii="Times New Roman" w:hAnsi="Times New Roman" w:cs="Times New Roman"/>
        </w:rPr>
        <w:footnoteRef/>
      </w:r>
      <w:r w:rsidRPr="009B276A">
        <w:rPr>
          <w:rFonts w:ascii="Times New Roman" w:hAnsi="Times New Roman" w:cs="Times New Roman"/>
        </w:rPr>
        <w:t xml:space="preserve"> Soudní dvůr: Rozsudek ze dne 11. prosince 2007, </w:t>
      </w:r>
      <w:r w:rsidRPr="009B276A">
        <w:rPr>
          <w:rFonts w:ascii="Times New Roman" w:hAnsi="Times New Roman" w:cs="Times New Roman"/>
          <w:i/>
        </w:rPr>
        <w:t xml:space="preserve">International Transport </w:t>
      </w:r>
      <w:proofErr w:type="spellStart"/>
      <w:r w:rsidRPr="009B276A">
        <w:rPr>
          <w:rFonts w:ascii="Times New Roman" w:hAnsi="Times New Roman" w:cs="Times New Roman"/>
          <w:i/>
        </w:rPr>
        <w:t>Workers</w:t>
      </w:r>
      <w:proofErr w:type="spellEnd"/>
      <w:r w:rsidRPr="009B276A">
        <w:rPr>
          <w:rFonts w:ascii="Times New Roman" w:hAnsi="Times New Roman" w:cs="Times New Roman"/>
          <w:i/>
        </w:rPr>
        <w:t xml:space="preserve">’ </w:t>
      </w:r>
      <w:proofErr w:type="spellStart"/>
      <w:r w:rsidRPr="009B276A">
        <w:rPr>
          <w:rFonts w:ascii="Times New Roman" w:hAnsi="Times New Roman" w:cs="Times New Roman"/>
          <w:i/>
        </w:rPr>
        <w:t>Federation</w:t>
      </w:r>
      <w:proofErr w:type="spellEnd"/>
      <w:r w:rsidRPr="009B276A">
        <w:rPr>
          <w:rFonts w:ascii="Times New Roman" w:hAnsi="Times New Roman" w:cs="Times New Roman"/>
          <w:i/>
        </w:rPr>
        <w:t xml:space="preserve"> a </w:t>
      </w:r>
      <w:proofErr w:type="spellStart"/>
      <w:r w:rsidRPr="009B276A">
        <w:rPr>
          <w:rFonts w:ascii="Times New Roman" w:hAnsi="Times New Roman" w:cs="Times New Roman"/>
          <w:i/>
        </w:rPr>
        <w:t>Finnish</w:t>
      </w:r>
      <w:proofErr w:type="spellEnd"/>
      <w:r w:rsidRPr="009B276A">
        <w:rPr>
          <w:rFonts w:ascii="Times New Roman" w:hAnsi="Times New Roman" w:cs="Times New Roman"/>
          <w:i/>
        </w:rPr>
        <w:t xml:space="preserve"> </w:t>
      </w:r>
      <w:proofErr w:type="spellStart"/>
      <w:r w:rsidRPr="009B276A">
        <w:rPr>
          <w:rFonts w:ascii="Times New Roman" w:hAnsi="Times New Roman" w:cs="Times New Roman"/>
          <w:i/>
        </w:rPr>
        <w:t>Seamen’s</w:t>
      </w:r>
      <w:proofErr w:type="spellEnd"/>
      <w:r w:rsidRPr="009B276A">
        <w:rPr>
          <w:rFonts w:ascii="Times New Roman" w:hAnsi="Times New Roman" w:cs="Times New Roman"/>
          <w:i/>
        </w:rPr>
        <w:t xml:space="preserve"> Union </w:t>
      </w:r>
      <w:proofErr w:type="gramStart"/>
      <w:r w:rsidRPr="009B276A">
        <w:rPr>
          <w:rFonts w:ascii="Times New Roman" w:hAnsi="Times New Roman" w:cs="Times New Roman"/>
          <w:i/>
        </w:rPr>
        <w:t>v</w:t>
      </w:r>
      <w:proofErr w:type="gramEnd"/>
      <w:r w:rsidRPr="009B276A">
        <w:rPr>
          <w:rFonts w:ascii="Times New Roman" w:hAnsi="Times New Roman" w:cs="Times New Roman"/>
          <w:i/>
        </w:rPr>
        <w:t xml:space="preserve"> Viking Line ABP a OÜ Viking Line </w:t>
      </w:r>
      <w:proofErr w:type="spellStart"/>
      <w:r w:rsidRPr="009B276A">
        <w:rPr>
          <w:rFonts w:ascii="Times New Roman" w:hAnsi="Times New Roman" w:cs="Times New Roman"/>
          <w:i/>
        </w:rPr>
        <w:t>Eesti</w:t>
      </w:r>
      <w:proofErr w:type="spellEnd"/>
      <w:r w:rsidRPr="009B276A">
        <w:rPr>
          <w:rFonts w:ascii="Times New Roman" w:hAnsi="Times New Roman" w:cs="Times New Roman"/>
        </w:rPr>
        <w:t>,</w:t>
      </w:r>
      <w:r>
        <w:rPr>
          <w:rFonts w:ascii="Times New Roman" w:hAnsi="Times New Roman" w:cs="Times New Roman"/>
        </w:rPr>
        <w:t xml:space="preserve"> C-438/05, Sb. </w:t>
      </w:r>
      <w:proofErr w:type="spellStart"/>
      <w:r>
        <w:rPr>
          <w:rFonts w:ascii="Times New Roman" w:hAnsi="Times New Roman" w:cs="Times New Roman"/>
        </w:rPr>
        <w:t>rozh</w:t>
      </w:r>
      <w:proofErr w:type="spellEnd"/>
      <w:r>
        <w:rPr>
          <w:rFonts w:ascii="Times New Roman" w:hAnsi="Times New Roman" w:cs="Times New Roman"/>
        </w:rPr>
        <w:t>. s. I-10779</w:t>
      </w:r>
      <w:r w:rsidRPr="009B276A">
        <w:rPr>
          <w:rFonts w:ascii="Times New Roman" w:hAnsi="Times New Roman" w:cs="Times New Roman"/>
        </w:rPr>
        <w:t xml:space="preserve">, bod 77. </w:t>
      </w:r>
    </w:p>
  </w:footnote>
  <w:footnote w:id="218">
    <w:p w:rsidR="00076524" w:rsidRDefault="00076524">
      <w:pPr>
        <w:pStyle w:val="Textpoznpodarou"/>
      </w:pPr>
      <w:r>
        <w:rPr>
          <w:rStyle w:val="Znakapoznpodarou"/>
        </w:rPr>
        <w:footnoteRef/>
      </w:r>
      <w:r>
        <w:t xml:space="preserve"> </w:t>
      </w:r>
      <w:r w:rsidRPr="00C23E18">
        <w:rPr>
          <w:rFonts w:ascii="Times New Roman" w:hAnsi="Times New Roman" w:cs="Times New Roman"/>
        </w:rPr>
        <w:t>Čl. 2 návrhu</w:t>
      </w:r>
    </w:p>
  </w:footnote>
  <w:footnote w:id="219">
    <w:p w:rsidR="00076524" w:rsidRPr="00B00B26" w:rsidRDefault="00076524" w:rsidP="009B276A">
      <w:pPr>
        <w:pStyle w:val="Textpoznpodarou"/>
        <w:jc w:val="both"/>
        <w:rPr>
          <w:rFonts w:ascii="Times New Roman" w:hAnsi="Times New Roman" w:cs="Times New Roman"/>
        </w:rPr>
      </w:pPr>
      <w:r w:rsidRPr="009B276A">
        <w:rPr>
          <w:rStyle w:val="Znakapoznpodarou"/>
          <w:rFonts w:ascii="Times New Roman" w:hAnsi="Times New Roman" w:cs="Times New Roman"/>
        </w:rPr>
        <w:footnoteRef/>
      </w:r>
      <w:r w:rsidRPr="009B276A">
        <w:rPr>
          <w:rFonts w:ascii="Times New Roman" w:hAnsi="Times New Roman" w:cs="Times New Roman"/>
        </w:rPr>
        <w:t xml:space="preserve"> </w:t>
      </w:r>
      <w:r>
        <w:rPr>
          <w:rFonts w:ascii="Times New Roman" w:hAnsi="Times New Roman" w:cs="Times New Roman"/>
        </w:rPr>
        <w:t xml:space="preserve">Viz </w:t>
      </w:r>
      <w:r w:rsidRPr="009B276A">
        <w:rPr>
          <w:rFonts w:ascii="Times New Roman" w:hAnsi="Times New Roman" w:cs="Times New Roman"/>
        </w:rPr>
        <w:t xml:space="preserve">GOLDONI, Marco. </w:t>
      </w:r>
      <w:proofErr w:type="spellStart"/>
      <w:r w:rsidRPr="009B276A">
        <w:rPr>
          <w:rFonts w:ascii="Times New Roman" w:hAnsi="Times New Roman" w:cs="Times New Roman"/>
        </w:rPr>
        <w:t>The</w:t>
      </w:r>
      <w:proofErr w:type="spellEnd"/>
      <w:r w:rsidRPr="009B276A">
        <w:rPr>
          <w:rFonts w:ascii="Times New Roman" w:hAnsi="Times New Roman" w:cs="Times New Roman"/>
        </w:rPr>
        <w:t xml:space="preserve"> Early </w:t>
      </w:r>
      <w:proofErr w:type="spellStart"/>
      <w:r w:rsidRPr="009B276A">
        <w:rPr>
          <w:rFonts w:ascii="Times New Roman" w:hAnsi="Times New Roman" w:cs="Times New Roman"/>
        </w:rPr>
        <w:t>Warning</w:t>
      </w:r>
      <w:proofErr w:type="spellEnd"/>
      <w:r w:rsidRPr="009B276A">
        <w:rPr>
          <w:rFonts w:ascii="Times New Roman" w:hAnsi="Times New Roman" w:cs="Times New Roman"/>
        </w:rPr>
        <w:t xml:space="preserve"> </w:t>
      </w:r>
      <w:proofErr w:type="spellStart"/>
      <w:r w:rsidRPr="009B276A">
        <w:rPr>
          <w:rFonts w:ascii="Times New Roman" w:hAnsi="Times New Roman" w:cs="Times New Roman"/>
        </w:rPr>
        <w:t>System</w:t>
      </w:r>
      <w:proofErr w:type="spellEnd"/>
      <w:r w:rsidRPr="009B276A">
        <w:rPr>
          <w:rFonts w:ascii="Times New Roman" w:hAnsi="Times New Roman" w:cs="Times New Roman"/>
        </w:rPr>
        <w:t xml:space="preserve"> and </w:t>
      </w:r>
      <w:proofErr w:type="spellStart"/>
      <w:r w:rsidRPr="009B276A">
        <w:rPr>
          <w:rFonts w:ascii="Times New Roman" w:hAnsi="Times New Roman" w:cs="Times New Roman"/>
        </w:rPr>
        <w:t>the</w:t>
      </w:r>
      <w:proofErr w:type="spellEnd"/>
      <w:r w:rsidRPr="009B276A">
        <w:rPr>
          <w:rFonts w:ascii="Times New Roman" w:hAnsi="Times New Roman" w:cs="Times New Roman"/>
        </w:rPr>
        <w:t xml:space="preserve"> </w:t>
      </w:r>
      <w:proofErr w:type="spellStart"/>
      <w:r w:rsidRPr="009B276A">
        <w:rPr>
          <w:rFonts w:ascii="Times New Roman" w:hAnsi="Times New Roman" w:cs="Times New Roman"/>
        </w:rPr>
        <w:t>Monti</w:t>
      </w:r>
      <w:proofErr w:type="spellEnd"/>
      <w:r w:rsidRPr="009B276A">
        <w:rPr>
          <w:rFonts w:ascii="Times New Roman" w:hAnsi="Times New Roman" w:cs="Times New Roman"/>
        </w:rPr>
        <w:t xml:space="preserve"> II </w:t>
      </w:r>
      <w:proofErr w:type="spellStart"/>
      <w:r w:rsidRPr="009B276A">
        <w:rPr>
          <w:rFonts w:ascii="Times New Roman" w:hAnsi="Times New Roman" w:cs="Times New Roman"/>
        </w:rPr>
        <w:t>Regulation</w:t>
      </w:r>
      <w:proofErr w:type="spellEnd"/>
      <w:r w:rsidRPr="009B276A">
        <w:rPr>
          <w:rFonts w:ascii="Times New Roman" w:hAnsi="Times New Roman" w:cs="Times New Roman"/>
        </w:rPr>
        <w:t xml:space="preserve">: </w:t>
      </w:r>
      <w:proofErr w:type="spellStart"/>
      <w:r w:rsidRPr="009B276A">
        <w:rPr>
          <w:rFonts w:ascii="Times New Roman" w:hAnsi="Times New Roman" w:cs="Times New Roman"/>
        </w:rPr>
        <w:t>The</w:t>
      </w:r>
      <w:proofErr w:type="spellEnd"/>
      <w:r w:rsidRPr="009B276A">
        <w:rPr>
          <w:rFonts w:ascii="Times New Roman" w:hAnsi="Times New Roman" w:cs="Times New Roman"/>
        </w:rPr>
        <w:t xml:space="preserve"> Case </w:t>
      </w:r>
      <w:proofErr w:type="spellStart"/>
      <w:r w:rsidRPr="009B276A">
        <w:rPr>
          <w:rFonts w:ascii="Times New Roman" w:hAnsi="Times New Roman" w:cs="Times New Roman"/>
        </w:rPr>
        <w:t>for</w:t>
      </w:r>
      <w:proofErr w:type="spellEnd"/>
      <w:r w:rsidRPr="009B276A">
        <w:rPr>
          <w:rFonts w:ascii="Times New Roman" w:hAnsi="Times New Roman" w:cs="Times New Roman"/>
        </w:rPr>
        <w:t xml:space="preserve"> a </w:t>
      </w:r>
      <w:proofErr w:type="spellStart"/>
      <w:r w:rsidRPr="009B276A">
        <w:rPr>
          <w:rFonts w:ascii="Times New Roman" w:hAnsi="Times New Roman" w:cs="Times New Roman"/>
        </w:rPr>
        <w:t>Political</w:t>
      </w:r>
      <w:proofErr w:type="spellEnd"/>
      <w:r w:rsidRPr="009B276A">
        <w:rPr>
          <w:rFonts w:ascii="Times New Roman" w:hAnsi="Times New Roman" w:cs="Times New Roman"/>
        </w:rPr>
        <w:t xml:space="preserve"> </w:t>
      </w:r>
      <w:proofErr w:type="spellStart"/>
      <w:r w:rsidRPr="009B276A">
        <w:rPr>
          <w:rFonts w:ascii="Times New Roman" w:hAnsi="Times New Roman" w:cs="Times New Roman"/>
        </w:rPr>
        <w:t>Interpretation</w:t>
      </w:r>
      <w:proofErr w:type="spellEnd"/>
      <w:r w:rsidRPr="009B276A">
        <w:rPr>
          <w:rFonts w:ascii="Times New Roman" w:hAnsi="Times New Roman" w:cs="Times New Roman"/>
        </w:rPr>
        <w:t xml:space="preserve">. </w:t>
      </w:r>
      <w:proofErr w:type="spellStart"/>
      <w:r w:rsidRPr="009B276A">
        <w:rPr>
          <w:rFonts w:ascii="Times New Roman" w:hAnsi="Times New Roman" w:cs="Times New Roman"/>
          <w:i/>
        </w:rPr>
        <w:t>European</w:t>
      </w:r>
      <w:proofErr w:type="spellEnd"/>
      <w:r w:rsidRPr="009B276A">
        <w:rPr>
          <w:rFonts w:ascii="Times New Roman" w:hAnsi="Times New Roman" w:cs="Times New Roman"/>
          <w:i/>
        </w:rPr>
        <w:t xml:space="preserve"> </w:t>
      </w:r>
      <w:proofErr w:type="spellStart"/>
      <w:r w:rsidRPr="009B276A">
        <w:rPr>
          <w:rFonts w:ascii="Times New Roman" w:hAnsi="Times New Roman" w:cs="Times New Roman"/>
          <w:i/>
        </w:rPr>
        <w:t>Constitutional</w:t>
      </w:r>
      <w:proofErr w:type="spellEnd"/>
      <w:r w:rsidRPr="009B276A">
        <w:rPr>
          <w:rFonts w:ascii="Times New Roman" w:hAnsi="Times New Roman" w:cs="Times New Roman"/>
          <w:i/>
        </w:rPr>
        <w:t xml:space="preserve"> </w:t>
      </w:r>
      <w:proofErr w:type="spellStart"/>
      <w:r w:rsidRPr="009B276A">
        <w:rPr>
          <w:rFonts w:ascii="Times New Roman" w:hAnsi="Times New Roman" w:cs="Times New Roman"/>
          <w:i/>
        </w:rPr>
        <w:t>Law</w:t>
      </w:r>
      <w:proofErr w:type="spellEnd"/>
      <w:r w:rsidRPr="009B276A">
        <w:rPr>
          <w:rFonts w:ascii="Times New Roman" w:hAnsi="Times New Roman" w:cs="Times New Roman"/>
          <w:i/>
        </w:rPr>
        <w:t xml:space="preserve"> </w:t>
      </w:r>
      <w:proofErr w:type="spellStart"/>
      <w:r w:rsidRPr="009B276A">
        <w:rPr>
          <w:rFonts w:ascii="Times New Roman" w:hAnsi="Times New Roman" w:cs="Times New Roman"/>
          <w:i/>
        </w:rPr>
        <w:t>Review</w:t>
      </w:r>
      <w:proofErr w:type="spellEnd"/>
      <w:r w:rsidRPr="009B276A">
        <w:rPr>
          <w:rFonts w:ascii="Times New Roman" w:hAnsi="Times New Roman" w:cs="Times New Roman"/>
        </w:rPr>
        <w:t xml:space="preserve">, 2014, vol. 10, </w:t>
      </w:r>
      <w:proofErr w:type="spellStart"/>
      <w:r w:rsidRPr="009B276A">
        <w:rPr>
          <w:rFonts w:ascii="Times New Roman" w:hAnsi="Times New Roman" w:cs="Times New Roman"/>
        </w:rPr>
        <w:t>issue</w:t>
      </w:r>
      <w:proofErr w:type="spellEnd"/>
      <w:r w:rsidRPr="009B276A">
        <w:rPr>
          <w:rFonts w:ascii="Times New Roman" w:hAnsi="Times New Roman" w:cs="Times New Roman"/>
        </w:rPr>
        <w:t xml:space="preserve"> 1, s. 96. Srov. ale argument, že taková úprava by naopak znamenala to, že proporcionální musí být nejen omezení svobod vnitřního trhu, ale i omezení </w:t>
      </w:r>
      <w:r>
        <w:rPr>
          <w:rFonts w:ascii="Times New Roman" w:hAnsi="Times New Roman" w:cs="Times New Roman"/>
        </w:rPr>
        <w:t xml:space="preserve">práva na kolektivní akci. Viz </w:t>
      </w:r>
      <w:r w:rsidRPr="0052675D">
        <w:rPr>
          <w:rFonts w:ascii="Times New Roman" w:hAnsi="Times New Roman" w:cs="Times New Roman"/>
        </w:rPr>
        <w:t xml:space="preserve">VELYVYTE, </w:t>
      </w:r>
      <w:proofErr w:type="spellStart"/>
      <w:r w:rsidRPr="0052675D">
        <w:rPr>
          <w:rFonts w:ascii="Times New Roman" w:hAnsi="Times New Roman" w:cs="Times New Roman"/>
        </w:rPr>
        <w:t>Vilija</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The</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Right</w:t>
      </w:r>
      <w:proofErr w:type="spellEnd"/>
      <w:r w:rsidRPr="0052675D">
        <w:rPr>
          <w:rFonts w:ascii="Times New Roman" w:hAnsi="Times New Roman" w:cs="Times New Roman"/>
        </w:rPr>
        <w:t xml:space="preserve"> to Strike in </w:t>
      </w:r>
      <w:proofErr w:type="spellStart"/>
      <w:r w:rsidRPr="0052675D">
        <w:rPr>
          <w:rFonts w:ascii="Times New Roman" w:hAnsi="Times New Roman" w:cs="Times New Roman"/>
        </w:rPr>
        <w:t>the</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European</w:t>
      </w:r>
      <w:proofErr w:type="spellEnd"/>
      <w:r w:rsidRPr="0052675D">
        <w:rPr>
          <w:rFonts w:ascii="Times New Roman" w:hAnsi="Times New Roman" w:cs="Times New Roman"/>
        </w:rPr>
        <w:t xml:space="preserve"> Union </w:t>
      </w:r>
      <w:proofErr w:type="spellStart"/>
      <w:r w:rsidRPr="0052675D">
        <w:rPr>
          <w:rFonts w:ascii="Times New Roman" w:hAnsi="Times New Roman" w:cs="Times New Roman"/>
        </w:rPr>
        <w:t>after</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Accession</w:t>
      </w:r>
      <w:proofErr w:type="spellEnd"/>
      <w:r w:rsidRPr="0052675D">
        <w:rPr>
          <w:rFonts w:ascii="Times New Roman" w:hAnsi="Times New Roman" w:cs="Times New Roman"/>
        </w:rPr>
        <w:t xml:space="preserve"> to </w:t>
      </w:r>
      <w:proofErr w:type="spellStart"/>
      <w:r w:rsidRPr="0052675D">
        <w:rPr>
          <w:rFonts w:ascii="Times New Roman" w:hAnsi="Times New Roman" w:cs="Times New Roman"/>
        </w:rPr>
        <w:t>the</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European</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Convention</w:t>
      </w:r>
      <w:proofErr w:type="spellEnd"/>
      <w:r w:rsidRPr="0052675D">
        <w:rPr>
          <w:rFonts w:ascii="Times New Roman" w:hAnsi="Times New Roman" w:cs="Times New Roman"/>
        </w:rPr>
        <w:t xml:space="preserve"> on </w:t>
      </w:r>
      <w:proofErr w:type="spellStart"/>
      <w:r w:rsidRPr="0052675D">
        <w:rPr>
          <w:rFonts w:ascii="Times New Roman" w:hAnsi="Times New Roman" w:cs="Times New Roman"/>
        </w:rPr>
        <w:t>Human</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Rights</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Identifying</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Conflict</w:t>
      </w:r>
      <w:proofErr w:type="spellEnd"/>
      <w:r w:rsidRPr="0052675D">
        <w:rPr>
          <w:rFonts w:ascii="Times New Roman" w:hAnsi="Times New Roman" w:cs="Times New Roman"/>
        </w:rPr>
        <w:t xml:space="preserve"> and </w:t>
      </w:r>
      <w:proofErr w:type="spellStart"/>
      <w:r w:rsidRPr="0052675D">
        <w:rPr>
          <w:rFonts w:ascii="Times New Roman" w:hAnsi="Times New Roman" w:cs="Times New Roman"/>
        </w:rPr>
        <w:t>Achieving</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rPr>
        <w:t>Coherence</w:t>
      </w:r>
      <w:proofErr w:type="spellEnd"/>
      <w:r w:rsidRPr="0052675D">
        <w:rPr>
          <w:rFonts w:ascii="Times New Roman" w:hAnsi="Times New Roman" w:cs="Times New Roman"/>
        </w:rPr>
        <w:t xml:space="preserve">. </w:t>
      </w:r>
      <w:proofErr w:type="spellStart"/>
      <w:r w:rsidRPr="0052675D">
        <w:rPr>
          <w:rFonts w:ascii="Times New Roman" w:hAnsi="Times New Roman" w:cs="Times New Roman"/>
          <w:i/>
        </w:rPr>
        <w:t>Human</w:t>
      </w:r>
      <w:proofErr w:type="spellEnd"/>
      <w:r w:rsidRPr="0052675D">
        <w:rPr>
          <w:rFonts w:ascii="Times New Roman" w:hAnsi="Times New Roman" w:cs="Times New Roman"/>
          <w:i/>
        </w:rPr>
        <w:t xml:space="preserve"> </w:t>
      </w:r>
      <w:proofErr w:type="spellStart"/>
      <w:r w:rsidRPr="0052675D">
        <w:rPr>
          <w:rFonts w:ascii="Times New Roman" w:hAnsi="Times New Roman" w:cs="Times New Roman"/>
          <w:i/>
        </w:rPr>
        <w:t>Rights</w:t>
      </w:r>
      <w:proofErr w:type="spellEnd"/>
      <w:r w:rsidRPr="0052675D">
        <w:rPr>
          <w:rFonts w:ascii="Times New Roman" w:hAnsi="Times New Roman" w:cs="Times New Roman"/>
          <w:i/>
        </w:rPr>
        <w:t xml:space="preserve"> </w:t>
      </w:r>
      <w:proofErr w:type="spellStart"/>
      <w:r w:rsidRPr="0052675D">
        <w:rPr>
          <w:rFonts w:ascii="Times New Roman" w:hAnsi="Times New Roman" w:cs="Times New Roman"/>
          <w:i/>
        </w:rPr>
        <w:t>Law</w:t>
      </w:r>
      <w:proofErr w:type="spellEnd"/>
      <w:r w:rsidRPr="0052675D">
        <w:rPr>
          <w:rFonts w:ascii="Times New Roman" w:hAnsi="Times New Roman" w:cs="Times New Roman"/>
          <w:i/>
        </w:rPr>
        <w:t xml:space="preserve"> </w:t>
      </w:r>
      <w:proofErr w:type="spellStart"/>
      <w:r w:rsidRPr="0052675D">
        <w:rPr>
          <w:rFonts w:ascii="Times New Roman" w:hAnsi="Times New Roman" w:cs="Times New Roman"/>
          <w:i/>
        </w:rPr>
        <w:t>Review</w:t>
      </w:r>
      <w:proofErr w:type="spellEnd"/>
      <w:r w:rsidRPr="0052675D">
        <w:rPr>
          <w:rFonts w:ascii="Times New Roman" w:hAnsi="Times New Roman" w:cs="Times New Roman"/>
        </w:rPr>
        <w:t xml:space="preserve">, 2015, vol. 15, </w:t>
      </w:r>
      <w:proofErr w:type="spellStart"/>
      <w:r w:rsidRPr="0052675D">
        <w:rPr>
          <w:rFonts w:ascii="Times New Roman" w:hAnsi="Times New Roman" w:cs="Times New Roman"/>
        </w:rPr>
        <w:t>issue</w:t>
      </w:r>
      <w:proofErr w:type="spellEnd"/>
      <w:r w:rsidRPr="0052675D">
        <w:rPr>
          <w:rFonts w:ascii="Times New Roman" w:hAnsi="Times New Roman" w:cs="Times New Roman"/>
        </w:rPr>
        <w:t xml:space="preserve"> 1, s. 97.</w:t>
      </w:r>
    </w:p>
  </w:footnote>
  <w:footnote w:id="220">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Pr>
          <w:rFonts w:ascii="Times New Roman" w:hAnsi="Times New Roman" w:cs="Times New Roman"/>
        </w:rPr>
        <w:t xml:space="preserve"> </w:t>
      </w:r>
      <w:r w:rsidRPr="00B00B26">
        <w:rPr>
          <w:rFonts w:ascii="Times New Roman" w:hAnsi="Times New Roman" w:cs="Times New Roman"/>
        </w:rPr>
        <w:t>Výroční zpráva za rok 2012 o subs</w:t>
      </w:r>
      <w:r>
        <w:rPr>
          <w:rFonts w:ascii="Times New Roman" w:hAnsi="Times New Roman" w:cs="Times New Roman"/>
        </w:rPr>
        <w:t xml:space="preserve">idiaritě a proporcionalitě. </w:t>
      </w:r>
      <w:proofErr w:type="gramStart"/>
      <w:r>
        <w:rPr>
          <w:rFonts w:ascii="Times New Roman" w:hAnsi="Times New Roman" w:cs="Times New Roman"/>
        </w:rPr>
        <w:t>COM</w:t>
      </w:r>
      <w:r w:rsidRPr="00B00B26">
        <w:rPr>
          <w:rFonts w:ascii="Times New Roman" w:hAnsi="Times New Roman" w:cs="Times New Roman"/>
        </w:rPr>
        <w:t>(</w:t>
      </w:r>
      <w:proofErr w:type="gramEnd"/>
      <w:r w:rsidRPr="00B00B26">
        <w:rPr>
          <w:rFonts w:ascii="Times New Roman" w:hAnsi="Times New Roman" w:cs="Times New Roman"/>
        </w:rPr>
        <w:t xml:space="preserve">2013) 566 </w:t>
      </w:r>
      <w:proofErr w:type="spellStart"/>
      <w:r w:rsidRPr="00B00B26">
        <w:rPr>
          <w:rFonts w:ascii="Times New Roman" w:hAnsi="Times New Roman" w:cs="Times New Roman"/>
        </w:rPr>
        <w:t>final</w:t>
      </w:r>
      <w:proofErr w:type="spellEnd"/>
      <w:r w:rsidRPr="00B00B26">
        <w:rPr>
          <w:rFonts w:ascii="Times New Roman" w:hAnsi="Times New Roman" w:cs="Times New Roman"/>
        </w:rPr>
        <w:t xml:space="preserve">, 30. července 2013. </w:t>
      </w:r>
    </w:p>
  </w:footnote>
  <w:footnote w:id="221">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w:t>
      </w:r>
      <w:r>
        <w:rPr>
          <w:rFonts w:ascii="Times New Roman" w:hAnsi="Times New Roman" w:cs="Times New Roman"/>
        </w:rPr>
        <w:t>Viz čl. 4 návrhu</w:t>
      </w:r>
    </w:p>
  </w:footnote>
  <w:footnote w:id="222">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Pr>
          <w:rFonts w:ascii="Times New Roman" w:hAnsi="Times New Roman" w:cs="Times New Roman"/>
        </w:rPr>
        <w:t xml:space="preserve"> Viz důvodová zpráva návrhu</w:t>
      </w:r>
    </w:p>
  </w:footnote>
  <w:footnote w:id="223">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Viz čl. 352 SFEU</w:t>
      </w:r>
    </w:p>
  </w:footnote>
  <w:footnote w:id="224">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Viz ta</w:t>
      </w:r>
      <w:r>
        <w:rPr>
          <w:rFonts w:ascii="Times New Roman" w:hAnsi="Times New Roman" w:cs="Times New Roman"/>
        </w:rPr>
        <w:t xml:space="preserve">ké IPEX. </w:t>
      </w:r>
      <w:r w:rsidRPr="00F3425A">
        <w:rPr>
          <w:rFonts w:ascii="Times New Roman" w:hAnsi="Times New Roman" w:cs="Times New Roman"/>
          <w:i/>
        </w:rPr>
        <w:t>Dokument COM/2012/0130: Návrh nařízení Rady o výkonu práva na kolektivní akci v rámci svobody usazování a volného pohybu služeb</w:t>
      </w:r>
      <w:r w:rsidRPr="00B00B26">
        <w:rPr>
          <w:rFonts w:ascii="Times New Roman" w:hAnsi="Times New Roman" w:cs="Times New Roman"/>
        </w:rPr>
        <w:t xml:space="preserve"> [online]. IPEX, 28. ledna 2017 [cit. 28. ledna 2017]. Dostupné na &lt;http://www.ipex.eu/IPEXL-WEB/dossier/docu</w:t>
      </w:r>
      <w:r>
        <w:rPr>
          <w:rFonts w:ascii="Times New Roman" w:hAnsi="Times New Roman" w:cs="Times New Roman"/>
        </w:rPr>
        <w:t>ment/COM20120130.do?appLng=CS&gt;. Jde o r</w:t>
      </w:r>
      <w:r w:rsidRPr="00B00B26">
        <w:rPr>
          <w:rFonts w:ascii="Times New Roman" w:hAnsi="Times New Roman" w:cs="Times New Roman"/>
        </w:rPr>
        <w:t>ozcestník</w:t>
      </w:r>
      <w:r>
        <w:rPr>
          <w:rFonts w:ascii="Times New Roman" w:hAnsi="Times New Roman" w:cs="Times New Roman"/>
        </w:rPr>
        <w:t xml:space="preserve"> vedoucí k</w:t>
      </w:r>
      <w:r w:rsidRPr="00B00B26">
        <w:rPr>
          <w:rFonts w:ascii="Times New Roman" w:hAnsi="Times New Roman" w:cs="Times New Roman"/>
        </w:rPr>
        <w:t xml:space="preserve"> </w:t>
      </w:r>
      <w:r>
        <w:rPr>
          <w:rFonts w:ascii="Times New Roman" w:hAnsi="Times New Roman" w:cs="Times New Roman"/>
        </w:rPr>
        <w:t>odůvodněným stanoviskům.</w:t>
      </w:r>
    </w:p>
  </w:footnote>
  <w:footnote w:id="225">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Viz Výroční zpráva za rok 2012 o subs</w:t>
      </w:r>
      <w:r>
        <w:rPr>
          <w:rFonts w:ascii="Times New Roman" w:hAnsi="Times New Roman" w:cs="Times New Roman"/>
        </w:rPr>
        <w:t xml:space="preserve">idiaritě a proporcionalitě. </w:t>
      </w:r>
      <w:proofErr w:type="gramStart"/>
      <w:r>
        <w:rPr>
          <w:rFonts w:ascii="Times New Roman" w:hAnsi="Times New Roman" w:cs="Times New Roman"/>
        </w:rPr>
        <w:t>COM</w:t>
      </w:r>
      <w:r w:rsidRPr="00B00B26">
        <w:rPr>
          <w:rFonts w:ascii="Times New Roman" w:hAnsi="Times New Roman" w:cs="Times New Roman"/>
        </w:rPr>
        <w:t>(</w:t>
      </w:r>
      <w:proofErr w:type="gramEnd"/>
      <w:r w:rsidRPr="00B00B26">
        <w:rPr>
          <w:rFonts w:ascii="Times New Roman" w:hAnsi="Times New Roman" w:cs="Times New Roman"/>
        </w:rPr>
        <w:t xml:space="preserve">2013) 566 </w:t>
      </w:r>
      <w:proofErr w:type="spellStart"/>
      <w:r>
        <w:rPr>
          <w:rFonts w:ascii="Times New Roman" w:hAnsi="Times New Roman" w:cs="Times New Roman"/>
        </w:rPr>
        <w:t>final</w:t>
      </w:r>
      <w:proofErr w:type="spellEnd"/>
      <w:r>
        <w:rPr>
          <w:rFonts w:ascii="Times New Roman" w:hAnsi="Times New Roman" w:cs="Times New Roman"/>
        </w:rPr>
        <w:t>, 30. července 2013.</w:t>
      </w:r>
    </w:p>
  </w:footnote>
  <w:footnote w:id="226">
    <w:p w:rsidR="00076524" w:rsidRPr="00B00B26"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Viz KANIOK: </w:t>
      </w:r>
      <w:r w:rsidRPr="00B00B26">
        <w:rPr>
          <w:rFonts w:ascii="Times New Roman" w:hAnsi="Times New Roman" w:cs="Times New Roman"/>
          <w:i/>
        </w:rPr>
        <w:t>Národní…</w:t>
      </w:r>
      <w:r w:rsidRPr="00B00B26">
        <w:rPr>
          <w:rFonts w:ascii="Times New Roman" w:hAnsi="Times New Roman" w:cs="Times New Roman"/>
        </w:rPr>
        <w:t>, s. 86.</w:t>
      </w:r>
    </w:p>
  </w:footnote>
  <w:footnote w:id="227">
    <w:p w:rsidR="00076524" w:rsidRPr="006675A4" w:rsidRDefault="00076524" w:rsidP="00B00B26">
      <w:pPr>
        <w:pStyle w:val="Textpoznpodarou"/>
        <w:jc w:val="both"/>
        <w:rPr>
          <w:rFonts w:ascii="Times New Roman" w:hAnsi="Times New Roman" w:cs="Times New Roman"/>
        </w:rPr>
      </w:pPr>
      <w:r w:rsidRPr="00B00B26">
        <w:rPr>
          <w:rStyle w:val="Znakapoznpodarou"/>
          <w:rFonts w:ascii="Times New Roman" w:hAnsi="Times New Roman" w:cs="Times New Roman"/>
        </w:rPr>
        <w:footnoteRef/>
      </w:r>
      <w:r w:rsidRPr="00B00B26">
        <w:rPr>
          <w:rFonts w:ascii="Times New Roman" w:hAnsi="Times New Roman" w:cs="Times New Roman"/>
        </w:rPr>
        <w:t xml:space="preserve"> Viz GOLDONI: </w:t>
      </w:r>
      <w:proofErr w:type="spellStart"/>
      <w:r w:rsidRPr="00B00B26">
        <w:rPr>
          <w:rFonts w:ascii="Times New Roman" w:hAnsi="Times New Roman" w:cs="Times New Roman"/>
          <w:i/>
        </w:rPr>
        <w:t>The</w:t>
      </w:r>
      <w:proofErr w:type="spellEnd"/>
      <w:r w:rsidRPr="00B00B26">
        <w:rPr>
          <w:rFonts w:ascii="Times New Roman" w:hAnsi="Times New Roman" w:cs="Times New Roman"/>
          <w:i/>
        </w:rPr>
        <w:t xml:space="preserve"> Early…,</w:t>
      </w:r>
      <w:r w:rsidRPr="00B00B26">
        <w:rPr>
          <w:rFonts w:ascii="Times New Roman" w:hAnsi="Times New Roman" w:cs="Times New Roman"/>
        </w:rPr>
        <w:t xml:space="preserve"> s. 98-100.</w:t>
      </w:r>
    </w:p>
  </w:footnote>
  <w:footnote w:id="228">
    <w:p w:rsidR="00076524" w:rsidRPr="002776F2" w:rsidRDefault="00076524" w:rsidP="000B5736">
      <w:pPr>
        <w:pStyle w:val="Textpoznpodarou"/>
        <w:jc w:val="both"/>
        <w:rPr>
          <w:rFonts w:ascii="Times New Roman" w:hAnsi="Times New Roman" w:cs="Times New Roman"/>
        </w:rPr>
      </w:pPr>
      <w:r w:rsidRPr="006675A4">
        <w:rPr>
          <w:rStyle w:val="Znakapoznpodarou"/>
          <w:rFonts w:ascii="Times New Roman" w:hAnsi="Times New Roman" w:cs="Times New Roman"/>
        </w:rPr>
        <w:footnoteRef/>
      </w:r>
      <w:r w:rsidRPr="006675A4">
        <w:rPr>
          <w:rFonts w:ascii="Times New Roman" w:hAnsi="Times New Roman" w:cs="Times New Roman"/>
        </w:rPr>
        <w:t xml:space="preserve"> My jsme již naproti tomu výše vyjádřili náš příklon k širšímu přístupu parlamentů. Podobně se k věci staví i Goldoni, kdy</w:t>
      </w:r>
      <w:r>
        <w:rPr>
          <w:rFonts w:ascii="Times New Roman" w:hAnsi="Times New Roman" w:cs="Times New Roman"/>
        </w:rPr>
        <w:t>ž upřednostňuje interpretaci systému včasného varování</w:t>
      </w:r>
      <w:r w:rsidRPr="006675A4">
        <w:rPr>
          <w:rFonts w:ascii="Times New Roman" w:hAnsi="Times New Roman" w:cs="Times New Roman"/>
        </w:rPr>
        <w:t xml:space="preserve"> v širším kontextu LS. Viz </w:t>
      </w:r>
      <w:r>
        <w:rPr>
          <w:rFonts w:ascii="Times New Roman" w:hAnsi="Times New Roman" w:cs="Times New Roman"/>
        </w:rPr>
        <w:t xml:space="preserve">GOLDONI: </w:t>
      </w:r>
      <w:proofErr w:type="spellStart"/>
      <w:r w:rsidRPr="0084616B">
        <w:rPr>
          <w:rFonts w:ascii="Times New Roman" w:hAnsi="Times New Roman" w:cs="Times New Roman"/>
          <w:i/>
        </w:rPr>
        <w:t>The</w:t>
      </w:r>
      <w:proofErr w:type="spellEnd"/>
      <w:r w:rsidRPr="0084616B">
        <w:rPr>
          <w:rFonts w:ascii="Times New Roman" w:hAnsi="Times New Roman" w:cs="Times New Roman"/>
          <w:i/>
        </w:rPr>
        <w:t xml:space="preserve"> Early…,</w:t>
      </w:r>
      <w:r>
        <w:rPr>
          <w:rFonts w:ascii="Times New Roman" w:hAnsi="Times New Roman" w:cs="Times New Roman"/>
        </w:rPr>
        <w:t xml:space="preserve"> </w:t>
      </w:r>
      <w:r w:rsidRPr="006675A4">
        <w:rPr>
          <w:rFonts w:ascii="Times New Roman" w:hAnsi="Times New Roman" w:cs="Times New Roman"/>
        </w:rPr>
        <w:t>s. 101.</w:t>
      </w:r>
    </w:p>
  </w:footnote>
  <w:footnote w:id="229">
    <w:p w:rsidR="00076524" w:rsidRPr="002B7306" w:rsidRDefault="00076524" w:rsidP="000859F2">
      <w:pPr>
        <w:pStyle w:val="Textpoznpodarou"/>
        <w:jc w:val="both"/>
        <w:rPr>
          <w:rFonts w:ascii="Times New Roman" w:hAnsi="Times New Roman" w:cs="Times New Roman"/>
        </w:rPr>
      </w:pPr>
      <w:r w:rsidRPr="002B7306">
        <w:rPr>
          <w:rStyle w:val="Znakapoznpodarou"/>
          <w:rFonts w:ascii="Times New Roman" w:hAnsi="Times New Roman" w:cs="Times New Roman"/>
        </w:rPr>
        <w:footnoteRef/>
      </w:r>
      <w:r w:rsidRPr="002B7306">
        <w:rPr>
          <w:rFonts w:ascii="Times New Roman" w:hAnsi="Times New Roman" w:cs="Times New Roman"/>
        </w:rPr>
        <w:t xml:space="preserve"> </w:t>
      </w:r>
      <w:r>
        <w:rPr>
          <w:rFonts w:ascii="Times New Roman" w:hAnsi="Times New Roman" w:cs="Times New Roman"/>
        </w:rPr>
        <w:t xml:space="preserve">Viz </w:t>
      </w:r>
      <w:r w:rsidRPr="00E449DF">
        <w:rPr>
          <w:rFonts w:ascii="Times New Roman" w:hAnsi="Times New Roman" w:cs="Times New Roman"/>
        </w:rPr>
        <w:t>FABBRINI, Federico. GRANAT, Katarzyna. “</w:t>
      </w:r>
      <w:proofErr w:type="spellStart"/>
      <w:r w:rsidRPr="00E449DF">
        <w:rPr>
          <w:rFonts w:ascii="Times New Roman" w:hAnsi="Times New Roman" w:cs="Times New Roman"/>
        </w:rPr>
        <w:t>Yellow</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card</w:t>
      </w:r>
      <w:proofErr w:type="spellEnd"/>
      <w:r w:rsidRPr="00E449DF">
        <w:rPr>
          <w:rFonts w:ascii="Times New Roman" w:hAnsi="Times New Roman" w:cs="Times New Roman"/>
        </w:rPr>
        <w:t xml:space="preserve">, but no </w:t>
      </w:r>
      <w:proofErr w:type="spellStart"/>
      <w:r w:rsidRPr="00E449DF">
        <w:rPr>
          <w:rFonts w:ascii="Times New Roman" w:hAnsi="Times New Roman" w:cs="Times New Roman"/>
        </w:rPr>
        <w:t>foul</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The</w:t>
      </w:r>
      <w:proofErr w:type="spellEnd"/>
      <w:r w:rsidRPr="00E449DF">
        <w:rPr>
          <w:rFonts w:ascii="Times New Roman" w:hAnsi="Times New Roman" w:cs="Times New Roman"/>
        </w:rPr>
        <w:t xml:space="preserve"> role </w:t>
      </w:r>
      <w:proofErr w:type="spellStart"/>
      <w:r w:rsidRPr="00E449DF">
        <w:rPr>
          <w:rFonts w:ascii="Times New Roman" w:hAnsi="Times New Roman" w:cs="Times New Roman"/>
        </w:rPr>
        <w:t>of</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the</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national</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parliaments</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under</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the</w:t>
      </w:r>
      <w:proofErr w:type="spellEnd"/>
      <w:r w:rsidRPr="00E449DF">
        <w:rPr>
          <w:rFonts w:ascii="Times New Roman" w:hAnsi="Times New Roman" w:cs="Times New Roman"/>
        </w:rPr>
        <w:t xml:space="preserve"> subsidiarity </w:t>
      </w:r>
      <w:proofErr w:type="spellStart"/>
      <w:r w:rsidRPr="00E449DF">
        <w:rPr>
          <w:rFonts w:ascii="Times New Roman" w:hAnsi="Times New Roman" w:cs="Times New Roman"/>
        </w:rPr>
        <w:t>protocol</w:t>
      </w:r>
      <w:proofErr w:type="spellEnd"/>
      <w:r w:rsidRPr="00E449DF">
        <w:rPr>
          <w:rFonts w:ascii="Times New Roman" w:hAnsi="Times New Roman" w:cs="Times New Roman"/>
        </w:rPr>
        <w:t xml:space="preserve"> and </w:t>
      </w:r>
      <w:proofErr w:type="spellStart"/>
      <w:r w:rsidRPr="00E449DF">
        <w:rPr>
          <w:rFonts w:ascii="Times New Roman" w:hAnsi="Times New Roman" w:cs="Times New Roman"/>
        </w:rPr>
        <w:t>the</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Commission</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proposal</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for</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an</w:t>
      </w:r>
      <w:proofErr w:type="spellEnd"/>
      <w:r w:rsidRPr="00E449DF">
        <w:rPr>
          <w:rFonts w:ascii="Times New Roman" w:hAnsi="Times New Roman" w:cs="Times New Roman"/>
        </w:rPr>
        <w:t xml:space="preserve"> EU </w:t>
      </w:r>
      <w:proofErr w:type="spellStart"/>
      <w:r w:rsidRPr="00E449DF">
        <w:rPr>
          <w:rFonts w:ascii="Times New Roman" w:hAnsi="Times New Roman" w:cs="Times New Roman"/>
        </w:rPr>
        <w:t>regulation</w:t>
      </w:r>
      <w:proofErr w:type="spellEnd"/>
      <w:r w:rsidRPr="00E449DF">
        <w:rPr>
          <w:rFonts w:ascii="Times New Roman" w:hAnsi="Times New Roman" w:cs="Times New Roman"/>
        </w:rPr>
        <w:t xml:space="preserve"> on </w:t>
      </w:r>
      <w:proofErr w:type="spellStart"/>
      <w:r w:rsidRPr="00E449DF">
        <w:rPr>
          <w:rFonts w:ascii="Times New Roman" w:hAnsi="Times New Roman" w:cs="Times New Roman"/>
        </w:rPr>
        <w:t>the</w:t>
      </w:r>
      <w:proofErr w:type="spellEnd"/>
      <w:r w:rsidRPr="00E449DF">
        <w:rPr>
          <w:rFonts w:ascii="Times New Roman" w:hAnsi="Times New Roman" w:cs="Times New Roman"/>
        </w:rPr>
        <w:t xml:space="preserve"> </w:t>
      </w:r>
      <w:proofErr w:type="spellStart"/>
      <w:r w:rsidRPr="00E449DF">
        <w:rPr>
          <w:rFonts w:ascii="Times New Roman" w:hAnsi="Times New Roman" w:cs="Times New Roman"/>
        </w:rPr>
        <w:t>right</w:t>
      </w:r>
      <w:proofErr w:type="spellEnd"/>
      <w:r w:rsidRPr="00E449DF">
        <w:rPr>
          <w:rFonts w:ascii="Times New Roman" w:hAnsi="Times New Roman" w:cs="Times New Roman"/>
        </w:rPr>
        <w:t xml:space="preserve"> to strike. </w:t>
      </w:r>
      <w:proofErr w:type="spellStart"/>
      <w:r w:rsidRPr="00E449DF">
        <w:rPr>
          <w:rFonts w:ascii="Times New Roman" w:hAnsi="Times New Roman" w:cs="Times New Roman"/>
          <w:i/>
        </w:rPr>
        <w:t>Common</w:t>
      </w:r>
      <w:proofErr w:type="spellEnd"/>
      <w:r w:rsidRPr="00E449DF">
        <w:rPr>
          <w:rFonts w:ascii="Times New Roman" w:hAnsi="Times New Roman" w:cs="Times New Roman"/>
          <w:i/>
        </w:rPr>
        <w:t xml:space="preserve"> Market </w:t>
      </w:r>
      <w:proofErr w:type="spellStart"/>
      <w:r w:rsidRPr="00E449DF">
        <w:rPr>
          <w:rFonts w:ascii="Times New Roman" w:hAnsi="Times New Roman" w:cs="Times New Roman"/>
          <w:i/>
        </w:rPr>
        <w:t>Law</w:t>
      </w:r>
      <w:proofErr w:type="spellEnd"/>
      <w:r w:rsidRPr="00E449DF">
        <w:rPr>
          <w:rFonts w:ascii="Times New Roman" w:hAnsi="Times New Roman" w:cs="Times New Roman"/>
          <w:i/>
        </w:rPr>
        <w:t xml:space="preserve"> </w:t>
      </w:r>
      <w:proofErr w:type="spellStart"/>
      <w:r w:rsidRPr="00E449DF">
        <w:rPr>
          <w:rFonts w:ascii="Times New Roman" w:hAnsi="Times New Roman" w:cs="Times New Roman"/>
          <w:i/>
        </w:rPr>
        <w:t>Review</w:t>
      </w:r>
      <w:proofErr w:type="spellEnd"/>
      <w:r w:rsidRPr="00E449DF">
        <w:rPr>
          <w:rFonts w:ascii="Times New Roman" w:hAnsi="Times New Roman" w:cs="Times New Roman"/>
        </w:rPr>
        <w:t>,</w:t>
      </w:r>
      <w:r>
        <w:rPr>
          <w:rFonts w:ascii="Times New Roman" w:hAnsi="Times New Roman" w:cs="Times New Roman"/>
        </w:rPr>
        <w:t xml:space="preserve"> 2013, vol. 50, </w:t>
      </w:r>
      <w:proofErr w:type="spellStart"/>
      <w:r>
        <w:rPr>
          <w:rFonts w:ascii="Times New Roman" w:hAnsi="Times New Roman" w:cs="Times New Roman"/>
        </w:rPr>
        <w:t>issue</w:t>
      </w:r>
      <w:proofErr w:type="spellEnd"/>
      <w:r>
        <w:rPr>
          <w:rFonts w:ascii="Times New Roman" w:hAnsi="Times New Roman" w:cs="Times New Roman"/>
        </w:rPr>
        <w:t xml:space="preserve"> 1, s. 115-</w:t>
      </w:r>
      <w:r w:rsidRPr="00E449DF">
        <w:rPr>
          <w:rFonts w:ascii="Times New Roman" w:hAnsi="Times New Roman" w:cs="Times New Roman"/>
        </w:rPr>
        <w:t>143.</w:t>
      </w:r>
    </w:p>
  </w:footnote>
  <w:footnote w:id="230">
    <w:p w:rsidR="00076524" w:rsidRPr="002B7306" w:rsidRDefault="00076524" w:rsidP="000859F2">
      <w:pPr>
        <w:pStyle w:val="Textpoznpodarou"/>
        <w:jc w:val="both"/>
        <w:rPr>
          <w:rFonts w:ascii="Times New Roman" w:hAnsi="Times New Roman" w:cs="Times New Roman"/>
        </w:rPr>
      </w:pPr>
      <w:r w:rsidRPr="002B7306">
        <w:rPr>
          <w:rStyle w:val="Znakapoznpodarou"/>
          <w:rFonts w:ascii="Times New Roman" w:hAnsi="Times New Roman" w:cs="Times New Roman"/>
        </w:rPr>
        <w:footnoteRef/>
      </w:r>
      <w:r>
        <w:rPr>
          <w:rFonts w:ascii="Times New Roman" w:hAnsi="Times New Roman" w:cs="Times New Roman"/>
        </w:rPr>
        <w:t xml:space="preserve"> </w:t>
      </w:r>
      <w:r w:rsidRPr="002B7306">
        <w:rPr>
          <w:rFonts w:ascii="Times New Roman" w:hAnsi="Times New Roman" w:cs="Times New Roman"/>
        </w:rPr>
        <w:t>Výroční zpráva za rok 2012 o subs</w:t>
      </w:r>
      <w:r>
        <w:rPr>
          <w:rFonts w:ascii="Times New Roman" w:hAnsi="Times New Roman" w:cs="Times New Roman"/>
        </w:rPr>
        <w:t xml:space="preserve">idiaritě a proporcionalitě. </w:t>
      </w:r>
      <w:proofErr w:type="gramStart"/>
      <w:r>
        <w:rPr>
          <w:rFonts w:ascii="Times New Roman" w:hAnsi="Times New Roman" w:cs="Times New Roman"/>
        </w:rPr>
        <w:t>COM</w:t>
      </w:r>
      <w:r w:rsidRPr="002B7306">
        <w:rPr>
          <w:rFonts w:ascii="Times New Roman" w:hAnsi="Times New Roman" w:cs="Times New Roman"/>
        </w:rPr>
        <w:t>(</w:t>
      </w:r>
      <w:proofErr w:type="gramEnd"/>
      <w:r w:rsidRPr="002B7306">
        <w:rPr>
          <w:rFonts w:ascii="Times New Roman" w:hAnsi="Times New Roman" w:cs="Times New Roman"/>
        </w:rPr>
        <w:t xml:space="preserve">2013) 566 </w:t>
      </w:r>
      <w:proofErr w:type="spellStart"/>
      <w:r>
        <w:rPr>
          <w:rFonts w:ascii="Times New Roman" w:hAnsi="Times New Roman" w:cs="Times New Roman"/>
        </w:rPr>
        <w:t>final</w:t>
      </w:r>
      <w:proofErr w:type="spellEnd"/>
      <w:r>
        <w:rPr>
          <w:rFonts w:ascii="Times New Roman" w:hAnsi="Times New Roman" w:cs="Times New Roman"/>
        </w:rPr>
        <w:t>, 30. července 2013.</w:t>
      </w:r>
    </w:p>
  </w:footnote>
  <w:footnote w:id="231">
    <w:p w:rsidR="00076524" w:rsidRPr="002B7306" w:rsidRDefault="00076524" w:rsidP="000859F2">
      <w:pPr>
        <w:pStyle w:val="Textpoznpodarou"/>
        <w:jc w:val="both"/>
        <w:rPr>
          <w:rFonts w:ascii="Times New Roman" w:hAnsi="Times New Roman" w:cs="Times New Roman"/>
        </w:rPr>
      </w:pPr>
      <w:r w:rsidRPr="002B7306">
        <w:rPr>
          <w:rStyle w:val="Znakapoznpodarou"/>
          <w:rFonts w:ascii="Times New Roman" w:hAnsi="Times New Roman" w:cs="Times New Roman"/>
        </w:rPr>
        <w:footnoteRef/>
      </w:r>
      <w:r w:rsidRPr="002B7306">
        <w:rPr>
          <w:rFonts w:ascii="Times New Roman" w:hAnsi="Times New Roman" w:cs="Times New Roman"/>
        </w:rPr>
        <w:t xml:space="preserve"> 234. usnesení výboru pro evropské záležitosti z 32. schůze konané dne 11. července 2012</w:t>
      </w:r>
    </w:p>
  </w:footnote>
  <w:footnote w:id="232">
    <w:p w:rsidR="00076524" w:rsidRPr="002B7306" w:rsidRDefault="00076524" w:rsidP="000859F2">
      <w:pPr>
        <w:pStyle w:val="Textpoznpodarou"/>
        <w:jc w:val="both"/>
        <w:rPr>
          <w:rFonts w:ascii="Times New Roman" w:hAnsi="Times New Roman" w:cs="Times New Roman"/>
        </w:rPr>
      </w:pPr>
      <w:r w:rsidRPr="002B7306">
        <w:rPr>
          <w:rStyle w:val="Znakapoznpodarou"/>
          <w:rFonts w:ascii="Times New Roman" w:hAnsi="Times New Roman" w:cs="Times New Roman"/>
        </w:rPr>
        <w:footnoteRef/>
      </w:r>
      <w:r w:rsidRPr="002B7306">
        <w:rPr>
          <w:rFonts w:ascii="Times New Roman" w:hAnsi="Times New Roman" w:cs="Times New Roman"/>
        </w:rPr>
        <w:t xml:space="preserve"> Tamtéž.</w:t>
      </w:r>
    </w:p>
  </w:footnote>
  <w:footnote w:id="233">
    <w:p w:rsidR="00076524" w:rsidRPr="002B7306" w:rsidRDefault="00076524" w:rsidP="000859F2">
      <w:pPr>
        <w:pStyle w:val="Textpoznpodarou"/>
        <w:jc w:val="both"/>
        <w:rPr>
          <w:rFonts w:ascii="Times New Roman" w:hAnsi="Times New Roman" w:cs="Times New Roman"/>
          <w:i/>
        </w:rPr>
      </w:pPr>
      <w:r w:rsidRPr="002B7306">
        <w:rPr>
          <w:rStyle w:val="Znakapoznpodarou"/>
          <w:rFonts w:ascii="Times New Roman" w:hAnsi="Times New Roman" w:cs="Times New Roman"/>
        </w:rPr>
        <w:footnoteRef/>
      </w:r>
      <w:r w:rsidRPr="002B7306">
        <w:rPr>
          <w:rFonts w:ascii="Times New Roman" w:hAnsi="Times New Roman" w:cs="Times New Roman"/>
        </w:rPr>
        <w:t xml:space="preserve"> Viz také POHL, Michal. Sněmovní praxe výkonu kontroly dodržování zásady subsidiarity v sekundárním právu EU. </w:t>
      </w:r>
      <w:r w:rsidRPr="00440DBB">
        <w:rPr>
          <w:rFonts w:ascii="Times New Roman" w:hAnsi="Times New Roman" w:cs="Times New Roman"/>
          <w:i/>
        </w:rPr>
        <w:t xml:space="preserve">Acta </w:t>
      </w:r>
      <w:proofErr w:type="spellStart"/>
      <w:r w:rsidRPr="00440DBB">
        <w:rPr>
          <w:rFonts w:ascii="Times New Roman" w:hAnsi="Times New Roman" w:cs="Times New Roman"/>
          <w:i/>
        </w:rPr>
        <w:t>Universitatis</w:t>
      </w:r>
      <w:proofErr w:type="spellEnd"/>
      <w:r w:rsidRPr="00440DBB">
        <w:rPr>
          <w:rFonts w:ascii="Times New Roman" w:hAnsi="Times New Roman" w:cs="Times New Roman"/>
          <w:i/>
        </w:rPr>
        <w:t xml:space="preserve"> </w:t>
      </w:r>
      <w:proofErr w:type="spellStart"/>
      <w:r w:rsidRPr="00440DBB">
        <w:rPr>
          <w:rFonts w:ascii="Times New Roman" w:hAnsi="Times New Roman" w:cs="Times New Roman"/>
          <w:i/>
        </w:rPr>
        <w:t>Carolinae</w:t>
      </w:r>
      <w:proofErr w:type="spellEnd"/>
      <w:r w:rsidRPr="00440DBB">
        <w:rPr>
          <w:rFonts w:ascii="Times New Roman" w:hAnsi="Times New Roman" w:cs="Times New Roman"/>
          <w:i/>
        </w:rPr>
        <w:t xml:space="preserve"> </w:t>
      </w:r>
      <w:proofErr w:type="spellStart"/>
      <w:r w:rsidRPr="00440DBB">
        <w:rPr>
          <w:rFonts w:ascii="Times New Roman" w:hAnsi="Times New Roman" w:cs="Times New Roman"/>
          <w:i/>
        </w:rPr>
        <w:t>Iuridica</w:t>
      </w:r>
      <w:proofErr w:type="spellEnd"/>
      <w:r w:rsidRPr="002B7306">
        <w:rPr>
          <w:rFonts w:ascii="Times New Roman" w:hAnsi="Times New Roman" w:cs="Times New Roman"/>
        </w:rPr>
        <w:t>, 2013, č. 4, s.</w:t>
      </w:r>
      <w:r>
        <w:rPr>
          <w:rFonts w:ascii="Times New Roman" w:hAnsi="Times New Roman" w:cs="Times New Roman"/>
        </w:rPr>
        <w:t xml:space="preserve"> 149-152. Pohl mj. konstatuje, „</w:t>
      </w:r>
      <w:r w:rsidRPr="002B7306">
        <w:rPr>
          <w:rFonts w:ascii="Times New Roman" w:hAnsi="Times New Roman" w:cs="Times New Roman"/>
          <w:i/>
        </w:rPr>
        <w:t>že Sněmovna, resp. výbor pro evropské záležitosti zvolil při kontrole subsidiarity její širší vymezení."</w:t>
      </w:r>
    </w:p>
  </w:footnote>
  <w:footnote w:id="234">
    <w:p w:rsidR="00076524" w:rsidRPr="002B7306" w:rsidRDefault="00076524" w:rsidP="002B7306">
      <w:pPr>
        <w:pStyle w:val="Textpoznpodarou"/>
        <w:rPr>
          <w:rFonts w:ascii="Times New Roman" w:hAnsi="Times New Roman" w:cs="Times New Roman"/>
        </w:rPr>
      </w:pPr>
      <w:r w:rsidRPr="002B7306">
        <w:rPr>
          <w:rStyle w:val="Znakapoznpodarou"/>
          <w:rFonts w:ascii="Times New Roman" w:hAnsi="Times New Roman" w:cs="Times New Roman"/>
        </w:rPr>
        <w:footnoteRef/>
      </w:r>
      <w:r w:rsidRPr="002B7306">
        <w:rPr>
          <w:rFonts w:ascii="Times New Roman" w:hAnsi="Times New Roman" w:cs="Times New Roman"/>
        </w:rPr>
        <w:t xml:space="preserve"> 669. usnesení Senátu ze 23. schůze, konané dne 14. června 2012</w:t>
      </w:r>
    </w:p>
  </w:footnote>
  <w:footnote w:id="235">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w:t>
      </w:r>
      <w:r>
        <w:rPr>
          <w:rFonts w:ascii="Times New Roman" w:hAnsi="Times New Roman" w:cs="Times New Roman"/>
        </w:rPr>
        <w:t xml:space="preserve">Viz </w:t>
      </w:r>
      <w:r w:rsidRPr="00D820E1">
        <w:rPr>
          <w:rFonts w:ascii="Times New Roman" w:hAnsi="Times New Roman" w:cs="Times New Roman"/>
        </w:rPr>
        <w:t>Návrh nařízení Rady o zřízení Úřadu evropské</w:t>
      </w:r>
      <w:r>
        <w:rPr>
          <w:rFonts w:ascii="Times New Roman" w:hAnsi="Times New Roman" w:cs="Times New Roman"/>
        </w:rPr>
        <w:t xml:space="preserve">ho veřejného žalobce. </w:t>
      </w:r>
      <w:proofErr w:type="gramStart"/>
      <w:r>
        <w:rPr>
          <w:rFonts w:ascii="Times New Roman" w:hAnsi="Times New Roman" w:cs="Times New Roman"/>
        </w:rPr>
        <w:t>COM</w:t>
      </w:r>
      <w:r w:rsidRPr="00D820E1">
        <w:rPr>
          <w:rFonts w:ascii="Times New Roman" w:hAnsi="Times New Roman" w:cs="Times New Roman"/>
        </w:rPr>
        <w:t>(</w:t>
      </w:r>
      <w:proofErr w:type="gramEnd"/>
      <w:r w:rsidRPr="00D820E1">
        <w:rPr>
          <w:rFonts w:ascii="Times New Roman" w:hAnsi="Times New Roman" w:cs="Times New Roman"/>
        </w:rPr>
        <w:t xml:space="preserve">2013) 534 </w:t>
      </w:r>
      <w:proofErr w:type="spellStart"/>
      <w:r w:rsidRPr="00D820E1">
        <w:rPr>
          <w:rFonts w:ascii="Times New Roman" w:hAnsi="Times New Roman" w:cs="Times New Roman"/>
        </w:rPr>
        <w:t>final</w:t>
      </w:r>
      <w:proofErr w:type="spellEnd"/>
      <w:r w:rsidRPr="00D820E1">
        <w:rPr>
          <w:rFonts w:ascii="Times New Roman" w:hAnsi="Times New Roman" w:cs="Times New Roman"/>
        </w:rPr>
        <w:t>, 17. července 2013.</w:t>
      </w:r>
    </w:p>
  </w:footnote>
  <w:footnote w:id="236">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Pr>
          <w:rFonts w:ascii="Times New Roman" w:hAnsi="Times New Roman" w:cs="Times New Roman"/>
        </w:rPr>
        <w:t xml:space="preserve"> Viz čl. 16 návrhu</w:t>
      </w:r>
    </w:p>
  </w:footnote>
  <w:footnote w:id="237">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Viz čl. 27 n</w:t>
      </w:r>
      <w:r>
        <w:rPr>
          <w:rFonts w:ascii="Times New Roman" w:hAnsi="Times New Roman" w:cs="Times New Roman"/>
        </w:rPr>
        <w:t>ávrhu</w:t>
      </w:r>
    </w:p>
  </w:footnote>
  <w:footnote w:id="238">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Viz čl. 12 návrhu. K rozboru hlavních bodů návrhu viz ZBÍRAL, Robert. Analýza návrhu nařízení zakládajícího Úřad evropského veřejného žalobce a perspektivy jeho přijetí: zlom v europeizaci trestního práva? </w:t>
      </w:r>
      <w:r w:rsidRPr="00D820E1">
        <w:rPr>
          <w:rFonts w:ascii="Times New Roman" w:hAnsi="Times New Roman" w:cs="Times New Roman"/>
          <w:i/>
        </w:rPr>
        <w:t>Státní zastupitelství</w:t>
      </w:r>
      <w:r w:rsidRPr="00D820E1">
        <w:rPr>
          <w:rFonts w:ascii="Times New Roman" w:hAnsi="Times New Roman" w:cs="Times New Roman"/>
        </w:rPr>
        <w:t>, 2013, roč. 11, č. 6, s. 30-38.</w:t>
      </w:r>
    </w:p>
  </w:footnote>
  <w:footnote w:id="239">
    <w:p w:rsidR="00076524" w:rsidRDefault="00076524">
      <w:pPr>
        <w:pStyle w:val="Textpoznpodarou"/>
      </w:pPr>
      <w:r>
        <w:rPr>
          <w:rStyle w:val="Znakapoznpodarou"/>
        </w:rPr>
        <w:footnoteRef/>
      </w:r>
      <w:r>
        <w:t xml:space="preserve"> </w:t>
      </w:r>
      <w:r w:rsidRPr="00716876">
        <w:rPr>
          <w:rFonts w:ascii="Times New Roman" w:hAnsi="Times New Roman" w:cs="Times New Roman"/>
        </w:rPr>
        <w:t>Důvodová zpráva návrhu</w:t>
      </w:r>
    </w:p>
  </w:footnote>
  <w:footnote w:id="240">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ZBÍRAL: </w:t>
      </w:r>
      <w:r w:rsidRPr="00D820E1">
        <w:rPr>
          <w:rFonts w:ascii="Times New Roman" w:hAnsi="Times New Roman" w:cs="Times New Roman"/>
          <w:i/>
        </w:rPr>
        <w:t>Analýza…</w:t>
      </w:r>
      <w:r>
        <w:rPr>
          <w:rFonts w:ascii="Times New Roman" w:hAnsi="Times New Roman" w:cs="Times New Roman"/>
        </w:rPr>
        <w:t>, s. 32.</w:t>
      </w:r>
      <w:r w:rsidRPr="00D820E1">
        <w:rPr>
          <w:rFonts w:ascii="Times New Roman" w:hAnsi="Times New Roman" w:cs="Times New Roman"/>
        </w:rPr>
        <w:t xml:space="preserve"> Zároveň </w:t>
      </w:r>
      <w:proofErr w:type="spellStart"/>
      <w:r w:rsidRPr="00D820E1">
        <w:rPr>
          <w:rFonts w:ascii="Times New Roman" w:hAnsi="Times New Roman" w:cs="Times New Roman"/>
        </w:rPr>
        <w:t>Zbíral</w:t>
      </w:r>
      <w:proofErr w:type="spellEnd"/>
      <w:r w:rsidRPr="00D820E1">
        <w:rPr>
          <w:rFonts w:ascii="Times New Roman" w:hAnsi="Times New Roman" w:cs="Times New Roman"/>
        </w:rPr>
        <w:t xml:space="preserve"> hodnotí argumenty Komise jako lehce napadnutelné, když Komise vycházela z dat založených na odhadech nebo je neuvedla do souvislostí.</w:t>
      </w:r>
    </w:p>
  </w:footnote>
  <w:footnote w:id="241">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Pro přijetí návrhu je </w:t>
      </w:r>
      <w:r>
        <w:rPr>
          <w:rFonts w:ascii="Times New Roman" w:hAnsi="Times New Roman" w:cs="Times New Roman"/>
        </w:rPr>
        <w:t xml:space="preserve">primárně </w:t>
      </w:r>
      <w:r w:rsidRPr="00D820E1">
        <w:rPr>
          <w:rFonts w:ascii="Times New Roman" w:hAnsi="Times New Roman" w:cs="Times New Roman"/>
        </w:rPr>
        <w:t>vyžadována jednomyslnost v Radě.</w:t>
      </w:r>
    </w:p>
  </w:footnote>
  <w:footnote w:id="242">
    <w:p w:rsidR="00076524" w:rsidRPr="00D820E1" w:rsidRDefault="00076524" w:rsidP="00DE5BA1">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Zde se Komise opřela o předchozí benevolentní judikaturu SD</w:t>
      </w:r>
      <w:r>
        <w:rPr>
          <w:rFonts w:ascii="Times New Roman" w:hAnsi="Times New Roman" w:cs="Times New Roman"/>
        </w:rPr>
        <w:t>EU</w:t>
      </w:r>
      <w:r w:rsidRPr="00D820E1">
        <w:rPr>
          <w:rFonts w:ascii="Times New Roman" w:hAnsi="Times New Roman" w:cs="Times New Roman"/>
        </w:rPr>
        <w:t xml:space="preserve">. Viz </w:t>
      </w:r>
      <w:r w:rsidRPr="00DE5BA1">
        <w:rPr>
          <w:rFonts w:ascii="Times New Roman" w:hAnsi="Times New Roman" w:cs="Times New Roman"/>
        </w:rPr>
        <w:t>Sdělení Komise Evropskému parlamentu, Radě a vnitrostátním parlamentům o přezkumu návrhu nařízení Rady o zřízení Úřadu evrop</w:t>
      </w:r>
      <w:r>
        <w:rPr>
          <w:rFonts w:ascii="Times New Roman" w:hAnsi="Times New Roman" w:cs="Times New Roman"/>
        </w:rPr>
        <w:t xml:space="preserve">ského veřejného žalobce s </w:t>
      </w:r>
      <w:r w:rsidRPr="00DE5BA1">
        <w:rPr>
          <w:rFonts w:ascii="Times New Roman" w:hAnsi="Times New Roman" w:cs="Times New Roman"/>
        </w:rPr>
        <w:t>ohledem na zásadu subsidiarity v souladu s Protokolem č. 2</w:t>
      </w:r>
      <w:r>
        <w:rPr>
          <w:rFonts w:ascii="Times New Roman" w:hAnsi="Times New Roman" w:cs="Times New Roman"/>
        </w:rPr>
        <w:t xml:space="preserve">. </w:t>
      </w:r>
      <w:proofErr w:type="gramStart"/>
      <w:r>
        <w:rPr>
          <w:rFonts w:ascii="Times New Roman" w:hAnsi="Times New Roman" w:cs="Times New Roman"/>
        </w:rPr>
        <w:t>COM</w:t>
      </w:r>
      <w:r w:rsidRPr="00D820E1">
        <w:rPr>
          <w:rFonts w:ascii="Times New Roman" w:hAnsi="Times New Roman" w:cs="Times New Roman"/>
        </w:rPr>
        <w:t>(</w:t>
      </w:r>
      <w:proofErr w:type="gramEnd"/>
      <w:r w:rsidRPr="00D820E1">
        <w:rPr>
          <w:rFonts w:ascii="Times New Roman" w:hAnsi="Times New Roman" w:cs="Times New Roman"/>
        </w:rPr>
        <w:t xml:space="preserve">2013) 851 </w:t>
      </w:r>
      <w:proofErr w:type="spellStart"/>
      <w:r w:rsidRPr="00D820E1">
        <w:rPr>
          <w:rFonts w:ascii="Times New Roman" w:hAnsi="Times New Roman" w:cs="Times New Roman"/>
        </w:rPr>
        <w:t>final</w:t>
      </w:r>
      <w:proofErr w:type="spellEnd"/>
      <w:r w:rsidRPr="00D820E1">
        <w:rPr>
          <w:rFonts w:ascii="Times New Roman" w:hAnsi="Times New Roman" w:cs="Times New Roman"/>
        </w:rPr>
        <w:t>, 27. listopadu 2013.</w:t>
      </w:r>
    </w:p>
  </w:footnote>
  <w:footnote w:id="243">
    <w:p w:rsidR="00076524" w:rsidRPr="00D820E1" w:rsidRDefault="00076524" w:rsidP="00155D2D">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Viz WIECZOREK, Irene. </w:t>
      </w:r>
      <w:proofErr w:type="spellStart"/>
      <w:r w:rsidRPr="00D820E1">
        <w:rPr>
          <w:rFonts w:ascii="Times New Roman" w:hAnsi="Times New Roman" w:cs="Times New Roman"/>
        </w:rPr>
        <w:t>The</w:t>
      </w:r>
      <w:proofErr w:type="spellEnd"/>
      <w:r w:rsidRPr="00D820E1">
        <w:rPr>
          <w:rFonts w:ascii="Times New Roman" w:hAnsi="Times New Roman" w:cs="Times New Roman"/>
        </w:rPr>
        <w:t xml:space="preserve"> EPPO Draft </w:t>
      </w:r>
      <w:proofErr w:type="spellStart"/>
      <w:r w:rsidRPr="00D820E1">
        <w:rPr>
          <w:rFonts w:ascii="Times New Roman" w:hAnsi="Times New Roman" w:cs="Times New Roman"/>
        </w:rPr>
        <w:t>Regulation</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Passes</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the</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First</w:t>
      </w:r>
      <w:proofErr w:type="spellEnd"/>
      <w:r w:rsidRPr="00D820E1">
        <w:rPr>
          <w:rFonts w:ascii="Times New Roman" w:hAnsi="Times New Roman" w:cs="Times New Roman"/>
        </w:rPr>
        <w:t xml:space="preserve"> Subsidiarity Test: An </w:t>
      </w:r>
      <w:proofErr w:type="spellStart"/>
      <w:r w:rsidRPr="00D820E1">
        <w:rPr>
          <w:rFonts w:ascii="Times New Roman" w:hAnsi="Times New Roman" w:cs="Times New Roman"/>
        </w:rPr>
        <w:t>Analysis</w:t>
      </w:r>
      <w:proofErr w:type="spellEnd"/>
      <w:r w:rsidRPr="00D820E1">
        <w:rPr>
          <w:rFonts w:ascii="Times New Roman" w:hAnsi="Times New Roman" w:cs="Times New Roman"/>
        </w:rPr>
        <w:t xml:space="preserve"> and </w:t>
      </w:r>
      <w:proofErr w:type="spellStart"/>
      <w:r w:rsidRPr="00D820E1">
        <w:rPr>
          <w:rFonts w:ascii="Times New Roman" w:hAnsi="Times New Roman" w:cs="Times New Roman"/>
        </w:rPr>
        <w:t>Interpretation</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of</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the</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European</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Commission's</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Hasty</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Approach</w:t>
      </w:r>
      <w:proofErr w:type="spellEnd"/>
      <w:r w:rsidRPr="00D820E1">
        <w:rPr>
          <w:rFonts w:ascii="Times New Roman" w:hAnsi="Times New Roman" w:cs="Times New Roman"/>
        </w:rPr>
        <w:t xml:space="preserve"> to </w:t>
      </w:r>
      <w:proofErr w:type="spellStart"/>
      <w:r w:rsidRPr="00D820E1">
        <w:rPr>
          <w:rFonts w:ascii="Times New Roman" w:hAnsi="Times New Roman" w:cs="Times New Roman"/>
        </w:rPr>
        <w:t>National</w:t>
      </w:r>
      <w:proofErr w:type="spellEnd"/>
      <w:r w:rsidRPr="00D820E1">
        <w:rPr>
          <w:rFonts w:ascii="Times New Roman" w:hAnsi="Times New Roman" w:cs="Times New Roman"/>
        </w:rPr>
        <w:t xml:space="preserve"> </w:t>
      </w:r>
      <w:proofErr w:type="spellStart"/>
      <w:r w:rsidRPr="00D820E1">
        <w:rPr>
          <w:rFonts w:ascii="Times New Roman" w:hAnsi="Times New Roman" w:cs="Times New Roman"/>
        </w:rPr>
        <w:t>Parliaments</w:t>
      </w:r>
      <w:proofErr w:type="spellEnd"/>
      <w:r w:rsidRPr="00D820E1">
        <w:rPr>
          <w:rFonts w:ascii="Times New Roman" w:hAnsi="Times New Roman" w:cs="Times New Roman"/>
        </w:rPr>
        <w:t xml:space="preserve">' Subsidiarity </w:t>
      </w:r>
      <w:proofErr w:type="spellStart"/>
      <w:r w:rsidRPr="00D820E1">
        <w:rPr>
          <w:rFonts w:ascii="Times New Roman" w:hAnsi="Times New Roman" w:cs="Times New Roman"/>
        </w:rPr>
        <w:t>Arguments</w:t>
      </w:r>
      <w:proofErr w:type="spellEnd"/>
      <w:r w:rsidRPr="00D820E1">
        <w:rPr>
          <w:rFonts w:ascii="Times New Roman" w:hAnsi="Times New Roman" w:cs="Times New Roman"/>
        </w:rPr>
        <w:t xml:space="preserve">. </w:t>
      </w:r>
      <w:r w:rsidRPr="0072200E">
        <w:rPr>
          <w:rFonts w:ascii="Times New Roman" w:hAnsi="Times New Roman" w:cs="Times New Roman"/>
          <w:i/>
        </w:rPr>
        <w:t xml:space="preserve">German </w:t>
      </w:r>
      <w:proofErr w:type="spellStart"/>
      <w:r w:rsidRPr="0072200E">
        <w:rPr>
          <w:rFonts w:ascii="Times New Roman" w:hAnsi="Times New Roman" w:cs="Times New Roman"/>
          <w:i/>
        </w:rPr>
        <w:t>Law</w:t>
      </w:r>
      <w:proofErr w:type="spellEnd"/>
      <w:r w:rsidRPr="0072200E">
        <w:rPr>
          <w:rFonts w:ascii="Times New Roman" w:hAnsi="Times New Roman" w:cs="Times New Roman"/>
          <w:i/>
        </w:rPr>
        <w:t xml:space="preserve"> </w:t>
      </w:r>
      <w:proofErr w:type="spellStart"/>
      <w:r w:rsidRPr="0072200E">
        <w:rPr>
          <w:rFonts w:ascii="Times New Roman" w:hAnsi="Times New Roman" w:cs="Times New Roman"/>
          <w:i/>
        </w:rPr>
        <w:t>Journal</w:t>
      </w:r>
      <w:proofErr w:type="spellEnd"/>
      <w:r w:rsidRPr="00D820E1">
        <w:rPr>
          <w:rFonts w:ascii="Times New Roman" w:hAnsi="Times New Roman" w:cs="Times New Roman"/>
        </w:rPr>
        <w:t>, 2015, vol. 1</w:t>
      </w:r>
      <w:r>
        <w:rPr>
          <w:rFonts w:ascii="Times New Roman" w:hAnsi="Times New Roman" w:cs="Times New Roman"/>
        </w:rPr>
        <w:t>6, no. 5, s. 1255-1257.</w:t>
      </w:r>
    </w:p>
  </w:footnote>
  <w:footnote w:id="244">
    <w:p w:rsidR="00076524" w:rsidRDefault="00076524">
      <w:pPr>
        <w:pStyle w:val="Textpoznpodarou"/>
      </w:pPr>
      <w:r>
        <w:rPr>
          <w:rStyle w:val="Znakapoznpodarou"/>
        </w:rPr>
        <w:footnoteRef/>
      </w:r>
      <w:r>
        <w:t xml:space="preserve"> Viz </w:t>
      </w:r>
      <w:r w:rsidRPr="00D820E1">
        <w:rPr>
          <w:rFonts w:ascii="Times New Roman" w:hAnsi="Times New Roman" w:cs="Times New Roman"/>
        </w:rPr>
        <w:t xml:space="preserve">ZBÍRAL: </w:t>
      </w:r>
      <w:r w:rsidRPr="00D820E1">
        <w:rPr>
          <w:rFonts w:ascii="Times New Roman" w:hAnsi="Times New Roman" w:cs="Times New Roman"/>
          <w:i/>
        </w:rPr>
        <w:t>Analýza…</w:t>
      </w:r>
      <w:r w:rsidRPr="00D820E1">
        <w:rPr>
          <w:rFonts w:ascii="Times New Roman" w:hAnsi="Times New Roman" w:cs="Times New Roman"/>
        </w:rPr>
        <w:t>, s</w:t>
      </w:r>
      <w:r w:rsidRPr="0048710E">
        <w:rPr>
          <w:rFonts w:ascii="Times New Roman" w:hAnsi="Times New Roman" w:cs="Times New Roman"/>
        </w:rPr>
        <w:t>. 33.</w:t>
      </w:r>
    </w:p>
  </w:footnote>
  <w:footnote w:id="245">
    <w:p w:rsidR="00076524" w:rsidRPr="00DF1874" w:rsidRDefault="00076524" w:rsidP="00DF1874">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Viz </w:t>
      </w:r>
      <w:r w:rsidRPr="00D820E1">
        <w:rPr>
          <w:rFonts w:ascii="Times New Roman" w:hAnsi="Times New Roman" w:cs="Times New Roman"/>
        </w:rPr>
        <w:t>WIECZOREK</w:t>
      </w:r>
      <w:r>
        <w:rPr>
          <w:rFonts w:ascii="Times New Roman" w:hAnsi="Times New Roman" w:cs="Times New Roman"/>
        </w:rPr>
        <w:t xml:space="preserve">: </w:t>
      </w:r>
      <w:proofErr w:type="spellStart"/>
      <w:r w:rsidRPr="00064675">
        <w:rPr>
          <w:rFonts w:ascii="Times New Roman" w:hAnsi="Times New Roman" w:cs="Times New Roman"/>
          <w:i/>
        </w:rPr>
        <w:t>The</w:t>
      </w:r>
      <w:proofErr w:type="spellEnd"/>
      <w:r w:rsidRPr="00064675">
        <w:rPr>
          <w:rFonts w:ascii="Times New Roman" w:hAnsi="Times New Roman" w:cs="Times New Roman"/>
          <w:i/>
        </w:rPr>
        <w:t xml:space="preserve"> EPPO…</w:t>
      </w:r>
      <w:r>
        <w:rPr>
          <w:rFonts w:ascii="Times New Roman" w:hAnsi="Times New Roman" w:cs="Times New Roman"/>
        </w:rPr>
        <w:t>, s. 1258</w:t>
      </w:r>
      <w:r w:rsidRPr="00D820E1">
        <w:rPr>
          <w:rFonts w:ascii="Times New Roman" w:hAnsi="Times New Roman" w:cs="Times New Roman"/>
        </w:rPr>
        <w:t>-1259.</w:t>
      </w:r>
      <w:r>
        <w:rPr>
          <w:rFonts w:ascii="Times New Roman" w:hAnsi="Times New Roman" w:cs="Times New Roman"/>
        </w:rPr>
        <w:t xml:space="preserve"> Zde viz také argumentaci k otázce, kolik členských států musí vyvíjet danou činnost neuspokojivě, aby bylo naplněno první kritérium testu subsidiarity.</w:t>
      </w:r>
    </w:p>
  </w:footnote>
  <w:footnote w:id="246">
    <w:p w:rsidR="00076524" w:rsidRPr="00D820E1" w:rsidRDefault="00076524" w:rsidP="00871FEE">
      <w:pPr>
        <w:pStyle w:val="Textpoznpodarou"/>
        <w:jc w:val="both"/>
        <w:rPr>
          <w:rFonts w:ascii="Times New Roman" w:hAnsi="Times New Roman" w:cs="Times New Roman"/>
        </w:rPr>
      </w:pPr>
      <w:r w:rsidRPr="00D820E1">
        <w:rPr>
          <w:rStyle w:val="Znakapoznpodarou"/>
          <w:rFonts w:ascii="Times New Roman" w:hAnsi="Times New Roman" w:cs="Times New Roman"/>
        </w:rPr>
        <w:footnoteRef/>
      </w:r>
      <w:r w:rsidRPr="00D820E1">
        <w:rPr>
          <w:rFonts w:ascii="Times New Roman" w:hAnsi="Times New Roman" w:cs="Times New Roman"/>
        </w:rPr>
        <w:t xml:space="preserve"> </w:t>
      </w:r>
      <w:r>
        <w:rPr>
          <w:rFonts w:ascii="Times New Roman" w:hAnsi="Times New Roman" w:cs="Times New Roman"/>
        </w:rPr>
        <w:t xml:space="preserve">Viz </w:t>
      </w:r>
      <w:r w:rsidRPr="007D611A">
        <w:rPr>
          <w:rFonts w:ascii="Times New Roman" w:hAnsi="Times New Roman" w:cs="Times New Roman"/>
        </w:rPr>
        <w:t>Výroční zpráva za rok 2013 o subs</w:t>
      </w:r>
      <w:r>
        <w:rPr>
          <w:rFonts w:ascii="Times New Roman" w:hAnsi="Times New Roman" w:cs="Times New Roman"/>
        </w:rPr>
        <w:t xml:space="preserve">idiaritě a proporcionalitě. </w:t>
      </w:r>
      <w:proofErr w:type="gramStart"/>
      <w:r>
        <w:rPr>
          <w:rFonts w:ascii="Times New Roman" w:hAnsi="Times New Roman" w:cs="Times New Roman"/>
        </w:rPr>
        <w:t>COM</w:t>
      </w:r>
      <w:r w:rsidRPr="007D611A">
        <w:rPr>
          <w:rFonts w:ascii="Times New Roman" w:hAnsi="Times New Roman" w:cs="Times New Roman"/>
        </w:rPr>
        <w:t>(</w:t>
      </w:r>
      <w:proofErr w:type="gramEnd"/>
      <w:r w:rsidRPr="007D611A">
        <w:rPr>
          <w:rFonts w:ascii="Times New Roman" w:hAnsi="Times New Roman" w:cs="Times New Roman"/>
        </w:rPr>
        <w:t xml:space="preserve">2014) 506 </w:t>
      </w:r>
      <w:proofErr w:type="spellStart"/>
      <w:r w:rsidRPr="007D611A">
        <w:rPr>
          <w:rFonts w:ascii="Times New Roman" w:hAnsi="Times New Roman" w:cs="Times New Roman"/>
        </w:rPr>
        <w:t>final</w:t>
      </w:r>
      <w:proofErr w:type="spellEnd"/>
      <w:r w:rsidRPr="007D611A">
        <w:rPr>
          <w:rFonts w:ascii="Times New Roman" w:hAnsi="Times New Roman" w:cs="Times New Roman"/>
        </w:rPr>
        <w:t>, 5. srpna 2014.</w:t>
      </w:r>
    </w:p>
  </w:footnote>
  <w:footnote w:id="247">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EURACTIV</w:t>
      </w:r>
      <w:r>
        <w:rPr>
          <w:rFonts w:ascii="Times New Roman" w:hAnsi="Times New Roman" w:cs="Times New Roman"/>
        </w:rPr>
        <w:t>.CZ</w:t>
      </w:r>
      <w:r w:rsidRPr="00A70032">
        <w:rPr>
          <w:rFonts w:ascii="Times New Roman" w:hAnsi="Times New Roman" w:cs="Times New Roman"/>
        </w:rPr>
        <w:t xml:space="preserve">. </w:t>
      </w:r>
      <w:r w:rsidRPr="00A70032">
        <w:rPr>
          <w:rFonts w:ascii="Times New Roman" w:hAnsi="Times New Roman" w:cs="Times New Roman"/>
          <w:i/>
        </w:rPr>
        <w:t>ČR se staví k Úřadu evropského veřejného žalobce rezervovaně</w:t>
      </w:r>
      <w:r>
        <w:rPr>
          <w:rFonts w:ascii="Times New Roman" w:hAnsi="Times New Roman" w:cs="Times New Roman"/>
        </w:rPr>
        <w:t xml:space="preserve"> [online]. </w:t>
      </w:r>
      <w:r w:rsidRPr="00042BEE">
        <w:rPr>
          <w:rFonts w:ascii="Times New Roman" w:hAnsi="Times New Roman" w:cs="Times New Roman"/>
        </w:rPr>
        <w:t>EU-Media, s.r.o.</w:t>
      </w:r>
      <w:r w:rsidRPr="00A70032">
        <w:rPr>
          <w:rFonts w:ascii="Times New Roman" w:hAnsi="Times New Roman" w:cs="Times New Roman"/>
        </w:rPr>
        <w:t>, 8. listopadu 2013 [cit. 18. února 2017]. Dostupné na &lt;http://euractiv.cz/clanky/cr-v-evropske-unii/cr-se-stavi-ke-zrizeni-uradu-evropskeho-verejneho-zalobce-rezervovane-011273/&gt;.</w:t>
      </w:r>
    </w:p>
  </w:footnote>
  <w:footnote w:id="248">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Viz bod 5 preambule návrhu.</w:t>
      </w:r>
    </w:p>
  </w:footnote>
  <w:footnote w:id="249">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Viz také WIECZOREK: </w:t>
      </w:r>
      <w:proofErr w:type="spellStart"/>
      <w:r w:rsidRPr="00A70032">
        <w:rPr>
          <w:rFonts w:ascii="Times New Roman" w:hAnsi="Times New Roman" w:cs="Times New Roman"/>
          <w:i/>
        </w:rPr>
        <w:t>The</w:t>
      </w:r>
      <w:proofErr w:type="spellEnd"/>
      <w:r w:rsidRPr="00A70032">
        <w:rPr>
          <w:rFonts w:ascii="Times New Roman" w:hAnsi="Times New Roman" w:cs="Times New Roman"/>
          <w:i/>
        </w:rPr>
        <w:t xml:space="preserve"> EPPO…</w:t>
      </w:r>
      <w:r w:rsidRPr="00A70032">
        <w:rPr>
          <w:rFonts w:ascii="Times New Roman" w:hAnsi="Times New Roman" w:cs="Times New Roman"/>
        </w:rPr>
        <w:t>, s. 1260-1261.</w:t>
      </w:r>
    </w:p>
  </w:footnote>
  <w:footnote w:id="250">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w:t>
      </w:r>
      <w:r>
        <w:rPr>
          <w:rFonts w:ascii="Times New Roman" w:hAnsi="Times New Roman" w:cs="Times New Roman"/>
        </w:rPr>
        <w:t xml:space="preserve">Viz </w:t>
      </w:r>
      <w:r w:rsidRPr="00A70032">
        <w:rPr>
          <w:rFonts w:ascii="Times New Roman" w:hAnsi="Times New Roman" w:cs="Times New Roman"/>
        </w:rPr>
        <w:t>Výroční zpráva za rok 2013 o subsidiaritě a proporcionalitě. COM (</w:t>
      </w:r>
      <w:r>
        <w:rPr>
          <w:rFonts w:ascii="Times New Roman" w:hAnsi="Times New Roman" w:cs="Times New Roman"/>
        </w:rPr>
        <w:t xml:space="preserve">2014) 506 </w:t>
      </w:r>
      <w:proofErr w:type="spellStart"/>
      <w:r>
        <w:rPr>
          <w:rFonts w:ascii="Times New Roman" w:hAnsi="Times New Roman" w:cs="Times New Roman"/>
        </w:rPr>
        <w:t>final</w:t>
      </w:r>
      <w:proofErr w:type="spellEnd"/>
      <w:r>
        <w:rPr>
          <w:rFonts w:ascii="Times New Roman" w:hAnsi="Times New Roman" w:cs="Times New Roman"/>
        </w:rPr>
        <w:t>, 5. srpna 2014.</w:t>
      </w:r>
    </w:p>
  </w:footnote>
  <w:footnote w:id="251">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Viz WIECZOREK: </w:t>
      </w:r>
      <w:proofErr w:type="spellStart"/>
      <w:r w:rsidRPr="00A70032">
        <w:rPr>
          <w:rFonts w:ascii="Times New Roman" w:hAnsi="Times New Roman" w:cs="Times New Roman"/>
          <w:i/>
        </w:rPr>
        <w:t>The</w:t>
      </w:r>
      <w:proofErr w:type="spellEnd"/>
      <w:r w:rsidRPr="00A70032">
        <w:rPr>
          <w:rFonts w:ascii="Times New Roman" w:hAnsi="Times New Roman" w:cs="Times New Roman"/>
          <w:i/>
        </w:rPr>
        <w:t xml:space="preserve"> EPPO…</w:t>
      </w:r>
      <w:r w:rsidRPr="00A70032">
        <w:rPr>
          <w:rFonts w:ascii="Times New Roman" w:hAnsi="Times New Roman" w:cs="Times New Roman"/>
        </w:rPr>
        <w:t xml:space="preserve">, s. 1267. </w:t>
      </w:r>
    </w:p>
  </w:footnote>
  <w:footnote w:id="252">
    <w:p w:rsidR="00076524" w:rsidRPr="00A70032" w:rsidRDefault="00076524" w:rsidP="00AE251F">
      <w:pPr>
        <w:pStyle w:val="Textpoznpodarou"/>
        <w:jc w:val="both"/>
        <w:rPr>
          <w:rFonts w:ascii="Times New Roman" w:hAnsi="Times New Roman" w:cs="Times New Roman"/>
        </w:rPr>
      </w:pPr>
      <w:r w:rsidRPr="00A70032">
        <w:rPr>
          <w:rStyle w:val="Znakapoznpodarou"/>
          <w:rFonts w:ascii="Times New Roman" w:hAnsi="Times New Roman" w:cs="Times New Roman"/>
        </w:rPr>
        <w:footnoteRef/>
      </w:r>
      <w:r w:rsidRPr="00A70032">
        <w:rPr>
          <w:rFonts w:ascii="Times New Roman" w:hAnsi="Times New Roman" w:cs="Times New Roman"/>
        </w:rPr>
        <w:t xml:space="preserve"> </w:t>
      </w:r>
      <w:r>
        <w:rPr>
          <w:rFonts w:ascii="Times New Roman" w:hAnsi="Times New Roman" w:cs="Times New Roman"/>
        </w:rPr>
        <w:t xml:space="preserve">Viz </w:t>
      </w:r>
      <w:r w:rsidRPr="002E4484">
        <w:rPr>
          <w:rFonts w:ascii="Times New Roman" w:hAnsi="Times New Roman" w:cs="Times New Roman"/>
        </w:rPr>
        <w:t xml:space="preserve">NIELSEN, Nikolaj. </w:t>
      </w:r>
      <w:r w:rsidRPr="002E4484">
        <w:rPr>
          <w:rFonts w:ascii="Times New Roman" w:hAnsi="Times New Roman" w:cs="Times New Roman"/>
          <w:i/>
        </w:rPr>
        <w:t xml:space="preserve">EU </w:t>
      </w:r>
      <w:proofErr w:type="spellStart"/>
      <w:r w:rsidRPr="002E4484">
        <w:rPr>
          <w:rFonts w:ascii="Times New Roman" w:hAnsi="Times New Roman" w:cs="Times New Roman"/>
          <w:i/>
        </w:rPr>
        <w:t>backs</w:t>
      </w:r>
      <w:proofErr w:type="spellEnd"/>
      <w:r w:rsidRPr="002E4484">
        <w:rPr>
          <w:rFonts w:ascii="Times New Roman" w:hAnsi="Times New Roman" w:cs="Times New Roman"/>
          <w:i/>
        </w:rPr>
        <w:t xml:space="preserve"> </w:t>
      </w:r>
      <w:proofErr w:type="spellStart"/>
      <w:r w:rsidRPr="002E4484">
        <w:rPr>
          <w:rFonts w:ascii="Times New Roman" w:hAnsi="Times New Roman" w:cs="Times New Roman"/>
          <w:i/>
        </w:rPr>
        <w:t>setting</w:t>
      </w:r>
      <w:proofErr w:type="spellEnd"/>
      <w:r w:rsidRPr="002E4484">
        <w:rPr>
          <w:rFonts w:ascii="Times New Roman" w:hAnsi="Times New Roman" w:cs="Times New Roman"/>
          <w:i/>
        </w:rPr>
        <w:t xml:space="preserve"> up </w:t>
      </w:r>
      <w:proofErr w:type="spellStart"/>
      <w:r w:rsidRPr="002E4484">
        <w:rPr>
          <w:rFonts w:ascii="Times New Roman" w:hAnsi="Times New Roman" w:cs="Times New Roman"/>
          <w:i/>
        </w:rPr>
        <w:t>prosecutor's</w:t>
      </w:r>
      <w:proofErr w:type="spellEnd"/>
      <w:r w:rsidRPr="002E4484">
        <w:rPr>
          <w:rFonts w:ascii="Times New Roman" w:hAnsi="Times New Roman" w:cs="Times New Roman"/>
          <w:i/>
        </w:rPr>
        <w:t xml:space="preserve"> </w:t>
      </w:r>
      <w:proofErr w:type="spellStart"/>
      <w:r w:rsidRPr="002E4484">
        <w:rPr>
          <w:rFonts w:ascii="Times New Roman" w:hAnsi="Times New Roman" w:cs="Times New Roman"/>
          <w:i/>
        </w:rPr>
        <w:t>office</w:t>
      </w:r>
      <w:proofErr w:type="spellEnd"/>
      <w:r w:rsidRPr="002E4484">
        <w:rPr>
          <w:rFonts w:ascii="Times New Roman" w:hAnsi="Times New Roman" w:cs="Times New Roman"/>
        </w:rPr>
        <w:t xml:space="preserve">. [online]. </w:t>
      </w:r>
      <w:proofErr w:type="spellStart"/>
      <w:r w:rsidRPr="002E4484">
        <w:rPr>
          <w:rFonts w:ascii="Times New Roman" w:hAnsi="Times New Roman" w:cs="Times New Roman"/>
        </w:rPr>
        <w:t>EUobserver</w:t>
      </w:r>
      <w:proofErr w:type="spellEnd"/>
      <w:r w:rsidRPr="002E4484">
        <w:rPr>
          <w:rFonts w:ascii="Times New Roman" w:hAnsi="Times New Roman" w:cs="Times New Roman"/>
        </w:rPr>
        <w:t>, 10. března 2017 [cit. 11. března 2017]. Dostupné na &lt;https://euobserver.com/justice/137188&gt;.</w:t>
      </w:r>
      <w:r>
        <w:rPr>
          <w:rFonts w:ascii="Times New Roman" w:hAnsi="Times New Roman" w:cs="Times New Roman"/>
        </w:rPr>
        <w:t xml:space="preserve"> </w:t>
      </w:r>
      <w:r w:rsidRPr="00A70032">
        <w:rPr>
          <w:rFonts w:ascii="Times New Roman" w:hAnsi="Times New Roman" w:cs="Times New Roman"/>
        </w:rPr>
        <w:t xml:space="preserve">K vývoji návrhu v rámci Rady viz např. KOSTORIS, Roberto. A </w:t>
      </w:r>
      <w:proofErr w:type="spellStart"/>
      <w:r w:rsidRPr="00A70032">
        <w:rPr>
          <w:rFonts w:ascii="Times New Roman" w:hAnsi="Times New Roman" w:cs="Times New Roman"/>
        </w:rPr>
        <w:t>European</w:t>
      </w:r>
      <w:proofErr w:type="spellEnd"/>
      <w:r w:rsidRPr="00A70032">
        <w:rPr>
          <w:rFonts w:ascii="Times New Roman" w:hAnsi="Times New Roman" w:cs="Times New Roman"/>
        </w:rPr>
        <w:t xml:space="preserve"> Public </w:t>
      </w:r>
      <w:proofErr w:type="spellStart"/>
      <w:r w:rsidRPr="00A70032">
        <w:rPr>
          <w:rFonts w:ascii="Times New Roman" w:hAnsi="Times New Roman" w:cs="Times New Roman"/>
        </w:rPr>
        <w:t>Prosecutor</w:t>
      </w:r>
      <w:proofErr w:type="spellEnd"/>
      <w:r w:rsidRPr="00A70032">
        <w:rPr>
          <w:rFonts w:ascii="Times New Roman" w:hAnsi="Times New Roman" w:cs="Times New Roman"/>
        </w:rPr>
        <w:t xml:space="preserve"> Office </w:t>
      </w:r>
      <w:proofErr w:type="spellStart"/>
      <w:r w:rsidRPr="00A70032">
        <w:rPr>
          <w:rFonts w:ascii="Times New Roman" w:hAnsi="Times New Roman" w:cs="Times New Roman"/>
        </w:rPr>
        <w:t>against</w:t>
      </w:r>
      <w:proofErr w:type="spellEnd"/>
      <w:r w:rsidRPr="00A70032">
        <w:rPr>
          <w:rFonts w:ascii="Times New Roman" w:hAnsi="Times New Roman" w:cs="Times New Roman"/>
        </w:rPr>
        <w:t xml:space="preserve"> </w:t>
      </w:r>
      <w:proofErr w:type="gramStart"/>
      <w:r w:rsidRPr="00A70032">
        <w:rPr>
          <w:rFonts w:ascii="Times New Roman" w:hAnsi="Times New Roman" w:cs="Times New Roman"/>
        </w:rPr>
        <w:t>Euro</w:t>
      </w:r>
      <w:proofErr w:type="gramEnd"/>
      <w:r w:rsidRPr="00A70032">
        <w:rPr>
          <w:rFonts w:ascii="Times New Roman" w:hAnsi="Times New Roman" w:cs="Times New Roman"/>
        </w:rPr>
        <w:t>-</w:t>
      </w:r>
      <w:proofErr w:type="spellStart"/>
      <w:r w:rsidRPr="00A70032">
        <w:rPr>
          <w:rFonts w:ascii="Times New Roman" w:hAnsi="Times New Roman" w:cs="Times New Roman"/>
        </w:rPr>
        <w:t>financial</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Crimes</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Wich</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Future</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i/>
        </w:rPr>
        <w:t>Journal</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Of</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Eastern</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European</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Criminal</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Law</w:t>
      </w:r>
      <w:proofErr w:type="spellEnd"/>
      <w:r w:rsidRPr="00A70032">
        <w:rPr>
          <w:rFonts w:ascii="Times New Roman" w:hAnsi="Times New Roman" w:cs="Times New Roman"/>
        </w:rPr>
        <w:t xml:space="preserve">, 2015, no. 2, s. 30-31. A dále viz např. CSÚRI, András. </w:t>
      </w:r>
      <w:proofErr w:type="spellStart"/>
      <w:r w:rsidRPr="00A70032">
        <w:rPr>
          <w:rFonts w:ascii="Times New Roman" w:hAnsi="Times New Roman" w:cs="Times New Roman"/>
        </w:rPr>
        <w:t>The</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Proposed</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European</w:t>
      </w:r>
      <w:proofErr w:type="spellEnd"/>
      <w:r w:rsidRPr="00A70032">
        <w:rPr>
          <w:rFonts w:ascii="Times New Roman" w:hAnsi="Times New Roman" w:cs="Times New Roman"/>
        </w:rPr>
        <w:t xml:space="preserve"> Public </w:t>
      </w:r>
      <w:proofErr w:type="spellStart"/>
      <w:r w:rsidRPr="00A70032">
        <w:rPr>
          <w:rFonts w:ascii="Times New Roman" w:hAnsi="Times New Roman" w:cs="Times New Roman"/>
        </w:rPr>
        <w:t>Prosecutor´s</w:t>
      </w:r>
      <w:proofErr w:type="spellEnd"/>
      <w:r w:rsidRPr="00A70032">
        <w:rPr>
          <w:rFonts w:ascii="Times New Roman" w:hAnsi="Times New Roman" w:cs="Times New Roman"/>
        </w:rPr>
        <w:t xml:space="preserve"> </w:t>
      </w:r>
      <w:proofErr w:type="gramStart"/>
      <w:r w:rsidRPr="00A70032">
        <w:rPr>
          <w:rFonts w:ascii="Times New Roman" w:hAnsi="Times New Roman" w:cs="Times New Roman"/>
        </w:rPr>
        <w:t xml:space="preserve">Office - </w:t>
      </w:r>
      <w:proofErr w:type="spellStart"/>
      <w:r w:rsidRPr="00A70032">
        <w:rPr>
          <w:rFonts w:ascii="Times New Roman" w:hAnsi="Times New Roman" w:cs="Times New Roman"/>
        </w:rPr>
        <w:t>from</w:t>
      </w:r>
      <w:proofErr w:type="spellEnd"/>
      <w:proofErr w:type="gramEnd"/>
      <w:r w:rsidRPr="00A70032">
        <w:rPr>
          <w:rFonts w:ascii="Times New Roman" w:hAnsi="Times New Roman" w:cs="Times New Roman"/>
        </w:rPr>
        <w:t xml:space="preserve"> a Trojan </w:t>
      </w:r>
      <w:proofErr w:type="spellStart"/>
      <w:r w:rsidRPr="00A70032">
        <w:rPr>
          <w:rFonts w:ascii="Times New Roman" w:hAnsi="Times New Roman" w:cs="Times New Roman"/>
        </w:rPr>
        <w:t>Horse</w:t>
      </w:r>
      <w:proofErr w:type="spellEnd"/>
      <w:r w:rsidRPr="00A70032">
        <w:rPr>
          <w:rFonts w:ascii="Times New Roman" w:hAnsi="Times New Roman" w:cs="Times New Roman"/>
        </w:rPr>
        <w:t xml:space="preserve"> to a </w:t>
      </w:r>
      <w:proofErr w:type="spellStart"/>
      <w:r w:rsidRPr="00A70032">
        <w:rPr>
          <w:rFonts w:ascii="Times New Roman" w:hAnsi="Times New Roman" w:cs="Times New Roman"/>
        </w:rPr>
        <w:t>White</w:t>
      </w:r>
      <w:proofErr w:type="spellEnd"/>
      <w:r w:rsidRPr="00A70032">
        <w:rPr>
          <w:rFonts w:ascii="Times New Roman" w:hAnsi="Times New Roman" w:cs="Times New Roman"/>
        </w:rPr>
        <w:t xml:space="preserve"> </w:t>
      </w:r>
      <w:proofErr w:type="spellStart"/>
      <w:r w:rsidRPr="00A70032">
        <w:rPr>
          <w:rFonts w:ascii="Times New Roman" w:hAnsi="Times New Roman" w:cs="Times New Roman"/>
        </w:rPr>
        <w:t>Elephant</w:t>
      </w:r>
      <w:proofErr w:type="spellEnd"/>
      <w:r w:rsidRPr="00A70032">
        <w:rPr>
          <w:rFonts w:ascii="Times New Roman" w:hAnsi="Times New Roman" w:cs="Times New Roman"/>
        </w:rPr>
        <w:t xml:space="preserve">? </w:t>
      </w:r>
      <w:r w:rsidRPr="00A70032">
        <w:rPr>
          <w:rFonts w:ascii="Times New Roman" w:hAnsi="Times New Roman" w:cs="Times New Roman"/>
          <w:i/>
        </w:rPr>
        <w:t xml:space="preserve">Cambridge </w:t>
      </w:r>
      <w:proofErr w:type="spellStart"/>
      <w:r w:rsidRPr="00A70032">
        <w:rPr>
          <w:rFonts w:ascii="Times New Roman" w:hAnsi="Times New Roman" w:cs="Times New Roman"/>
          <w:i/>
        </w:rPr>
        <w:t>Yearbook</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of</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European</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Legal</w:t>
      </w:r>
      <w:proofErr w:type="spellEnd"/>
      <w:r w:rsidRPr="00A70032">
        <w:rPr>
          <w:rFonts w:ascii="Times New Roman" w:hAnsi="Times New Roman" w:cs="Times New Roman"/>
          <w:i/>
        </w:rPr>
        <w:t xml:space="preserve"> </w:t>
      </w:r>
      <w:proofErr w:type="spellStart"/>
      <w:r w:rsidRPr="00A70032">
        <w:rPr>
          <w:rFonts w:ascii="Times New Roman" w:hAnsi="Times New Roman" w:cs="Times New Roman"/>
          <w:i/>
        </w:rPr>
        <w:t>Studies</w:t>
      </w:r>
      <w:proofErr w:type="spellEnd"/>
      <w:r w:rsidRPr="00A70032">
        <w:rPr>
          <w:rFonts w:ascii="Times New Roman" w:hAnsi="Times New Roman" w:cs="Times New Roman"/>
        </w:rPr>
        <w:t>, 2016, vol. 18, s. 122-151.</w:t>
      </w:r>
    </w:p>
  </w:footnote>
  <w:footnote w:id="253">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sidRPr="00F671BE">
        <w:rPr>
          <w:rFonts w:ascii="Times New Roman" w:hAnsi="Times New Roman" w:cs="Times New Roman"/>
        </w:rPr>
        <w:t xml:space="preserve"> Viz 345. usnesení Senátu ze 14. schůze, konané dne 9. října 2013</w:t>
      </w:r>
    </w:p>
  </w:footnote>
  <w:footnote w:id="254">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sidRPr="00F671BE">
        <w:rPr>
          <w:rFonts w:ascii="Times New Roman" w:hAnsi="Times New Roman" w:cs="Times New Roman"/>
        </w:rPr>
        <w:t xml:space="preserve"> </w:t>
      </w:r>
      <w:r>
        <w:rPr>
          <w:rFonts w:ascii="Times New Roman" w:hAnsi="Times New Roman" w:cs="Times New Roman"/>
        </w:rPr>
        <w:t>Viz N</w:t>
      </w:r>
      <w:r w:rsidRPr="00F671BE">
        <w:rPr>
          <w:rFonts w:ascii="Times New Roman" w:hAnsi="Times New Roman" w:cs="Times New Roman"/>
        </w:rPr>
        <w:t xml:space="preserve">ávrh směrnice Evropského parlamentu a Rady, kterou se mění směrnice Evropského parlamentu a Rady 96/71/ES ze dne 16. prosince 1996 o vysílání pracovníků </w:t>
      </w:r>
      <w:r>
        <w:rPr>
          <w:rFonts w:ascii="Times New Roman" w:hAnsi="Times New Roman" w:cs="Times New Roman"/>
        </w:rPr>
        <w:t xml:space="preserve">v rámci poskytování služeb. </w:t>
      </w:r>
      <w:proofErr w:type="gramStart"/>
      <w:r>
        <w:rPr>
          <w:rFonts w:ascii="Times New Roman" w:hAnsi="Times New Roman" w:cs="Times New Roman"/>
        </w:rPr>
        <w:t>COM</w:t>
      </w:r>
      <w:r w:rsidRPr="00F671BE">
        <w:rPr>
          <w:rFonts w:ascii="Times New Roman" w:hAnsi="Times New Roman" w:cs="Times New Roman"/>
        </w:rPr>
        <w:t>(</w:t>
      </w:r>
      <w:proofErr w:type="gramEnd"/>
      <w:r w:rsidRPr="00F671BE">
        <w:rPr>
          <w:rFonts w:ascii="Times New Roman" w:hAnsi="Times New Roman" w:cs="Times New Roman"/>
        </w:rPr>
        <w:t xml:space="preserve">2016) 128 </w:t>
      </w:r>
      <w:proofErr w:type="spellStart"/>
      <w:r w:rsidRPr="00F671BE">
        <w:rPr>
          <w:rFonts w:ascii="Times New Roman" w:hAnsi="Times New Roman" w:cs="Times New Roman"/>
        </w:rPr>
        <w:t>final</w:t>
      </w:r>
      <w:proofErr w:type="spellEnd"/>
      <w:r w:rsidRPr="00F671BE">
        <w:rPr>
          <w:rFonts w:ascii="Times New Roman" w:hAnsi="Times New Roman" w:cs="Times New Roman"/>
        </w:rPr>
        <w:t>, 8. března 2016.</w:t>
      </w:r>
    </w:p>
  </w:footnote>
  <w:footnote w:id="255">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Pr>
          <w:rFonts w:ascii="Times New Roman" w:hAnsi="Times New Roman" w:cs="Times New Roman"/>
        </w:rPr>
        <w:t xml:space="preserve"> EVROPSKÁ KOMISE</w:t>
      </w:r>
      <w:r w:rsidRPr="00F671BE">
        <w:rPr>
          <w:rFonts w:ascii="Times New Roman" w:hAnsi="Times New Roman" w:cs="Times New Roman"/>
        </w:rPr>
        <w:t xml:space="preserve">. </w:t>
      </w:r>
      <w:r w:rsidRPr="00F671BE">
        <w:rPr>
          <w:rFonts w:ascii="Times New Roman" w:hAnsi="Times New Roman" w:cs="Times New Roman"/>
          <w:i/>
        </w:rPr>
        <w:t>Tisková zpráva: Vysílání pracovníků: Komise diskutuje o připomínkách předložených národními parlamenty</w:t>
      </w:r>
      <w:r>
        <w:rPr>
          <w:rFonts w:ascii="Times New Roman" w:hAnsi="Times New Roman" w:cs="Times New Roman"/>
        </w:rPr>
        <w:t xml:space="preserve"> [online]. Evropská unie</w:t>
      </w:r>
      <w:r w:rsidRPr="00F671BE">
        <w:rPr>
          <w:rFonts w:ascii="Times New Roman" w:hAnsi="Times New Roman" w:cs="Times New Roman"/>
        </w:rPr>
        <w:t>, 20. července 2016 [cit. 25. února 2017]. Dostupné na &lt;http://europa.eu/rapid/press-release_IP-16-2546_cs.htm&gt;.</w:t>
      </w:r>
    </w:p>
  </w:footnote>
  <w:footnote w:id="256">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Pr>
          <w:rFonts w:ascii="Times New Roman" w:hAnsi="Times New Roman" w:cs="Times New Roman"/>
        </w:rPr>
        <w:t xml:space="preserve"> Viz důvodová zpráva návrhu</w:t>
      </w:r>
    </w:p>
  </w:footnote>
  <w:footnote w:id="257">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sidRPr="00F671BE">
        <w:rPr>
          <w:rFonts w:ascii="Times New Roman" w:hAnsi="Times New Roman" w:cs="Times New Roman"/>
        </w:rPr>
        <w:t xml:space="preserve"> Tamtéž.</w:t>
      </w:r>
    </w:p>
  </w:footnote>
  <w:footnote w:id="258">
    <w:p w:rsidR="00076524" w:rsidRDefault="00076524">
      <w:pPr>
        <w:pStyle w:val="Textpoznpodarou"/>
      </w:pPr>
      <w:r>
        <w:rPr>
          <w:rStyle w:val="Znakapoznpodarou"/>
        </w:rPr>
        <w:footnoteRef/>
      </w:r>
      <w:r>
        <w:t xml:space="preserve"> </w:t>
      </w:r>
      <w:r w:rsidRPr="00B200E7">
        <w:rPr>
          <w:rFonts w:ascii="Times New Roman" w:hAnsi="Times New Roman" w:cs="Times New Roman"/>
        </w:rPr>
        <w:t>Tamtéž.</w:t>
      </w:r>
    </w:p>
  </w:footnote>
  <w:footnote w:id="259">
    <w:p w:rsidR="00076524" w:rsidRPr="00F671BE" w:rsidRDefault="00076524" w:rsidP="001B7BE1">
      <w:pPr>
        <w:pStyle w:val="Textpoznpodarou"/>
        <w:jc w:val="both"/>
        <w:rPr>
          <w:rFonts w:ascii="Times New Roman" w:hAnsi="Times New Roman" w:cs="Times New Roman"/>
        </w:rPr>
      </w:pPr>
      <w:r w:rsidRPr="00F671BE">
        <w:rPr>
          <w:rStyle w:val="Znakapoznpodarou"/>
          <w:rFonts w:ascii="Times New Roman" w:hAnsi="Times New Roman" w:cs="Times New Roman"/>
        </w:rPr>
        <w:footnoteRef/>
      </w:r>
      <w:r w:rsidRPr="00F671BE">
        <w:rPr>
          <w:rFonts w:ascii="Times New Roman" w:hAnsi="Times New Roman" w:cs="Times New Roman"/>
        </w:rPr>
        <w:t xml:space="preserve"> Viz </w:t>
      </w:r>
      <w:proofErr w:type="spellStart"/>
      <w:r w:rsidRPr="00F671BE">
        <w:rPr>
          <w:rFonts w:ascii="Times New Roman" w:hAnsi="Times New Roman" w:cs="Times New Roman"/>
        </w:rPr>
        <w:t>Impact</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Assessment</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Accompanying</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the</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document</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Proposal</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for</w:t>
      </w:r>
      <w:proofErr w:type="spellEnd"/>
      <w:r w:rsidRPr="00F671BE">
        <w:rPr>
          <w:rFonts w:ascii="Times New Roman" w:hAnsi="Times New Roman" w:cs="Times New Roman"/>
        </w:rPr>
        <w:t xml:space="preserve"> a </w:t>
      </w:r>
      <w:proofErr w:type="spellStart"/>
      <w:r w:rsidRPr="00F671BE">
        <w:rPr>
          <w:rFonts w:ascii="Times New Roman" w:hAnsi="Times New Roman" w:cs="Times New Roman"/>
        </w:rPr>
        <w:t>Directive</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of</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the</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European</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Parliament</w:t>
      </w:r>
      <w:proofErr w:type="spellEnd"/>
      <w:r w:rsidRPr="00F671BE">
        <w:rPr>
          <w:rFonts w:ascii="Times New Roman" w:hAnsi="Times New Roman" w:cs="Times New Roman"/>
        </w:rPr>
        <w:t xml:space="preserve"> and </w:t>
      </w:r>
      <w:proofErr w:type="spellStart"/>
      <w:r w:rsidRPr="00F671BE">
        <w:rPr>
          <w:rFonts w:ascii="Times New Roman" w:hAnsi="Times New Roman" w:cs="Times New Roman"/>
        </w:rPr>
        <w:t>the</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Council</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amending</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Directive</w:t>
      </w:r>
      <w:proofErr w:type="spellEnd"/>
      <w:r w:rsidRPr="00F671BE">
        <w:rPr>
          <w:rFonts w:ascii="Times New Roman" w:hAnsi="Times New Roman" w:cs="Times New Roman"/>
        </w:rPr>
        <w:t xml:space="preserve"> 96/71/EC </w:t>
      </w:r>
      <w:proofErr w:type="spellStart"/>
      <w:r w:rsidRPr="00F671BE">
        <w:rPr>
          <w:rFonts w:ascii="Times New Roman" w:hAnsi="Times New Roman" w:cs="Times New Roman"/>
        </w:rPr>
        <w:t>concerning</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the</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posting</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of</w:t>
      </w:r>
      <w:proofErr w:type="spellEnd"/>
      <w:r w:rsidRPr="00F671BE">
        <w:rPr>
          <w:rFonts w:ascii="Times New Roman" w:hAnsi="Times New Roman" w:cs="Times New Roman"/>
        </w:rPr>
        <w:t xml:space="preserve"> </w:t>
      </w:r>
      <w:proofErr w:type="spellStart"/>
      <w:r w:rsidRPr="00F671BE">
        <w:rPr>
          <w:rFonts w:ascii="Times New Roman" w:hAnsi="Times New Roman" w:cs="Times New Roman"/>
        </w:rPr>
        <w:t>workers</w:t>
      </w:r>
      <w:proofErr w:type="spellEnd"/>
      <w:r w:rsidRPr="00F671BE">
        <w:rPr>
          <w:rFonts w:ascii="Times New Roman" w:hAnsi="Times New Roman" w:cs="Times New Roman"/>
        </w:rPr>
        <w:t xml:space="preserve"> in </w:t>
      </w:r>
      <w:proofErr w:type="spellStart"/>
      <w:r w:rsidRPr="00F671BE">
        <w:rPr>
          <w:rFonts w:ascii="Times New Roman" w:hAnsi="Times New Roman" w:cs="Times New Roman"/>
        </w:rPr>
        <w:t>the</w:t>
      </w:r>
      <w:proofErr w:type="spellEnd"/>
      <w:r w:rsidRPr="00F671BE">
        <w:rPr>
          <w:rFonts w:ascii="Times New Roman" w:hAnsi="Times New Roman" w:cs="Times New Roman"/>
        </w:rPr>
        <w:t xml:space="preserve"> framework </w:t>
      </w:r>
      <w:proofErr w:type="spellStart"/>
      <w:r w:rsidRPr="00F671BE">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provision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services</w:t>
      </w:r>
      <w:proofErr w:type="spellEnd"/>
      <w:r>
        <w:rPr>
          <w:rFonts w:ascii="Times New Roman" w:hAnsi="Times New Roman" w:cs="Times New Roman"/>
        </w:rPr>
        <w:t xml:space="preserve">. </w:t>
      </w:r>
      <w:proofErr w:type="gramStart"/>
      <w:r>
        <w:rPr>
          <w:rFonts w:ascii="Times New Roman" w:hAnsi="Times New Roman" w:cs="Times New Roman"/>
        </w:rPr>
        <w:t>SWD</w:t>
      </w:r>
      <w:r w:rsidRPr="00F671BE">
        <w:rPr>
          <w:rFonts w:ascii="Times New Roman" w:hAnsi="Times New Roman" w:cs="Times New Roman"/>
        </w:rPr>
        <w:t>(</w:t>
      </w:r>
      <w:proofErr w:type="gramEnd"/>
      <w:r w:rsidRPr="00F671BE">
        <w:rPr>
          <w:rFonts w:ascii="Times New Roman" w:hAnsi="Times New Roman" w:cs="Times New Roman"/>
        </w:rPr>
        <w:t xml:space="preserve">2016) 52 </w:t>
      </w:r>
      <w:proofErr w:type="spellStart"/>
      <w:r w:rsidRPr="00F671BE">
        <w:rPr>
          <w:rFonts w:ascii="Times New Roman" w:hAnsi="Times New Roman" w:cs="Times New Roman"/>
        </w:rPr>
        <w:t>final</w:t>
      </w:r>
      <w:proofErr w:type="spellEnd"/>
      <w:r w:rsidRPr="00F671BE">
        <w:rPr>
          <w:rFonts w:ascii="Times New Roman" w:hAnsi="Times New Roman" w:cs="Times New Roman"/>
        </w:rPr>
        <w:t>, 8. března 2016.</w:t>
      </w:r>
    </w:p>
  </w:footnote>
  <w:footnote w:id="260">
    <w:p w:rsidR="00076524" w:rsidRDefault="00076524" w:rsidP="001B7BE1">
      <w:pPr>
        <w:pStyle w:val="Textpoznpodarou"/>
        <w:jc w:val="both"/>
      </w:pPr>
      <w:r w:rsidRPr="00F671BE">
        <w:rPr>
          <w:rStyle w:val="Znakapoznpodarou"/>
          <w:rFonts w:ascii="Times New Roman" w:hAnsi="Times New Roman" w:cs="Times New Roman"/>
        </w:rPr>
        <w:footnoteRef/>
      </w:r>
      <w:r w:rsidRPr="00F671BE">
        <w:rPr>
          <w:rFonts w:ascii="Times New Roman" w:hAnsi="Times New Roman" w:cs="Times New Roman"/>
        </w:rPr>
        <w:t xml:space="preserve"> </w:t>
      </w:r>
      <w:r>
        <w:rPr>
          <w:rFonts w:ascii="Times New Roman" w:hAnsi="Times New Roman" w:cs="Times New Roman"/>
        </w:rPr>
        <w:t>EVROPSKÁ KOMISE</w:t>
      </w:r>
      <w:r w:rsidRPr="00F671BE">
        <w:rPr>
          <w:rFonts w:ascii="Times New Roman" w:hAnsi="Times New Roman" w:cs="Times New Roman"/>
        </w:rPr>
        <w:t xml:space="preserve">. </w:t>
      </w:r>
      <w:r w:rsidRPr="00F671BE">
        <w:rPr>
          <w:rFonts w:ascii="Times New Roman" w:hAnsi="Times New Roman" w:cs="Times New Roman"/>
          <w:i/>
        </w:rPr>
        <w:t>Tisková zpráva: Vysílání pracovníků: Komise diskutuje o připomínkách předložených národními parlamenty</w:t>
      </w:r>
      <w:r>
        <w:rPr>
          <w:rFonts w:ascii="Times New Roman" w:hAnsi="Times New Roman" w:cs="Times New Roman"/>
        </w:rPr>
        <w:t xml:space="preserve"> [online]. Evropská unie</w:t>
      </w:r>
      <w:r w:rsidRPr="00F671BE">
        <w:rPr>
          <w:rFonts w:ascii="Times New Roman" w:hAnsi="Times New Roman" w:cs="Times New Roman"/>
        </w:rPr>
        <w:t>, 20. července 2016 [cit. 25. února 2017]. Dostupné na &lt;http://europa.eu/rapid/press-release_IP-16-2546_cs.htm&gt;.</w:t>
      </w:r>
    </w:p>
  </w:footnote>
  <w:footnote w:id="261">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Viz JANČIČ, </w:t>
      </w:r>
      <w:proofErr w:type="spellStart"/>
      <w:r w:rsidRPr="0043288A">
        <w:rPr>
          <w:rFonts w:ascii="Times New Roman" w:hAnsi="Times New Roman" w:cs="Times New Roman"/>
        </w:rPr>
        <w:t>Davor</w:t>
      </w:r>
      <w:proofErr w:type="spellEnd"/>
      <w:r w:rsidRPr="0043288A">
        <w:rPr>
          <w:rFonts w:ascii="Times New Roman" w:hAnsi="Times New Roman" w:cs="Times New Roman"/>
        </w:rPr>
        <w:t xml:space="preserve">. </w:t>
      </w:r>
      <w:proofErr w:type="spellStart"/>
      <w:r w:rsidRPr="00C123A1">
        <w:rPr>
          <w:rFonts w:ascii="Times New Roman" w:hAnsi="Times New Roman" w:cs="Times New Roman"/>
        </w:rPr>
        <w:t>The</w:t>
      </w:r>
      <w:proofErr w:type="spellEnd"/>
      <w:r w:rsidRPr="00C123A1">
        <w:rPr>
          <w:rFonts w:ascii="Times New Roman" w:hAnsi="Times New Roman" w:cs="Times New Roman"/>
        </w:rPr>
        <w:t xml:space="preserve"> </w:t>
      </w:r>
      <w:proofErr w:type="spellStart"/>
      <w:r w:rsidRPr="00C123A1">
        <w:rPr>
          <w:rFonts w:ascii="Times New Roman" w:hAnsi="Times New Roman" w:cs="Times New Roman"/>
        </w:rPr>
        <w:t>Third</w:t>
      </w:r>
      <w:proofErr w:type="spellEnd"/>
      <w:r w:rsidRPr="00C123A1">
        <w:rPr>
          <w:rFonts w:ascii="Times New Roman" w:hAnsi="Times New Roman" w:cs="Times New Roman"/>
        </w:rPr>
        <w:t xml:space="preserve"> </w:t>
      </w:r>
      <w:proofErr w:type="spellStart"/>
      <w:r w:rsidRPr="00C123A1">
        <w:rPr>
          <w:rFonts w:ascii="Times New Roman" w:hAnsi="Times New Roman" w:cs="Times New Roman"/>
        </w:rPr>
        <w:t>Yellow</w:t>
      </w:r>
      <w:proofErr w:type="spellEnd"/>
      <w:r w:rsidRPr="00C123A1">
        <w:rPr>
          <w:rFonts w:ascii="Times New Roman" w:hAnsi="Times New Roman" w:cs="Times New Roman"/>
        </w:rPr>
        <w:t xml:space="preserve"> </w:t>
      </w:r>
      <w:proofErr w:type="spellStart"/>
      <w:r w:rsidRPr="00C123A1">
        <w:rPr>
          <w:rFonts w:ascii="Times New Roman" w:hAnsi="Times New Roman" w:cs="Times New Roman"/>
        </w:rPr>
        <w:t>Card</w:t>
      </w:r>
      <w:proofErr w:type="spellEnd"/>
      <w:r w:rsidRPr="00C123A1">
        <w:rPr>
          <w:rFonts w:ascii="Times New Roman" w:hAnsi="Times New Roman" w:cs="Times New Roman"/>
        </w:rPr>
        <w:t xml:space="preserve"> on </w:t>
      </w:r>
      <w:proofErr w:type="spellStart"/>
      <w:r w:rsidRPr="00C123A1">
        <w:rPr>
          <w:rFonts w:ascii="Times New Roman" w:hAnsi="Times New Roman" w:cs="Times New Roman"/>
        </w:rPr>
        <w:t>Posted</w:t>
      </w:r>
      <w:proofErr w:type="spellEnd"/>
      <w:r w:rsidRPr="00C123A1">
        <w:rPr>
          <w:rFonts w:ascii="Times New Roman" w:hAnsi="Times New Roman" w:cs="Times New Roman"/>
        </w:rPr>
        <w:t xml:space="preserve"> </w:t>
      </w:r>
      <w:proofErr w:type="spellStart"/>
      <w:r w:rsidRPr="00C123A1">
        <w:rPr>
          <w:rFonts w:ascii="Times New Roman" w:hAnsi="Times New Roman" w:cs="Times New Roman"/>
        </w:rPr>
        <w:t>Workers</w:t>
      </w:r>
      <w:proofErr w:type="spellEnd"/>
      <w:r w:rsidRPr="00C123A1">
        <w:rPr>
          <w:rFonts w:ascii="Times New Roman" w:hAnsi="Times New Roman" w:cs="Times New Roman"/>
        </w:rPr>
        <w:t xml:space="preserve"> and </w:t>
      </w:r>
      <w:proofErr w:type="spellStart"/>
      <w:r w:rsidRPr="00C123A1">
        <w:rPr>
          <w:rFonts w:ascii="Times New Roman" w:hAnsi="Times New Roman" w:cs="Times New Roman"/>
        </w:rPr>
        <w:t>the</w:t>
      </w:r>
      <w:proofErr w:type="spellEnd"/>
      <w:r w:rsidRPr="00C123A1">
        <w:rPr>
          <w:rFonts w:ascii="Times New Roman" w:hAnsi="Times New Roman" w:cs="Times New Roman"/>
        </w:rPr>
        <w:t xml:space="preserve"> </w:t>
      </w:r>
      <w:proofErr w:type="spellStart"/>
      <w:r w:rsidRPr="00C123A1">
        <w:rPr>
          <w:rFonts w:ascii="Times New Roman" w:hAnsi="Times New Roman" w:cs="Times New Roman"/>
        </w:rPr>
        <w:t>Way</w:t>
      </w:r>
      <w:proofErr w:type="spellEnd"/>
      <w:r w:rsidRPr="00C123A1">
        <w:rPr>
          <w:rFonts w:ascii="Times New Roman" w:hAnsi="Times New Roman" w:cs="Times New Roman"/>
        </w:rPr>
        <w:t xml:space="preserve"> Forward</w:t>
      </w:r>
      <w:r w:rsidRPr="0043288A">
        <w:rPr>
          <w:rFonts w:ascii="Times New Roman" w:hAnsi="Times New Roman" w:cs="Times New Roman"/>
        </w:rPr>
        <w:t xml:space="preserve">. In: JANČIČ, </w:t>
      </w:r>
      <w:proofErr w:type="spellStart"/>
      <w:r w:rsidRPr="0043288A">
        <w:rPr>
          <w:rFonts w:ascii="Times New Roman" w:hAnsi="Times New Roman" w:cs="Times New Roman"/>
        </w:rPr>
        <w:t>Davor</w:t>
      </w:r>
      <w:proofErr w:type="spellEnd"/>
      <w:r w:rsidRPr="0043288A">
        <w:rPr>
          <w:rFonts w:ascii="Times New Roman" w:hAnsi="Times New Roman" w:cs="Times New Roman"/>
        </w:rPr>
        <w:t xml:space="preserve">. </w:t>
      </w:r>
      <w:proofErr w:type="spellStart"/>
      <w:r w:rsidRPr="0043288A">
        <w:rPr>
          <w:rFonts w:ascii="Times New Roman" w:hAnsi="Times New Roman" w:cs="Times New Roman"/>
          <w:i/>
        </w:rPr>
        <w:t>National</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Parliaments</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after</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the</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Lisbon</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Treaty</w:t>
      </w:r>
      <w:proofErr w:type="spellEnd"/>
      <w:r w:rsidRPr="0043288A">
        <w:rPr>
          <w:rFonts w:ascii="Times New Roman" w:hAnsi="Times New Roman" w:cs="Times New Roman"/>
          <w:i/>
        </w:rPr>
        <w:t xml:space="preserve"> and </w:t>
      </w:r>
      <w:proofErr w:type="spellStart"/>
      <w:r w:rsidRPr="0043288A">
        <w:rPr>
          <w:rFonts w:ascii="Times New Roman" w:hAnsi="Times New Roman" w:cs="Times New Roman"/>
          <w:i/>
        </w:rPr>
        <w:t>the</w:t>
      </w:r>
      <w:proofErr w:type="spellEnd"/>
      <w:r w:rsidRPr="0043288A">
        <w:rPr>
          <w:rFonts w:ascii="Times New Roman" w:hAnsi="Times New Roman" w:cs="Times New Roman"/>
          <w:i/>
        </w:rPr>
        <w:t xml:space="preserve"> </w:t>
      </w:r>
      <w:proofErr w:type="gramStart"/>
      <w:r w:rsidRPr="0043288A">
        <w:rPr>
          <w:rFonts w:ascii="Times New Roman" w:hAnsi="Times New Roman" w:cs="Times New Roman"/>
          <w:i/>
        </w:rPr>
        <w:t>Euro</w:t>
      </w:r>
      <w:proofErr w:type="gramEnd"/>
      <w:r w:rsidRPr="0043288A">
        <w:rPr>
          <w:rFonts w:ascii="Times New Roman" w:hAnsi="Times New Roman" w:cs="Times New Roman"/>
          <w:i/>
        </w:rPr>
        <w:t xml:space="preserve"> </w:t>
      </w:r>
      <w:proofErr w:type="spellStart"/>
      <w:r w:rsidRPr="0043288A">
        <w:rPr>
          <w:rFonts w:ascii="Times New Roman" w:hAnsi="Times New Roman" w:cs="Times New Roman"/>
          <w:i/>
        </w:rPr>
        <w:t>Crisis</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Resilience</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or</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Resignation</w:t>
      </w:r>
      <w:proofErr w:type="spellEnd"/>
      <w:r w:rsidRPr="0043288A">
        <w:rPr>
          <w:rFonts w:ascii="Times New Roman" w:hAnsi="Times New Roman" w:cs="Times New Roman"/>
          <w:i/>
        </w:rPr>
        <w:t>?</w:t>
      </w:r>
      <w:r w:rsidRPr="0043288A">
        <w:rPr>
          <w:rFonts w:ascii="Times New Roman" w:hAnsi="Times New Roman" w:cs="Times New Roman"/>
        </w:rPr>
        <w:t xml:space="preserve"> Oxford: Oxford University </w:t>
      </w:r>
      <w:proofErr w:type="spellStart"/>
      <w:r w:rsidRPr="0043288A">
        <w:rPr>
          <w:rFonts w:ascii="Times New Roman" w:hAnsi="Times New Roman" w:cs="Times New Roman"/>
        </w:rPr>
        <w:t>Press</w:t>
      </w:r>
      <w:proofErr w:type="spellEnd"/>
      <w:r w:rsidRPr="0043288A">
        <w:rPr>
          <w:rFonts w:ascii="Times New Roman" w:hAnsi="Times New Roman" w:cs="Times New Roman"/>
        </w:rPr>
        <w:t>, 2017, s. 304.</w:t>
      </w:r>
    </w:p>
  </w:footnote>
  <w:footnote w:id="262">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Viz Sdělení Komise Evropskému parlamentu, Radě, a vnitrostátním parlamentům o návrhu směrnice, kterou se mění směrnice o vysílání pracovníků, s ohledem na zásadu subsidiarity, v</w:t>
      </w:r>
      <w:r>
        <w:rPr>
          <w:rFonts w:ascii="Times New Roman" w:hAnsi="Times New Roman" w:cs="Times New Roman"/>
        </w:rPr>
        <w:t xml:space="preserve"> souladu s protokolem č. 2. </w:t>
      </w:r>
      <w:proofErr w:type="gramStart"/>
      <w:r>
        <w:rPr>
          <w:rFonts w:ascii="Times New Roman" w:hAnsi="Times New Roman" w:cs="Times New Roman"/>
        </w:rPr>
        <w:t>COM</w:t>
      </w:r>
      <w:r w:rsidRPr="0043288A">
        <w:rPr>
          <w:rFonts w:ascii="Times New Roman" w:hAnsi="Times New Roman" w:cs="Times New Roman"/>
        </w:rPr>
        <w:t>(</w:t>
      </w:r>
      <w:proofErr w:type="gramEnd"/>
      <w:r w:rsidRPr="0043288A">
        <w:rPr>
          <w:rFonts w:ascii="Times New Roman" w:hAnsi="Times New Roman" w:cs="Times New Roman"/>
        </w:rPr>
        <w:t xml:space="preserve">2016) 505 </w:t>
      </w:r>
      <w:proofErr w:type="spellStart"/>
      <w:r w:rsidRPr="0043288A">
        <w:rPr>
          <w:rFonts w:ascii="Times New Roman" w:hAnsi="Times New Roman" w:cs="Times New Roman"/>
        </w:rPr>
        <w:t>final</w:t>
      </w:r>
      <w:proofErr w:type="spellEnd"/>
      <w:r w:rsidRPr="0043288A">
        <w:rPr>
          <w:rFonts w:ascii="Times New Roman" w:hAnsi="Times New Roman" w:cs="Times New Roman"/>
        </w:rPr>
        <w:t>, 20. července 2016.</w:t>
      </w:r>
    </w:p>
  </w:footnote>
  <w:footnote w:id="263">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Pro přehled argumentů parlamentů viz JANČIČ: </w:t>
      </w:r>
      <w:proofErr w:type="spellStart"/>
      <w:r w:rsidRPr="0043288A">
        <w:rPr>
          <w:rFonts w:ascii="Times New Roman" w:hAnsi="Times New Roman" w:cs="Times New Roman"/>
          <w:i/>
        </w:rPr>
        <w:t>The</w:t>
      </w:r>
      <w:proofErr w:type="spellEnd"/>
      <w:r w:rsidRPr="0043288A">
        <w:rPr>
          <w:rFonts w:ascii="Times New Roman" w:hAnsi="Times New Roman" w:cs="Times New Roman"/>
          <w:i/>
        </w:rPr>
        <w:t xml:space="preserve"> </w:t>
      </w:r>
      <w:proofErr w:type="spellStart"/>
      <w:r w:rsidRPr="0043288A">
        <w:rPr>
          <w:rFonts w:ascii="Times New Roman" w:hAnsi="Times New Roman" w:cs="Times New Roman"/>
          <w:i/>
        </w:rPr>
        <w:t>Third</w:t>
      </w:r>
      <w:proofErr w:type="spellEnd"/>
      <w:r w:rsidRPr="0043288A">
        <w:rPr>
          <w:rFonts w:ascii="Times New Roman" w:hAnsi="Times New Roman" w:cs="Times New Roman"/>
          <w:i/>
        </w:rPr>
        <w:t>…</w:t>
      </w:r>
      <w:r w:rsidRPr="0043288A">
        <w:rPr>
          <w:rFonts w:ascii="Times New Roman" w:hAnsi="Times New Roman" w:cs="Times New Roman"/>
        </w:rPr>
        <w:t>, s. 304-306.</w:t>
      </w:r>
    </w:p>
  </w:footnote>
  <w:footnote w:id="264">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Viz Sdělení Komise Evropskému parlamentu, Radě, a vnitrostátním parlamentům o návrhu směrnice, kterou se mění směrnice o vysílání pracovníků, s ohledem na zásadu subsidiarity, v</w:t>
      </w:r>
      <w:r>
        <w:rPr>
          <w:rFonts w:ascii="Times New Roman" w:hAnsi="Times New Roman" w:cs="Times New Roman"/>
        </w:rPr>
        <w:t xml:space="preserve"> souladu s protokolem č. 2. </w:t>
      </w:r>
      <w:proofErr w:type="gramStart"/>
      <w:r>
        <w:rPr>
          <w:rFonts w:ascii="Times New Roman" w:hAnsi="Times New Roman" w:cs="Times New Roman"/>
        </w:rPr>
        <w:t>COM</w:t>
      </w:r>
      <w:r w:rsidRPr="0043288A">
        <w:rPr>
          <w:rFonts w:ascii="Times New Roman" w:hAnsi="Times New Roman" w:cs="Times New Roman"/>
        </w:rPr>
        <w:t>(</w:t>
      </w:r>
      <w:proofErr w:type="gramEnd"/>
      <w:r w:rsidRPr="0043288A">
        <w:rPr>
          <w:rFonts w:ascii="Times New Roman" w:hAnsi="Times New Roman" w:cs="Times New Roman"/>
        </w:rPr>
        <w:t xml:space="preserve">2016) 505 </w:t>
      </w:r>
      <w:proofErr w:type="spellStart"/>
      <w:r w:rsidRPr="0043288A">
        <w:rPr>
          <w:rFonts w:ascii="Times New Roman" w:hAnsi="Times New Roman" w:cs="Times New Roman"/>
        </w:rPr>
        <w:t>final</w:t>
      </w:r>
      <w:proofErr w:type="spellEnd"/>
      <w:r w:rsidRPr="0043288A">
        <w:rPr>
          <w:rFonts w:ascii="Times New Roman" w:hAnsi="Times New Roman" w:cs="Times New Roman"/>
        </w:rPr>
        <w:t>, 20. července 2016.</w:t>
      </w:r>
    </w:p>
  </w:footnote>
  <w:footnote w:id="265">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w:t>
      </w:r>
      <w:r w:rsidRPr="007F761F">
        <w:rPr>
          <w:rFonts w:ascii="Times New Roman" w:hAnsi="Times New Roman" w:cs="Times New Roman"/>
        </w:rPr>
        <w:t>416. usnesení Senátu z 23. schůze, konané dne 27. dubna 2016</w:t>
      </w:r>
    </w:p>
  </w:footnote>
  <w:footnote w:id="266">
    <w:p w:rsidR="00076524" w:rsidRPr="0043288A" w:rsidRDefault="00076524" w:rsidP="0043288A">
      <w:pPr>
        <w:pStyle w:val="Textpoznpodarou"/>
        <w:jc w:val="both"/>
        <w:rPr>
          <w:rFonts w:ascii="Times New Roman" w:hAnsi="Times New Roman" w:cs="Times New Roman"/>
        </w:rPr>
      </w:pPr>
      <w:r w:rsidRPr="0043288A">
        <w:rPr>
          <w:rStyle w:val="Znakapoznpodarou"/>
          <w:rFonts w:ascii="Times New Roman" w:hAnsi="Times New Roman" w:cs="Times New Roman"/>
        </w:rPr>
        <w:footnoteRef/>
      </w:r>
      <w:r w:rsidRPr="0043288A">
        <w:rPr>
          <w:rFonts w:ascii="Times New Roman" w:hAnsi="Times New Roman" w:cs="Times New Roman"/>
        </w:rPr>
        <w:t xml:space="preserve"> </w:t>
      </w:r>
      <w:r>
        <w:rPr>
          <w:rFonts w:ascii="Times New Roman" w:hAnsi="Times New Roman" w:cs="Times New Roman"/>
        </w:rPr>
        <w:t xml:space="preserve">Viz </w:t>
      </w:r>
      <w:r w:rsidRPr="0043288A">
        <w:rPr>
          <w:rFonts w:ascii="Times New Roman" w:hAnsi="Times New Roman" w:cs="Times New Roman"/>
        </w:rPr>
        <w:t xml:space="preserve">Reakce Komise. C (2016) 4828 </w:t>
      </w:r>
      <w:proofErr w:type="spellStart"/>
      <w:r w:rsidRPr="0043288A">
        <w:rPr>
          <w:rFonts w:ascii="Times New Roman" w:hAnsi="Times New Roman" w:cs="Times New Roman"/>
        </w:rPr>
        <w:t>final</w:t>
      </w:r>
      <w:proofErr w:type="spellEnd"/>
      <w:r w:rsidRPr="0043288A">
        <w:rPr>
          <w:rFonts w:ascii="Times New Roman" w:hAnsi="Times New Roman" w:cs="Times New Roman"/>
        </w:rPr>
        <w:t>, 20. července 2016.</w:t>
      </w:r>
    </w:p>
  </w:footnote>
  <w:footnote w:id="267">
    <w:p w:rsidR="00076524" w:rsidRDefault="00076524" w:rsidP="0043288A">
      <w:pPr>
        <w:pStyle w:val="Textpoznpodarou"/>
        <w:jc w:val="both"/>
      </w:pPr>
      <w:r w:rsidRPr="0043288A">
        <w:rPr>
          <w:rStyle w:val="Znakapoznpodarou"/>
          <w:rFonts w:ascii="Times New Roman" w:hAnsi="Times New Roman" w:cs="Times New Roman"/>
        </w:rPr>
        <w:footnoteRef/>
      </w:r>
      <w:r w:rsidRPr="0043288A">
        <w:rPr>
          <w:rFonts w:ascii="Times New Roman" w:hAnsi="Times New Roman" w:cs="Times New Roman"/>
        </w:rPr>
        <w:t xml:space="preserve"> </w:t>
      </w:r>
      <w:r w:rsidRPr="00E46194">
        <w:rPr>
          <w:rFonts w:ascii="Times New Roman" w:hAnsi="Times New Roman" w:cs="Times New Roman"/>
        </w:rPr>
        <w:t>263. usnesení výboru pro evropské záležitosti ze 49. schůze konané dne 31. března 2016</w:t>
      </w:r>
    </w:p>
  </w:footnote>
  <w:footnote w:id="268">
    <w:p w:rsidR="00076524" w:rsidRPr="00A94300" w:rsidRDefault="00076524" w:rsidP="0030356B">
      <w:pPr>
        <w:pStyle w:val="Textpoznpodarou"/>
        <w:jc w:val="both"/>
        <w:rPr>
          <w:rFonts w:ascii="Times New Roman" w:hAnsi="Times New Roman" w:cs="Times New Roman"/>
        </w:rPr>
      </w:pPr>
      <w:r w:rsidRPr="00A94300">
        <w:rPr>
          <w:rStyle w:val="Znakapoznpodarou"/>
          <w:rFonts w:ascii="Times New Roman" w:hAnsi="Times New Roman" w:cs="Times New Roman"/>
        </w:rPr>
        <w:footnoteRef/>
      </w:r>
      <w:r w:rsidRPr="00A94300">
        <w:rPr>
          <w:rFonts w:ascii="Times New Roman" w:hAnsi="Times New Roman" w:cs="Times New Roman"/>
        </w:rPr>
        <w:t xml:space="preserve"> Srov. diskutovanou pozdní kartu, kterou </w:t>
      </w:r>
      <w:proofErr w:type="spellStart"/>
      <w:r w:rsidRPr="00A94300">
        <w:rPr>
          <w:rFonts w:ascii="Times New Roman" w:hAnsi="Times New Roman" w:cs="Times New Roman"/>
        </w:rPr>
        <w:t>Jančić</w:t>
      </w:r>
      <w:proofErr w:type="spellEnd"/>
      <w:r w:rsidRPr="00A94300">
        <w:rPr>
          <w:rFonts w:ascii="Times New Roman" w:hAnsi="Times New Roman" w:cs="Times New Roman"/>
        </w:rPr>
        <w:t xml:space="preserve"> v souvislosti s kontrolou zásady subsidiarity přirovnává k politické variantě žaloby k SDEU. JANČIĆ, </w:t>
      </w:r>
      <w:proofErr w:type="spellStart"/>
      <w:r w:rsidRPr="00A94300">
        <w:rPr>
          <w:rFonts w:ascii="Times New Roman" w:hAnsi="Times New Roman" w:cs="Times New Roman"/>
        </w:rPr>
        <w:t>Davor</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The</w:t>
      </w:r>
      <w:proofErr w:type="spellEnd"/>
      <w:r w:rsidRPr="00A94300">
        <w:rPr>
          <w:rFonts w:ascii="Times New Roman" w:hAnsi="Times New Roman" w:cs="Times New Roman"/>
        </w:rPr>
        <w:t xml:space="preserve"> Game </w:t>
      </w:r>
      <w:proofErr w:type="spellStart"/>
      <w:r w:rsidRPr="00A94300">
        <w:rPr>
          <w:rFonts w:ascii="Times New Roman" w:hAnsi="Times New Roman" w:cs="Times New Roman"/>
        </w:rPr>
        <w:t>of</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Cards</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National</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Parliaments</w:t>
      </w:r>
      <w:proofErr w:type="spellEnd"/>
      <w:r w:rsidRPr="00A94300">
        <w:rPr>
          <w:rFonts w:ascii="Times New Roman" w:hAnsi="Times New Roman" w:cs="Times New Roman"/>
        </w:rPr>
        <w:t xml:space="preserve"> in </w:t>
      </w:r>
      <w:proofErr w:type="spellStart"/>
      <w:r w:rsidRPr="00A94300">
        <w:rPr>
          <w:rFonts w:ascii="Times New Roman" w:hAnsi="Times New Roman" w:cs="Times New Roman"/>
        </w:rPr>
        <w:t>the</w:t>
      </w:r>
      <w:proofErr w:type="spellEnd"/>
      <w:r w:rsidRPr="00A94300">
        <w:rPr>
          <w:rFonts w:ascii="Times New Roman" w:hAnsi="Times New Roman" w:cs="Times New Roman"/>
        </w:rPr>
        <w:t xml:space="preserve"> EU and </w:t>
      </w:r>
      <w:proofErr w:type="spellStart"/>
      <w:r w:rsidRPr="00A94300">
        <w:rPr>
          <w:rFonts w:ascii="Times New Roman" w:hAnsi="Times New Roman" w:cs="Times New Roman"/>
        </w:rPr>
        <w:t>the</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Future</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of</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the</w:t>
      </w:r>
      <w:proofErr w:type="spellEnd"/>
      <w:r w:rsidRPr="00A94300">
        <w:rPr>
          <w:rFonts w:ascii="Times New Roman" w:hAnsi="Times New Roman" w:cs="Times New Roman"/>
        </w:rPr>
        <w:t xml:space="preserve"> Early </w:t>
      </w:r>
      <w:proofErr w:type="spellStart"/>
      <w:r w:rsidRPr="00A94300">
        <w:rPr>
          <w:rFonts w:ascii="Times New Roman" w:hAnsi="Times New Roman" w:cs="Times New Roman"/>
        </w:rPr>
        <w:t>Warning</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Mechanism</w:t>
      </w:r>
      <w:proofErr w:type="spellEnd"/>
      <w:r w:rsidRPr="00A94300">
        <w:rPr>
          <w:rFonts w:ascii="Times New Roman" w:hAnsi="Times New Roman" w:cs="Times New Roman"/>
        </w:rPr>
        <w:t xml:space="preserve"> and </w:t>
      </w:r>
      <w:proofErr w:type="spellStart"/>
      <w:r w:rsidRPr="00A94300">
        <w:rPr>
          <w:rFonts w:ascii="Times New Roman" w:hAnsi="Times New Roman" w:cs="Times New Roman"/>
        </w:rPr>
        <w:t>the</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Political</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rPr>
        <w:t>Dialogue</w:t>
      </w:r>
      <w:proofErr w:type="spellEnd"/>
      <w:r w:rsidRPr="00A94300">
        <w:rPr>
          <w:rFonts w:ascii="Times New Roman" w:hAnsi="Times New Roman" w:cs="Times New Roman"/>
        </w:rPr>
        <w:t xml:space="preserve">. </w:t>
      </w:r>
      <w:proofErr w:type="spellStart"/>
      <w:r w:rsidRPr="00A94300">
        <w:rPr>
          <w:rFonts w:ascii="Times New Roman" w:hAnsi="Times New Roman" w:cs="Times New Roman"/>
          <w:i/>
        </w:rPr>
        <w:t>Common</w:t>
      </w:r>
      <w:proofErr w:type="spellEnd"/>
      <w:r w:rsidRPr="00A94300">
        <w:rPr>
          <w:rFonts w:ascii="Times New Roman" w:hAnsi="Times New Roman" w:cs="Times New Roman"/>
          <w:i/>
        </w:rPr>
        <w:t xml:space="preserve"> Market </w:t>
      </w:r>
      <w:proofErr w:type="spellStart"/>
      <w:r w:rsidRPr="00A94300">
        <w:rPr>
          <w:rFonts w:ascii="Times New Roman" w:hAnsi="Times New Roman" w:cs="Times New Roman"/>
          <w:i/>
        </w:rPr>
        <w:t>Law</w:t>
      </w:r>
      <w:proofErr w:type="spellEnd"/>
      <w:r w:rsidRPr="00A94300">
        <w:rPr>
          <w:rFonts w:ascii="Times New Roman" w:hAnsi="Times New Roman" w:cs="Times New Roman"/>
          <w:i/>
        </w:rPr>
        <w:t xml:space="preserve"> </w:t>
      </w:r>
      <w:proofErr w:type="spellStart"/>
      <w:r w:rsidRPr="00A94300">
        <w:rPr>
          <w:rFonts w:ascii="Times New Roman" w:hAnsi="Times New Roman" w:cs="Times New Roman"/>
          <w:i/>
        </w:rPr>
        <w:t>Review</w:t>
      </w:r>
      <w:proofErr w:type="spellEnd"/>
      <w:r w:rsidRPr="00A94300">
        <w:rPr>
          <w:rFonts w:ascii="Times New Roman" w:hAnsi="Times New Roman" w:cs="Times New Roman"/>
          <w:i/>
        </w:rPr>
        <w:t xml:space="preserve">, </w:t>
      </w:r>
      <w:r w:rsidRPr="00A94300">
        <w:rPr>
          <w:rFonts w:ascii="Times New Roman" w:hAnsi="Times New Roman" w:cs="Times New Roman"/>
        </w:rPr>
        <w:t>2015, vol. 52, no. 4, s. 964-965. V </w:t>
      </w:r>
      <w:proofErr w:type="spellStart"/>
      <w:r w:rsidRPr="00A94300">
        <w:rPr>
          <w:rFonts w:ascii="Times New Roman" w:hAnsi="Times New Roman" w:cs="Times New Roman"/>
        </w:rPr>
        <w:t>Jančićově</w:t>
      </w:r>
      <w:proofErr w:type="spellEnd"/>
      <w:r w:rsidRPr="00A94300">
        <w:rPr>
          <w:rFonts w:ascii="Times New Roman" w:hAnsi="Times New Roman" w:cs="Times New Roman"/>
        </w:rPr>
        <w:t xml:space="preserve"> článku viz také poznámky k rovněž diskutované zelené kartě, kterou se v této práci blíže nezabýváme, jelikož jde spíše o posílení politického dialogu. Tamtéž, s. 965-967.</w:t>
      </w:r>
    </w:p>
  </w:footnote>
  <w:footnote w:id="269">
    <w:p w:rsidR="00076524" w:rsidRPr="00A94300" w:rsidRDefault="00076524" w:rsidP="0030356B">
      <w:pPr>
        <w:pStyle w:val="Textpoznpodarou"/>
        <w:jc w:val="both"/>
        <w:rPr>
          <w:rFonts w:ascii="Times New Roman" w:hAnsi="Times New Roman" w:cs="Times New Roman"/>
        </w:rPr>
      </w:pPr>
      <w:r w:rsidRPr="00A94300">
        <w:rPr>
          <w:rStyle w:val="Znakapoznpodarou"/>
          <w:rFonts w:ascii="Times New Roman" w:hAnsi="Times New Roman" w:cs="Times New Roman"/>
        </w:rPr>
        <w:footnoteRef/>
      </w:r>
      <w:r w:rsidRPr="00A94300">
        <w:rPr>
          <w:rFonts w:ascii="Times New Roman" w:hAnsi="Times New Roman" w:cs="Times New Roman"/>
        </w:rPr>
        <w:t xml:space="preserve"> K návrhům de lege </w:t>
      </w:r>
      <w:proofErr w:type="spellStart"/>
      <w:r w:rsidRPr="00A94300">
        <w:rPr>
          <w:rFonts w:ascii="Times New Roman" w:hAnsi="Times New Roman" w:cs="Times New Roman"/>
        </w:rPr>
        <w:t>ferenda</w:t>
      </w:r>
      <w:proofErr w:type="spellEnd"/>
      <w:r w:rsidRPr="00A94300">
        <w:rPr>
          <w:rFonts w:ascii="Times New Roman" w:hAnsi="Times New Roman" w:cs="Times New Roman"/>
        </w:rPr>
        <w:t xml:space="preserve"> celkově viz a srov. např. SVOBODOVÁ: </w:t>
      </w:r>
      <w:r w:rsidRPr="00A94300">
        <w:rPr>
          <w:rFonts w:ascii="Times New Roman" w:hAnsi="Times New Roman" w:cs="Times New Roman"/>
          <w:i/>
        </w:rPr>
        <w:t>K úloze…</w:t>
      </w:r>
      <w:r w:rsidRPr="00A94300">
        <w:rPr>
          <w:rFonts w:ascii="Times New Roman" w:hAnsi="Times New Roman" w:cs="Times New Roman"/>
        </w:rPr>
        <w:t>, s. 19.</w:t>
      </w:r>
    </w:p>
  </w:footnote>
  <w:footnote w:id="270">
    <w:p w:rsidR="00076524" w:rsidRDefault="00076524">
      <w:pPr>
        <w:pStyle w:val="Textpoznpodarou"/>
      </w:pPr>
      <w:r w:rsidRPr="00A94300">
        <w:rPr>
          <w:rStyle w:val="Znakapoznpodarou"/>
          <w:rFonts w:ascii="Times New Roman" w:hAnsi="Times New Roman" w:cs="Times New Roman"/>
        </w:rPr>
        <w:footnoteRef/>
      </w:r>
      <w:r w:rsidRPr="00A94300">
        <w:rPr>
          <w:rFonts w:ascii="Times New Roman" w:hAnsi="Times New Roman" w:cs="Times New Roman"/>
        </w:rPr>
        <w:t xml:space="preserve"> Viz</w:t>
      </w:r>
      <w:r>
        <w:rPr>
          <w:rFonts w:ascii="Times New Roman" w:hAnsi="Times New Roman" w:cs="Times New Roman"/>
        </w:rPr>
        <w:t xml:space="preserve"> Bílá kniha o budoucnosti Evropy. </w:t>
      </w:r>
      <w:proofErr w:type="gramStart"/>
      <w:r>
        <w:rPr>
          <w:rFonts w:ascii="Times New Roman" w:hAnsi="Times New Roman" w:cs="Times New Roman"/>
        </w:rPr>
        <w:t>COM(</w:t>
      </w:r>
      <w:proofErr w:type="gramEnd"/>
      <w:r>
        <w:rPr>
          <w:rFonts w:ascii="Times New Roman" w:hAnsi="Times New Roman" w:cs="Times New Roman"/>
        </w:rPr>
        <w:t xml:space="preserve">2017)2025, </w:t>
      </w:r>
      <w:r w:rsidRPr="00637C0B">
        <w:rPr>
          <w:rFonts w:ascii="Times New Roman" w:hAnsi="Times New Roman" w:cs="Times New Roman"/>
        </w:rPr>
        <w:t>1. března 2017</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FD6"/>
    <w:multiLevelType w:val="multilevel"/>
    <w:tmpl w:val="49B035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0B107F"/>
    <w:multiLevelType w:val="multilevel"/>
    <w:tmpl w:val="F8A0B4BC"/>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27309E7"/>
    <w:multiLevelType w:val="hybridMultilevel"/>
    <w:tmpl w:val="4998E270"/>
    <w:lvl w:ilvl="0" w:tplc="B4E685CC">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77357C3F"/>
    <w:multiLevelType w:val="hybridMultilevel"/>
    <w:tmpl w:val="91281BF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7853573B"/>
    <w:multiLevelType w:val="hybridMultilevel"/>
    <w:tmpl w:val="5C72E7CC"/>
    <w:lvl w:ilvl="0" w:tplc="F570641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99"/>
    <w:rsid w:val="000002B6"/>
    <w:rsid w:val="000003A8"/>
    <w:rsid w:val="000005D8"/>
    <w:rsid w:val="000007E5"/>
    <w:rsid w:val="00000EF6"/>
    <w:rsid w:val="00000F91"/>
    <w:rsid w:val="000010AE"/>
    <w:rsid w:val="00001282"/>
    <w:rsid w:val="00001346"/>
    <w:rsid w:val="0000145C"/>
    <w:rsid w:val="00002029"/>
    <w:rsid w:val="00002215"/>
    <w:rsid w:val="000024C1"/>
    <w:rsid w:val="00002D80"/>
    <w:rsid w:val="00003385"/>
    <w:rsid w:val="00003EE8"/>
    <w:rsid w:val="00003F38"/>
    <w:rsid w:val="000051C8"/>
    <w:rsid w:val="00005E90"/>
    <w:rsid w:val="00005EFE"/>
    <w:rsid w:val="00006726"/>
    <w:rsid w:val="000075E4"/>
    <w:rsid w:val="00007748"/>
    <w:rsid w:val="00007DC8"/>
    <w:rsid w:val="0001044A"/>
    <w:rsid w:val="00010C8A"/>
    <w:rsid w:val="00011240"/>
    <w:rsid w:val="00011E92"/>
    <w:rsid w:val="00011F45"/>
    <w:rsid w:val="00012132"/>
    <w:rsid w:val="000133F4"/>
    <w:rsid w:val="00013FF0"/>
    <w:rsid w:val="0001457A"/>
    <w:rsid w:val="00014A2D"/>
    <w:rsid w:val="00014B4B"/>
    <w:rsid w:val="000154A9"/>
    <w:rsid w:val="00015B25"/>
    <w:rsid w:val="00015D6B"/>
    <w:rsid w:val="0001646E"/>
    <w:rsid w:val="00016824"/>
    <w:rsid w:val="00016CAB"/>
    <w:rsid w:val="0001711A"/>
    <w:rsid w:val="0001718B"/>
    <w:rsid w:val="00017223"/>
    <w:rsid w:val="00017F46"/>
    <w:rsid w:val="00020204"/>
    <w:rsid w:val="00021083"/>
    <w:rsid w:val="000210E8"/>
    <w:rsid w:val="00023539"/>
    <w:rsid w:val="00024A13"/>
    <w:rsid w:val="00024CA9"/>
    <w:rsid w:val="00025B00"/>
    <w:rsid w:val="00025EE5"/>
    <w:rsid w:val="000260E3"/>
    <w:rsid w:val="00026660"/>
    <w:rsid w:val="00026799"/>
    <w:rsid w:val="00027792"/>
    <w:rsid w:val="00027F25"/>
    <w:rsid w:val="000309C5"/>
    <w:rsid w:val="000317FC"/>
    <w:rsid w:val="00031A0F"/>
    <w:rsid w:val="00032375"/>
    <w:rsid w:val="0003298F"/>
    <w:rsid w:val="000329B3"/>
    <w:rsid w:val="0003320A"/>
    <w:rsid w:val="0003389F"/>
    <w:rsid w:val="00033D5D"/>
    <w:rsid w:val="000349E2"/>
    <w:rsid w:val="00035F42"/>
    <w:rsid w:val="000363AB"/>
    <w:rsid w:val="00040AFC"/>
    <w:rsid w:val="000411C2"/>
    <w:rsid w:val="00041EF1"/>
    <w:rsid w:val="00042265"/>
    <w:rsid w:val="00042BEE"/>
    <w:rsid w:val="000437F1"/>
    <w:rsid w:val="000438AC"/>
    <w:rsid w:val="0004450E"/>
    <w:rsid w:val="000449FB"/>
    <w:rsid w:val="00044F72"/>
    <w:rsid w:val="0004534C"/>
    <w:rsid w:val="00045826"/>
    <w:rsid w:val="00046801"/>
    <w:rsid w:val="0004706F"/>
    <w:rsid w:val="00047F7B"/>
    <w:rsid w:val="00050235"/>
    <w:rsid w:val="0005042A"/>
    <w:rsid w:val="00050C4F"/>
    <w:rsid w:val="00051686"/>
    <w:rsid w:val="00051AD3"/>
    <w:rsid w:val="00051DCF"/>
    <w:rsid w:val="000521A1"/>
    <w:rsid w:val="000526A2"/>
    <w:rsid w:val="00052864"/>
    <w:rsid w:val="000528DF"/>
    <w:rsid w:val="00052D76"/>
    <w:rsid w:val="00052F84"/>
    <w:rsid w:val="00053099"/>
    <w:rsid w:val="00053123"/>
    <w:rsid w:val="0005473D"/>
    <w:rsid w:val="00054C2E"/>
    <w:rsid w:val="00054F0B"/>
    <w:rsid w:val="00055F26"/>
    <w:rsid w:val="00056064"/>
    <w:rsid w:val="0005622D"/>
    <w:rsid w:val="00056A41"/>
    <w:rsid w:val="00056B8A"/>
    <w:rsid w:val="00057057"/>
    <w:rsid w:val="0005714D"/>
    <w:rsid w:val="00057695"/>
    <w:rsid w:val="00060907"/>
    <w:rsid w:val="00061318"/>
    <w:rsid w:val="00061727"/>
    <w:rsid w:val="00062267"/>
    <w:rsid w:val="000627B8"/>
    <w:rsid w:val="000628FC"/>
    <w:rsid w:val="0006304C"/>
    <w:rsid w:val="00063A22"/>
    <w:rsid w:val="000643D1"/>
    <w:rsid w:val="00064675"/>
    <w:rsid w:val="00064AAD"/>
    <w:rsid w:val="0006565D"/>
    <w:rsid w:val="00067387"/>
    <w:rsid w:val="000677EF"/>
    <w:rsid w:val="000705EE"/>
    <w:rsid w:val="000706BB"/>
    <w:rsid w:val="00070794"/>
    <w:rsid w:val="000707FA"/>
    <w:rsid w:val="00070FE6"/>
    <w:rsid w:val="00071434"/>
    <w:rsid w:val="00071915"/>
    <w:rsid w:val="00071FEC"/>
    <w:rsid w:val="0007204D"/>
    <w:rsid w:val="00072353"/>
    <w:rsid w:val="00072634"/>
    <w:rsid w:val="00072778"/>
    <w:rsid w:val="00072CB7"/>
    <w:rsid w:val="0007360B"/>
    <w:rsid w:val="0007388E"/>
    <w:rsid w:val="00073FFF"/>
    <w:rsid w:val="00074023"/>
    <w:rsid w:val="00074EAB"/>
    <w:rsid w:val="000757C8"/>
    <w:rsid w:val="00075DA4"/>
    <w:rsid w:val="00075E5B"/>
    <w:rsid w:val="00076492"/>
    <w:rsid w:val="00076524"/>
    <w:rsid w:val="00076F51"/>
    <w:rsid w:val="00077071"/>
    <w:rsid w:val="000773CD"/>
    <w:rsid w:val="000811BD"/>
    <w:rsid w:val="0008137A"/>
    <w:rsid w:val="000817EB"/>
    <w:rsid w:val="000822CB"/>
    <w:rsid w:val="00082EAC"/>
    <w:rsid w:val="00083942"/>
    <w:rsid w:val="00083A33"/>
    <w:rsid w:val="0008416B"/>
    <w:rsid w:val="0008431F"/>
    <w:rsid w:val="0008453A"/>
    <w:rsid w:val="0008468A"/>
    <w:rsid w:val="00084707"/>
    <w:rsid w:val="00084BDF"/>
    <w:rsid w:val="00084E2B"/>
    <w:rsid w:val="00084E95"/>
    <w:rsid w:val="00085678"/>
    <w:rsid w:val="000859F2"/>
    <w:rsid w:val="00085D72"/>
    <w:rsid w:val="000866BC"/>
    <w:rsid w:val="00086D89"/>
    <w:rsid w:val="00086E90"/>
    <w:rsid w:val="0008707C"/>
    <w:rsid w:val="000900F7"/>
    <w:rsid w:val="00090D98"/>
    <w:rsid w:val="00091698"/>
    <w:rsid w:val="00092D87"/>
    <w:rsid w:val="00093099"/>
    <w:rsid w:val="000933B9"/>
    <w:rsid w:val="00093567"/>
    <w:rsid w:val="00094FF9"/>
    <w:rsid w:val="00095476"/>
    <w:rsid w:val="000955B7"/>
    <w:rsid w:val="00095844"/>
    <w:rsid w:val="00095FA7"/>
    <w:rsid w:val="0009672E"/>
    <w:rsid w:val="00096CEA"/>
    <w:rsid w:val="00097262"/>
    <w:rsid w:val="00097EEE"/>
    <w:rsid w:val="00097F90"/>
    <w:rsid w:val="000A0D1E"/>
    <w:rsid w:val="000A0DE2"/>
    <w:rsid w:val="000A0E53"/>
    <w:rsid w:val="000A22A5"/>
    <w:rsid w:val="000A26C1"/>
    <w:rsid w:val="000A27B3"/>
    <w:rsid w:val="000A34D2"/>
    <w:rsid w:val="000A4292"/>
    <w:rsid w:val="000A4883"/>
    <w:rsid w:val="000A5327"/>
    <w:rsid w:val="000A5B8B"/>
    <w:rsid w:val="000A5ED9"/>
    <w:rsid w:val="000A7A74"/>
    <w:rsid w:val="000B077F"/>
    <w:rsid w:val="000B087E"/>
    <w:rsid w:val="000B08E8"/>
    <w:rsid w:val="000B0B3E"/>
    <w:rsid w:val="000B2163"/>
    <w:rsid w:val="000B2530"/>
    <w:rsid w:val="000B31F7"/>
    <w:rsid w:val="000B36E6"/>
    <w:rsid w:val="000B4176"/>
    <w:rsid w:val="000B5342"/>
    <w:rsid w:val="000B5736"/>
    <w:rsid w:val="000B57EC"/>
    <w:rsid w:val="000B5B89"/>
    <w:rsid w:val="000B5C31"/>
    <w:rsid w:val="000B66C7"/>
    <w:rsid w:val="000B69D0"/>
    <w:rsid w:val="000B6F70"/>
    <w:rsid w:val="000B6F98"/>
    <w:rsid w:val="000B70A3"/>
    <w:rsid w:val="000B7752"/>
    <w:rsid w:val="000B7B99"/>
    <w:rsid w:val="000C0891"/>
    <w:rsid w:val="000C08B6"/>
    <w:rsid w:val="000C0DB3"/>
    <w:rsid w:val="000C0DD7"/>
    <w:rsid w:val="000C161F"/>
    <w:rsid w:val="000C1899"/>
    <w:rsid w:val="000C21A2"/>
    <w:rsid w:val="000C27CC"/>
    <w:rsid w:val="000C2912"/>
    <w:rsid w:val="000C2C47"/>
    <w:rsid w:val="000C2C7D"/>
    <w:rsid w:val="000C2EAF"/>
    <w:rsid w:val="000C2F54"/>
    <w:rsid w:val="000C3566"/>
    <w:rsid w:val="000C3EE3"/>
    <w:rsid w:val="000C4602"/>
    <w:rsid w:val="000C4752"/>
    <w:rsid w:val="000C4AFC"/>
    <w:rsid w:val="000C523F"/>
    <w:rsid w:val="000C5432"/>
    <w:rsid w:val="000C5723"/>
    <w:rsid w:val="000C5780"/>
    <w:rsid w:val="000C5BCF"/>
    <w:rsid w:val="000C62FC"/>
    <w:rsid w:val="000C6BCC"/>
    <w:rsid w:val="000C7786"/>
    <w:rsid w:val="000C7B57"/>
    <w:rsid w:val="000D007F"/>
    <w:rsid w:val="000D05A8"/>
    <w:rsid w:val="000D0D4C"/>
    <w:rsid w:val="000D1FAB"/>
    <w:rsid w:val="000D218E"/>
    <w:rsid w:val="000D2B69"/>
    <w:rsid w:val="000D2D1A"/>
    <w:rsid w:val="000D2D41"/>
    <w:rsid w:val="000D3645"/>
    <w:rsid w:val="000D380F"/>
    <w:rsid w:val="000D3F6C"/>
    <w:rsid w:val="000D5BAE"/>
    <w:rsid w:val="000D5D09"/>
    <w:rsid w:val="000D5F1A"/>
    <w:rsid w:val="000D62A5"/>
    <w:rsid w:val="000D7287"/>
    <w:rsid w:val="000D762F"/>
    <w:rsid w:val="000D79A3"/>
    <w:rsid w:val="000E01A0"/>
    <w:rsid w:val="000E04CE"/>
    <w:rsid w:val="000E07D7"/>
    <w:rsid w:val="000E0CBD"/>
    <w:rsid w:val="000E14F3"/>
    <w:rsid w:val="000E161D"/>
    <w:rsid w:val="000E1B54"/>
    <w:rsid w:val="000E21C1"/>
    <w:rsid w:val="000E295F"/>
    <w:rsid w:val="000E3D67"/>
    <w:rsid w:val="000E45C3"/>
    <w:rsid w:val="000E48EC"/>
    <w:rsid w:val="000E4983"/>
    <w:rsid w:val="000E5E6B"/>
    <w:rsid w:val="000E6A68"/>
    <w:rsid w:val="000E6B5E"/>
    <w:rsid w:val="000E6CB3"/>
    <w:rsid w:val="000E73C0"/>
    <w:rsid w:val="000E7A82"/>
    <w:rsid w:val="000E7CDE"/>
    <w:rsid w:val="000E7CF2"/>
    <w:rsid w:val="000F0393"/>
    <w:rsid w:val="000F07FE"/>
    <w:rsid w:val="000F0F66"/>
    <w:rsid w:val="000F12A2"/>
    <w:rsid w:val="000F1645"/>
    <w:rsid w:val="000F20A4"/>
    <w:rsid w:val="000F20E7"/>
    <w:rsid w:val="000F25D7"/>
    <w:rsid w:val="000F3BEF"/>
    <w:rsid w:val="000F4658"/>
    <w:rsid w:val="000F4A7B"/>
    <w:rsid w:val="000F4D68"/>
    <w:rsid w:val="000F56C7"/>
    <w:rsid w:val="000F61CC"/>
    <w:rsid w:val="000F67E3"/>
    <w:rsid w:val="000F70C4"/>
    <w:rsid w:val="000F742B"/>
    <w:rsid w:val="000F7AE9"/>
    <w:rsid w:val="00100898"/>
    <w:rsid w:val="00100D49"/>
    <w:rsid w:val="00100DC3"/>
    <w:rsid w:val="001016EC"/>
    <w:rsid w:val="00101997"/>
    <w:rsid w:val="00102370"/>
    <w:rsid w:val="00102834"/>
    <w:rsid w:val="00102999"/>
    <w:rsid w:val="001036E9"/>
    <w:rsid w:val="00103816"/>
    <w:rsid w:val="001038B9"/>
    <w:rsid w:val="00104BB3"/>
    <w:rsid w:val="00104F0A"/>
    <w:rsid w:val="0010551D"/>
    <w:rsid w:val="0010595E"/>
    <w:rsid w:val="00106039"/>
    <w:rsid w:val="0010606D"/>
    <w:rsid w:val="00106A78"/>
    <w:rsid w:val="00106A9C"/>
    <w:rsid w:val="00107179"/>
    <w:rsid w:val="00107542"/>
    <w:rsid w:val="001111CD"/>
    <w:rsid w:val="00111316"/>
    <w:rsid w:val="00111B7F"/>
    <w:rsid w:val="00111FA3"/>
    <w:rsid w:val="00112664"/>
    <w:rsid w:val="0011289F"/>
    <w:rsid w:val="00112F0E"/>
    <w:rsid w:val="00113214"/>
    <w:rsid w:val="00113957"/>
    <w:rsid w:val="00115069"/>
    <w:rsid w:val="001156BC"/>
    <w:rsid w:val="00115B27"/>
    <w:rsid w:val="0011666D"/>
    <w:rsid w:val="00116DBA"/>
    <w:rsid w:val="00116DD6"/>
    <w:rsid w:val="00117212"/>
    <w:rsid w:val="001177B6"/>
    <w:rsid w:val="00117DDC"/>
    <w:rsid w:val="00120F45"/>
    <w:rsid w:val="0012111E"/>
    <w:rsid w:val="00121759"/>
    <w:rsid w:val="0012261D"/>
    <w:rsid w:val="00122EA6"/>
    <w:rsid w:val="001237C3"/>
    <w:rsid w:val="00123BE8"/>
    <w:rsid w:val="001250F4"/>
    <w:rsid w:val="00125800"/>
    <w:rsid w:val="001261B4"/>
    <w:rsid w:val="001267CE"/>
    <w:rsid w:val="0012799E"/>
    <w:rsid w:val="00127B34"/>
    <w:rsid w:val="00127FFD"/>
    <w:rsid w:val="0013016C"/>
    <w:rsid w:val="00130201"/>
    <w:rsid w:val="0013046E"/>
    <w:rsid w:val="0013090A"/>
    <w:rsid w:val="00130FB8"/>
    <w:rsid w:val="00131E02"/>
    <w:rsid w:val="00132557"/>
    <w:rsid w:val="001326CF"/>
    <w:rsid w:val="00132888"/>
    <w:rsid w:val="001329A1"/>
    <w:rsid w:val="00132A31"/>
    <w:rsid w:val="00132AA5"/>
    <w:rsid w:val="0013301C"/>
    <w:rsid w:val="0013309E"/>
    <w:rsid w:val="001336F2"/>
    <w:rsid w:val="0013387A"/>
    <w:rsid w:val="00133B57"/>
    <w:rsid w:val="00134106"/>
    <w:rsid w:val="0013437E"/>
    <w:rsid w:val="00134428"/>
    <w:rsid w:val="001347D4"/>
    <w:rsid w:val="00134EB6"/>
    <w:rsid w:val="00134FF0"/>
    <w:rsid w:val="0013569C"/>
    <w:rsid w:val="00136186"/>
    <w:rsid w:val="00141963"/>
    <w:rsid w:val="00141BCE"/>
    <w:rsid w:val="001427F1"/>
    <w:rsid w:val="00142EF0"/>
    <w:rsid w:val="00143482"/>
    <w:rsid w:val="001437DA"/>
    <w:rsid w:val="00143868"/>
    <w:rsid w:val="00143903"/>
    <w:rsid w:val="0014583B"/>
    <w:rsid w:val="001460AA"/>
    <w:rsid w:val="00146B1B"/>
    <w:rsid w:val="00147A95"/>
    <w:rsid w:val="00147F19"/>
    <w:rsid w:val="001508A6"/>
    <w:rsid w:val="00150B60"/>
    <w:rsid w:val="00150DFE"/>
    <w:rsid w:val="001512F0"/>
    <w:rsid w:val="0015186F"/>
    <w:rsid w:val="001538F3"/>
    <w:rsid w:val="00153D85"/>
    <w:rsid w:val="001546B3"/>
    <w:rsid w:val="0015497C"/>
    <w:rsid w:val="00155D2D"/>
    <w:rsid w:val="0015612C"/>
    <w:rsid w:val="00156133"/>
    <w:rsid w:val="00156503"/>
    <w:rsid w:val="0015707D"/>
    <w:rsid w:val="001575D0"/>
    <w:rsid w:val="001578B9"/>
    <w:rsid w:val="00157923"/>
    <w:rsid w:val="00157C43"/>
    <w:rsid w:val="001602D4"/>
    <w:rsid w:val="00160E30"/>
    <w:rsid w:val="00161E9A"/>
    <w:rsid w:val="00161ED0"/>
    <w:rsid w:val="00162116"/>
    <w:rsid w:val="001625F2"/>
    <w:rsid w:val="00163AC8"/>
    <w:rsid w:val="00164479"/>
    <w:rsid w:val="00164884"/>
    <w:rsid w:val="00164BCF"/>
    <w:rsid w:val="00164D3D"/>
    <w:rsid w:val="00164DAF"/>
    <w:rsid w:val="00164E47"/>
    <w:rsid w:val="00165881"/>
    <w:rsid w:val="00165C9B"/>
    <w:rsid w:val="00166510"/>
    <w:rsid w:val="00166985"/>
    <w:rsid w:val="001669E6"/>
    <w:rsid w:val="001669E8"/>
    <w:rsid w:val="00166A96"/>
    <w:rsid w:val="00166BE0"/>
    <w:rsid w:val="00167261"/>
    <w:rsid w:val="001678FD"/>
    <w:rsid w:val="00167943"/>
    <w:rsid w:val="00167E0E"/>
    <w:rsid w:val="00170048"/>
    <w:rsid w:val="00170DE0"/>
    <w:rsid w:val="0017240A"/>
    <w:rsid w:val="001729F3"/>
    <w:rsid w:val="00172C87"/>
    <w:rsid w:val="00173999"/>
    <w:rsid w:val="00173FBD"/>
    <w:rsid w:val="0017472A"/>
    <w:rsid w:val="00174CEC"/>
    <w:rsid w:val="00175112"/>
    <w:rsid w:val="0017532E"/>
    <w:rsid w:val="00175730"/>
    <w:rsid w:val="00175A75"/>
    <w:rsid w:val="0017645D"/>
    <w:rsid w:val="00177464"/>
    <w:rsid w:val="00180F36"/>
    <w:rsid w:val="001811E4"/>
    <w:rsid w:val="0018174E"/>
    <w:rsid w:val="00181D73"/>
    <w:rsid w:val="00182238"/>
    <w:rsid w:val="00182B32"/>
    <w:rsid w:val="0018311F"/>
    <w:rsid w:val="0018339B"/>
    <w:rsid w:val="001836F7"/>
    <w:rsid w:val="00183BB2"/>
    <w:rsid w:val="00183FEA"/>
    <w:rsid w:val="00184B48"/>
    <w:rsid w:val="00185659"/>
    <w:rsid w:val="00185717"/>
    <w:rsid w:val="00185B0D"/>
    <w:rsid w:val="00185C16"/>
    <w:rsid w:val="001875BA"/>
    <w:rsid w:val="001905B6"/>
    <w:rsid w:val="00191B9E"/>
    <w:rsid w:val="00192A73"/>
    <w:rsid w:val="00193093"/>
    <w:rsid w:val="001937B9"/>
    <w:rsid w:val="0019402A"/>
    <w:rsid w:val="001940AF"/>
    <w:rsid w:val="00194109"/>
    <w:rsid w:val="00195203"/>
    <w:rsid w:val="0019645A"/>
    <w:rsid w:val="00196B92"/>
    <w:rsid w:val="00196EF5"/>
    <w:rsid w:val="00196F16"/>
    <w:rsid w:val="001A0155"/>
    <w:rsid w:val="001A0D5D"/>
    <w:rsid w:val="001A19F1"/>
    <w:rsid w:val="001A2936"/>
    <w:rsid w:val="001A2B80"/>
    <w:rsid w:val="001A2E89"/>
    <w:rsid w:val="001A3491"/>
    <w:rsid w:val="001A3CC3"/>
    <w:rsid w:val="001A491A"/>
    <w:rsid w:val="001A4C39"/>
    <w:rsid w:val="001A55D2"/>
    <w:rsid w:val="001A55F3"/>
    <w:rsid w:val="001A55FD"/>
    <w:rsid w:val="001A5A5D"/>
    <w:rsid w:val="001A6355"/>
    <w:rsid w:val="001A6521"/>
    <w:rsid w:val="001A713F"/>
    <w:rsid w:val="001A7802"/>
    <w:rsid w:val="001B0203"/>
    <w:rsid w:val="001B1857"/>
    <w:rsid w:val="001B1AD1"/>
    <w:rsid w:val="001B2250"/>
    <w:rsid w:val="001B22E2"/>
    <w:rsid w:val="001B29AD"/>
    <w:rsid w:val="001B2AB9"/>
    <w:rsid w:val="001B2BF3"/>
    <w:rsid w:val="001B2D0A"/>
    <w:rsid w:val="001B3DD4"/>
    <w:rsid w:val="001B54F9"/>
    <w:rsid w:val="001B569B"/>
    <w:rsid w:val="001B6219"/>
    <w:rsid w:val="001B630D"/>
    <w:rsid w:val="001B6B3C"/>
    <w:rsid w:val="001B74C7"/>
    <w:rsid w:val="001B798E"/>
    <w:rsid w:val="001B7BE1"/>
    <w:rsid w:val="001B7CCD"/>
    <w:rsid w:val="001C025F"/>
    <w:rsid w:val="001C03B9"/>
    <w:rsid w:val="001C06B2"/>
    <w:rsid w:val="001C0D1B"/>
    <w:rsid w:val="001C1047"/>
    <w:rsid w:val="001C105F"/>
    <w:rsid w:val="001C1C97"/>
    <w:rsid w:val="001C1F8A"/>
    <w:rsid w:val="001C22E5"/>
    <w:rsid w:val="001C2CFE"/>
    <w:rsid w:val="001C2DA1"/>
    <w:rsid w:val="001C307C"/>
    <w:rsid w:val="001C36F8"/>
    <w:rsid w:val="001C3EEB"/>
    <w:rsid w:val="001C4CA0"/>
    <w:rsid w:val="001C4FE1"/>
    <w:rsid w:val="001C54CE"/>
    <w:rsid w:val="001C5A1B"/>
    <w:rsid w:val="001C65B0"/>
    <w:rsid w:val="001C6A88"/>
    <w:rsid w:val="001C6E07"/>
    <w:rsid w:val="001C704A"/>
    <w:rsid w:val="001C7644"/>
    <w:rsid w:val="001C76FE"/>
    <w:rsid w:val="001C78EB"/>
    <w:rsid w:val="001D02D1"/>
    <w:rsid w:val="001D07BB"/>
    <w:rsid w:val="001D14F7"/>
    <w:rsid w:val="001D1558"/>
    <w:rsid w:val="001D1B82"/>
    <w:rsid w:val="001D1FDB"/>
    <w:rsid w:val="001D20CD"/>
    <w:rsid w:val="001D2FD2"/>
    <w:rsid w:val="001D3570"/>
    <w:rsid w:val="001D382F"/>
    <w:rsid w:val="001D3FF7"/>
    <w:rsid w:val="001D4DCD"/>
    <w:rsid w:val="001D4FC1"/>
    <w:rsid w:val="001D5F7D"/>
    <w:rsid w:val="001D6DE9"/>
    <w:rsid w:val="001D72B2"/>
    <w:rsid w:val="001D783A"/>
    <w:rsid w:val="001D78D2"/>
    <w:rsid w:val="001D79CA"/>
    <w:rsid w:val="001E09CC"/>
    <w:rsid w:val="001E132E"/>
    <w:rsid w:val="001E2DD9"/>
    <w:rsid w:val="001E3406"/>
    <w:rsid w:val="001E35F3"/>
    <w:rsid w:val="001E3781"/>
    <w:rsid w:val="001E4165"/>
    <w:rsid w:val="001E41B9"/>
    <w:rsid w:val="001E46EE"/>
    <w:rsid w:val="001E48B8"/>
    <w:rsid w:val="001E4C56"/>
    <w:rsid w:val="001E4C74"/>
    <w:rsid w:val="001E4F41"/>
    <w:rsid w:val="001E565C"/>
    <w:rsid w:val="001E696A"/>
    <w:rsid w:val="001E6CFA"/>
    <w:rsid w:val="001E6DEC"/>
    <w:rsid w:val="001E7246"/>
    <w:rsid w:val="001F03D0"/>
    <w:rsid w:val="001F0648"/>
    <w:rsid w:val="001F0873"/>
    <w:rsid w:val="001F0F36"/>
    <w:rsid w:val="001F12FD"/>
    <w:rsid w:val="001F2C32"/>
    <w:rsid w:val="001F30C5"/>
    <w:rsid w:val="001F34A8"/>
    <w:rsid w:val="001F3B46"/>
    <w:rsid w:val="001F3C38"/>
    <w:rsid w:val="001F3F4F"/>
    <w:rsid w:val="001F45E9"/>
    <w:rsid w:val="001F48D9"/>
    <w:rsid w:val="001F4CB4"/>
    <w:rsid w:val="001F52EB"/>
    <w:rsid w:val="001F6A6E"/>
    <w:rsid w:val="001F7192"/>
    <w:rsid w:val="001F74D0"/>
    <w:rsid w:val="001F75BB"/>
    <w:rsid w:val="001F7B4F"/>
    <w:rsid w:val="001F7B69"/>
    <w:rsid w:val="001F7B84"/>
    <w:rsid w:val="001F7D9E"/>
    <w:rsid w:val="0020081A"/>
    <w:rsid w:val="00200ABE"/>
    <w:rsid w:val="002019E9"/>
    <w:rsid w:val="00201DE2"/>
    <w:rsid w:val="00201E7A"/>
    <w:rsid w:val="0020219D"/>
    <w:rsid w:val="0020268E"/>
    <w:rsid w:val="00202FED"/>
    <w:rsid w:val="002033D4"/>
    <w:rsid w:val="002033DB"/>
    <w:rsid w:val="002035D1"/>
    <w:rsid w:val="00203898"/>
    <w:rsid w:val="00203B0E"/>
    <w:rsid w:val="00204C64"/>
    <w:rsid w:val="00204C7C"/>
    <w:rsid w:val="00206866"/>
    <w:rsid w:val="00207292"/>
    <w:rsid w:val="002079BC"/>
    <w:rsid w:val="002110D6"/>
    <w:rsid w:val="00211F00"/>
    <w:rsid w:val="002121BF"/>
    <w:rsid w:val="00212321"/>
    <w:rsid w:val="00212751"/>
    <w:rsid w:val="00212789"/>
    <w:rsid w:val="00212B66"/>
    <w:rsid w:val="00212BD5"/>
    <w:rsid w:val="00212E24"/>
    <w:rsid w:val="0021398C"/>
    <w:rsid w:val="00213C34"/>
    <w:rsid w:val="00213F6E"/>
    <w:rsid w:val="00214D3A"/>
    <w:rsid w:val="00215034"/>
    <w:rsid w:val="0021581F"/>
    <w:rsid w:val="00215A7E"/>
    <w:rsid w:val="00215DED"/>
    <w:rsid w:val="00216971"/>
    <w:rsid w:val="00216C86"/>
    <w:rsid w:val="00216E52"/>
    <w:rsid w:val="002178AE"/>
    <w:rsid w:val="002209D6"/>
    <w:rsid w:val="00220BB0"/>
    <w:rsid w:val="002212EA"/>
    <w:rsid w:val="00221A7F"/>
    <w:rsid w:val="002229E7"/>
    <w:rsid w:val="00222C49"/>
    <w:rsid w:val="00222E83"/>
    <w:rsid w:val="00223276"/>
    <w:rsid w:val="00223D1E"/>
    <w:rsid w:val="0022435E"/>
    <w:rsid w:val="00224CAF"/>
    <w:rsid w:val="00224D02"/>
    <w:rsid w:val="00224E41"/>
    <w:rsid w:val="00225035"/>
    <w:rsid w:val="002257AF"/>
    <w:rsid w:val="0022588C"/>
    <w:rsid w:val="00225AF0"/>
    <w:rsid w:val="0022601E"/>
    <w:rsid w:val="002261A5"/>
    <w:rsid w:val="0022647C"/>
    <w:rsid w:val="002269CA"/>
    <w:rsid w:val="00226A1B"/>
    <w:rsid w:val="00226BE8"/>
    <w:rsid w:val="00226CA9"/>
    <w:rsid w:val="00226F86"/>
    <w:rsid w:val="00227B9A"/>
    <w:rsid w:val="00227DD8"/>
    <w:rsid w:val="00230D0D"/>
    <w:rsid w:val="00230F9F"/>
    <w:rsid w:val="00231586"/>
    <w:rsid w:val="0023268E"/>
    <w:rsid w:val="002326F8"/>
    <w:rsid w:val="00232981"/>
    <w:rsid w:val="00233904"/>
    <w:rsid w:val="00233B18"/>
    <w:rsid w:val="00234690"/>
    <w:rsid w:val="002351C2"/>
    <w:rsid w:val="0023531E"/>
    <w:rsid w:val="00235472"/>
    <w:rsid w:val="00235899"/>
    <w:rsid w:val="002359F9"/>
    <w:rsid w:val="00236AD8"/>
    <w:rsid w:val="00236E06"/>
    <w:rsid w:val="002379C3"/>
    <w:rsid w:val="00237C2E"/>
    <w:rsid w:val="00240CDE"/>
    <w:rsid w:val="00241713"/>
    <w:rsid w:val="0024251D"/>
    <w:rsid w:val="00242590"/>
    <w:rsid w:val="00242B2E"/>
    <w:rsid w:val="00242E90"/>
    <w:rsid w:val="002443CA"/>
    <w:rsid w:val="00244C48"/>
    <w:rsid w:val="00246AA3"/>
    <w:rsid w:val="00247863"/>
    <w:rsid w:val="002502EE"/>
    <w:rsid w:val="002503BC"/>
    <w:rsid w:val="00251463"/>
    <w:rsid w:val="002514D9"/>
    <w:rsid w:val="002515BF"/>
    <w:rsid w:val="002519E3"/>
    <w:rsid w:val="00251E1C"/>
    <w:rsid w:val="00251E99"/>
    <w:rsid w:val="00251EB1"/>
    <w:rsid w:val="00251ECA"/>
    <w:rsid w:val="00252671"/>
    <w:rsid w:val="00252952"/>
    <w:rsid w:val="00252DF6"/>
    <w:rsid w:val="00252FF8"/>
    <w:rsid w:val="002534B3"/>
    <w:rsid w:val="00253852"/>
    <w:rsid w:val="002540FE"/>
    <w:rsid w:val="002547B4"/>
    <w:rsid w:val="00254A7C"/>
    <w:rsid w:val="002553E8"/>
    <w:rsid w:val="00255794"/>
    <w:rsid w:val="00255A2C"/>
    <w:rsid w:val="00255D21"/>
    <w:rsid w:val="00255DDE"/>
    <w:rsid w:val="002564A5"/>
    <w:rsid w:val="00256D67"/>
    <w:rsid w:val="0025737A"/>
    <w:rsid w:val="00257451"/>
    <w:rsid w:val="002574F2"/>
    <w:rsid w:val="00257BC1"/>
    <w:rsid w:val="00257EFC"/>
    <w:rsid w:val="0026016A"/>
    <w:rsid w:val="002601D6"/>
    <w:rsid w:val="00260747"/>
    <w:rsid w:val="00260A7D"/>
    <w:rsid w:val="002617CF"/>
    <w:rsid w:val="00262C76"/>
    <w:rsid w:val="002641C4"/>
    <w:rsid w:val="00264482"/>
    <w:rsid w:val="00264505"/>
    <w:rsid w:val="00265618"/>
    <w:rsid w:val="00265E57"/>
    <w:rsid w:val="0026659E"/>
    <w:rsid w:val="00267169"/>
    <w:rsid w:val="0026718F"/>
    <w:rsid w:val="002679FB"/>
    <w:rsid w:val="00267B37"/>
    <w:rsid w:val="002702DB"/>
    <w:rsid w:val="002706A3"/>
    <w:rsid w:val="0027084F"/>
    <w:rsid w:val="00270CC2"/>
    <w:rsid w:val="002715A4"/>
    <w:rsid w:val="00271F79"/>
    <w:rsid w:val="00271FED"/>
    <w:rsid w:val="00272E97"/>
    <w:rsid w:val="00273263"/>
    <w:rsid w:val="00273297"/>
    <w:rsid w:val="0027343A"/>
    <w:rsid w:val="00273C63"/>
    <w:rsid w:val="0027417F"/>
    <w:rsid w:val="002741EB"/>
    <w:rsid w:val="00274F70"/>
    <w:rsid w:val="00275068"/>
    <w:rsid w:val="00275A6E"/>
    <w:rsid w:val="00276CD2"/>
    <w:rsid w:val="00276EF4"/>
    <w:rsid w:val="00277154"/>
    <w:rsid w:val="002776F2"/>
    <w:rsid w:val="00277DD4"/>
    <w:rsid w:val="00280511"/>
    <w:rsid w:val="0028125B"/>
    <w:rsid w:val="00281680"/>
    <w:rsid w:val="00281D45"/>
    <w:rsid w:val="00281E34"/>
    <w:rsid w:val="00282173"/>
    <w:rsid w:val="002822D3"/>
    <w:rsid w:val="0028285D"/>
    <w:rsid w:val="00283565"/>
    <w:rsid w:val="00284256"/>
    <w:rsid w:val="002843C3"/>
    <w:rsid w:val="00284604"/>
    <w:rsid w:val="00284C5A"/>
    <w:rsid w:val="00285278"/>
    <w:rsid w:val="00286485"/>
    <w:rsid w:val="0028763F"/>
    <w:rsid w:val="00287B6C"/>
    <w:rsid w:val="00287FC6"/>
    <w:rsid w:val="00290586"/>
    <w:rsid w:val="002908BF"/>
    <w:rsid w:val="00291290"/>
    <w:rsid w:val="00291C1E"/>
    <w:rsid w:val="0029253C"/>
    <w:rsid w:val="00293C9D"/>
    <w:rsid w:val="00294859"/>
    <w:rsid w:val="00294A60"/>
    <w:rsid w:val="00295375"/>
    <w:rsid w:val="00295725"/>
    <w:rsid w:val="00295BA5"/>
    <w:rsid w:val="00295E72"/>
    <w:rsid w:val="00296CD1"/>
    <w:rsid w:val="00297813"/>
    <w:rsid w:val="00297B7C"/>
    <w:rsid w:val="002A0871"/>
    <w:rsid w:val="002A0CCF"/>
    <w:rsid w:val="002A0DAC"/>
    <w:rsid w:val="002A1B32"/>
    <w:rsid w:val="002A215A"/>
    <w:rsid w:val="002A3C6A"/>
    <w:rsid w:val="002A3D3D"/>
    <w:rsid w:val="002A45D7"/>
    <w:rsid w:val="002A481B"/>
    <w:rsid w:val="002A52EC"/>
    <w:rsid w:val="002A5DE0"/>
    <w:rsid w:val="002A5EFA"/>
    <w:rsid w:val="002A6086"/>
    <w:rsid w:val="002A61EE"/>
    <w:rsid w:val="002A63DB"/>
    <w:rsid w:val="002A7082"/>
    <w:rsid w:val="002A7940"/>
    <w:rsid w:val="002A7CAA"/>
    <w:rsid w:val="002B051E"/>
    <w:rsid w:val="002B0627"/>
    <w:rsid w:val="002B062C"/>
    <w:rsid w:val="002B0EF0"/>
    <w:rsid w:val="002B0EFB"/>
    <w:rsid w:val="002B0F3E"/>
    <w:rsid w:val="002B16BF"/>
    <w:rsid w:val="002B16FE"/>
    <w:rsid w:val="002B1715"/>
    <w:rsid w:val="002B1CD7"/>
    <w:rsid w:val="002B2912"/>
    <w:rsid w:val="002B3741"/>
    <w:rsid w:val="002B38A2"/>
    <w:rsid w:val="002B3BE8"/>
    <w:rsid w:val="002B3CBB"/>
    <w:rsid w:val="002B3D5A"/>
    <w:rsid w:val="002B3DFD"/>
    <w:rsid w:val="002B43D9"/>
    <w:rsid w:val="002B5290"/>
    <w:rsid w:val="002B54F1"/>
    <w:rsid w:val="002B57E0"/>
    <w:rsid w:val="002B5A31"/>
    <w:rsid w:val="002B63A2"/>
    <w:rsid w:val="002B6A23"/>
    <w:rsid w:val="002B6A27"/>
    <w:rsid w:val="002B6D45"/>
    <w:rsid w:val="002B7306"/>
    <w:rsid w:val="002B7656"/>
    <w:rsid w:val="002B76DA"/>
    <w:rsid w:val="002C000E"/>
    <w:rsid w:val="002C0C95"/>
    <w:rsid w:val="002C0D8B"/>
    <w:rsid w:val="002C178A"/>
    <w:rsid w:val="002C1F9C"/>
    <w:rsid w:val="002C2E82"/>
    <w:rsid w:val="002C2F78"/>
    <w:rsid w:val="002C3258"/>
    <w:rsid w:val="002C33AF"/>
    <w:rsid w:val="002C35BF"/>
    <w:rsid w:val="002C4391"/>
    <w:rsid w:val="002C451E"/>
    <w:rsid w:val="002C4D09"/>
    <w:rsid w:val="002C53C7"/>
    <w:rsid w:val="002C6384"/>
    <w:rsid w:val="002C63A5"/>
    <w:rsid w:val="002C685B"/>
    <w:rsid w:val="002C6879"/>
    <w:rsid w:val="002C7175"/>
    <w:rsid w:val="002C7E6C"/>
    <w:rsid w:val="002D013A"/>
    <w:rsid w:val="002D0616"/>
    <w:rsid w:val="002D090F"/>
    <w:rsid w:val="002D0F52"/>
    <w:rsid w:val="002D239E"/>
    <w:rsid w:val="002D31DE"/>
    <w:rsid w:val="002D35F2"/>
    <w:rsid w:val="002D3971"/>
    <w:rsid w:val="002D3EE1"/>
    <w:rsid w:val="002D4073"/>
    <w:rsid w:val="002D4154"/>
    <w:rsid w:val="002D55E7"/>
    <w:rsid w:val="002D598D"/>
    <w:rsid w:val="002D5BA4"/>
    <w:rsid w:val="002D5F07"/>
    <w:rsid w:val="002D5FC6"/>
    <w:rsid w:val="002D6559"/>
    <w:rsid w:val="002D65EB"/>
    <w:rsid w:val="002D67EB"/>
    <w:rsid w:val="002D7433"/>
    <w:rsid w:val="002D7595"/>
    <w:rsid w:val="002D79FA"/>
    <w:rsid w:val="002D7A9C"/>
    <w:rsid w:val="002E1C96"/>
    <w:rsid w:val="002E1E1D"/>
    <w:rsid w:val="002E21CF"/>
    <w:rsid w:val="002E2602"/>
    <w:rsid w:val="002E2690"/>
    <w:rsid w:val="002E2F1C"/>
    <w:rsid w:val="002E2F56"/>
    <w:rsid w:val="002E3189"/>
    <w:rsid w:val="002E326E"/>
    <w:rsid w:val="002E33CD"/>
    <w:rsid w:val="002E3AF6"/>
    <w:rsid w:val="002E3BE4"/>
    <w:rsid w:val="002E40C7"/>
    <w:rsid w:val="002E43BF"/>
    <w:rsid w:val="002E4484"/>
    <w:rsid w:val="002E4EB8"/>
    <w:rsid w:val="002E5962"/>
    <w:rsid w:val="002E5E17"/>
    <w:rsid w:val="002E642E"/>
    <w:rsid w:val="002E7462"/>
    <w:rsid w:val="002F029D"/>
    <w:rsid w:val="002F04D9"/>
    <w:rsid w:val="002F04DA"/>
    <w:rsid w:val="002F04EB"/>
    <w:rsid w:val="002F18CD"/>
    <w:rsid w:val="002F2F6C"/>
    <w:rsid w:val="002F32AA"/>
    <w:rsid w:val="002F350E"/>
    <w:rsid w:val="002F3739"/>
    <w:rsid w:val="002F3EA0"/>
    <w:rsid w:val="002F414F"/>
    <w:rsid w:val="002F4F7A"/>
    <w:rsid w:val="002F5224"/>
    <w:rsid w:val="002F5935"/>
    <w:rsid w:val="002F6035"/>
    <w:rsid w:val="002F6614"/>
    <w:rsid w:val="002F664D"/>
    <w:rsid w:val="002F6791"/>
    <w:rsid w:val="002F71AE"/>
    <w:rsid w:val="002F79EF"/>
    <w:rsid w:val="002F7DD1"/>
    <w:rsid w:val="003001CC"/>
    <w:rsid w:val="00300ECE"/>
    <w:rsid w:val="0030175F"/>
    <w:rsid w:val="0030242C"/>
    <w:rsid w:val="0030356B"/>
    <w:rsid w:val="00303F44"/>
    <w:rsid w:val="0030458D"/>
    <w:rsid w:val="003056FD"/>
    <w:rsid w:val="00305A42"/>
    <w:rsid w:val="00305B3D"/>
    <w:rsid w:val="00306A28"/>
    <w:rsid w:val="00306EAD"/>
    <w:rsid w:val="003077C6"/>
    <w:rsid w:val="00307AD3"/>
    <w:rsid w:val="00307C56"/>
    <w:rsid w:val="00307E49"/>
    <w:rsid w:val="00310966"/>
    <w:rsid w:val="003110BF"/>
    <w:rsid w:val="003110D6"/>
    <w:rsid w:val="003113BF"/>
    <w:rsid w:val="00311A30"/>
    <w:rsid w:val="003129C5"/>
    <w:rsid w:val="00312E54"/>
    <w:rsid w:val="003132AE"/>
    <w:rsid w:val="00313C8C"/>
    <w:rsid w:val="00313F2D"/>
    <w:rsid w:val="00314262"/>
    <w:rsid w:val="003142F0"/>
    <w:rsid w:val="00314AEF"/>
    <w:rsid w:val="00314FA9"/>
    <w:rsid w:val="00315701"/>
    <w:rsid w:val="00315832"/>
    <w:rsid w:val="0031598A"/>
    <w:rsid w:val="00315A1E"/>
    <w:rsid w:val="00315A59"/>
    <w:rsid w:val="00315D69"/>
    <w:rsid w:val="00316745"/>
    <w:rsid w:val="00316B0E"/>
    <w:rsid w:val="0031733A"/>
    <w:rsid w:val="0031764D"/>
    <w:rsid w:val="00317DD8"/>
    <w:rsid w:val="003200E2"/>
    <w:rsid w:val="003207A4"/>
    <w:rsid w:val="003211A4"/>
    <w:rsid w:val="00321C48"/>
    <w:rsid w:val="00321D50"/>
    <w:rsid w:val="00323F39"/>
    <w:rsid w:val="0032535E"/>
    <w:rsid w:val="003257C6"/>
    <w:rsid w:val="00331167"/>
    <w:rsid w:val="00332FDE"/>
    <w:rsid w:val="0033310F"/>
    <w:rsid w:val="00334706"/>
    <w:rsid w:val="00334DAD"/>
    <w:rsid w:val="0033738E"/>
    <w:rsid w:val="0033783E"/>
    <w:rsid w:val="00337B83"/>
    <w:rsid w:val="00340BB5"/>
    <w:rsid w:val="00341072"/>
    <w:rsid w:val="003411F0"/>
    <w:rsid w:val="003414DE"/>
    <w:rsid w:val="00341730"/>
    <w:rsid w:val="00341C21"/>
    <w:rsid w:val="0034210C"/>
    <w:rsid w:val="003426A2"/>
    <w:rsid w:val="00342841"/>
    <w:rsid w:val="003433AC"/>
    <w:rsid w:val="00343938"/>
    <w:rsid w:val="003446E7"/>
    <w:rsid w:val="00344AF2"/>
    <w:rsid w:val="00344EE9"/>
    <w:rsid w:val="00345086"/>
    <w:rsid w:val="00345BD6"/>
    <w:rsid w:val="0034609A"/>
    <w:rsid w:val="00346850"/>
    <w:rsid w:val="00347898"/>
    <w:rsid w:val="003478B3"/>
    <w:rsid w:val="00350360"/>
    <w:rsid w:val="00350B85"/>
    <w:rsid w:val="00351622"/>
    <w:rsid w:val="00351E6A"/>
    <w:rsid w:val="0035219F"/>
    <w:rsid w:val="003521B0"/>
    <w:rsid w:val="00352926"/>
    <w:rsid w:val="0035308C"/>
    <w:rsid w:val="00353C2A"/>
    <w:rsid w:val="00353EE6"/>
    <w:rsid w:val="00355236"/>
    <w:rsid w:val="003571D8"/>
    <w:rsid w:val="00357C79"/>
    <w:rsid w:val="00357F26"/>
    <w:rsid w:val="00360FF9"/>
    <w:rsid w:val="0036155B"/>
    <w:rsid w:val="003624E6"/>
    <w:rsid w:val="00362851"/>
    <w:rsid w:val="00362CBD"/>
    <w:rsid w:val="00363767"/>
    <w:rsid w:val="00363A64"/>
    <w:rsid w:val="00364303"/>
    <w:rsid w:val="00364721"/>
    <w:rsid w:val="00364932"/>
    <w:rsid w:val="00366478"/>
    <w:rsid w:val="003664AD"/>
    <w:rsid w:val="00366FB7"/>
    <w:rsid w:val="00367044"/>
    <w:rsid w:val="00367841"/>
    <w:rsid w:val="0036791A"/>
    <w:rsid w:val="00367F2F"/>
    <w:rsid w:val="003704C4"/>
    <w:rsid w:val="00370E60"/>
    <w:rsid w:val="00371A4C"/>
    <w:rsid w:val="003720AA"/>
    <w:rsid w:val="003723D9"/>
    <w:rsid w:val="00372760"/>
    <w:rsid w:val="00373021"/>
    <w:rsid w:val="003738CE"/>
    <w:rsid w:val="00374050"/>
    <w:rsid w:val="0037425B"/>
    <w:rsid w:val="00374571"/>
    <w:rsid w:val="003746E2"/>
    <w:rsid w:val="00374AD0"/>
    <w:rsid w:val="00375040"/>
    <w:rsid w:val="00375601"/>
    <w:rsid w:val="00375CB4"/>
    <w:rsid w:val="00375CE8"/>
    <w:rsid w:val="00376690"/>
    <w:rsid w:val="00376817"/>
    <w:rsid w:val="00376A3E"/>
    <w:rsid w:val="00376B1A"/>
    <w:rsid w:val="00377983"/>
    <w:rsid w:val="0038056C"/>
    <w:rsid w:val="0038088D"/>
    <w:rsid w:val="00380BBA"/>
    <w:rsid w:val="00380D49"/>
    <w:rsid w:val="00381067"/>
    <w:rsid w:val="003814DD"/>
    <w:rsid w:val="003814EF"/>
    <w:rsid w:val="0038159F"/>
    <w:rsid w:val="003819F5"/>
    <w:rsid w:val="00381C33"/>
    <w:rsid w:val="00382119"/>
    <w:rsid w:val="00382518"/>
    <w:rsid w:val="00382DB2"/>
    <w:rsid w:val="00383366"/>
    <w:rsid w:val="0038391D"/>
    <w:rsid w:val="0038394F"/>
    <w:rsid w:val="003844B9"/>
    <w:rsid w:val="00384A2D"/>
    <w:rsid w:val="00386D08"/>
    <w:rsid w:val="003875F0"/>
    <w:rsid w:val="00387EDD"/>
    <w:rsid w:val="00390262"/>
    <w:rsid w:val="0039060C"/>
    <w:rsid w:val="00390E60"/>
    <w:rsid w:val="00391BC7"/>
    <w:rsid w:val="00391FDB"/>
    <w:rsid w:val="00392723"/>
    <w:rsid w:val="00392AC8"/>
    <w:rsid w:val="00392D80"/>
    <w:rsid w:val="003935A2"/>
    <w:rsid w:val="0039382D"/>
    <w:rsid w:val="00394040"/>
    <w:rsid w:val="003943AF"/>
    <w:rsid w:val="003943DB"/>
    <w:rsid w:val="00394CAF"/>
    <w:rsid w:val="003952AF"/>
    <w:rsid w:val="003955A8"/>
    <w:rsid w:val="0039597D"/>
    <w:rsid w:val="00395A9D"/>
    <w:rsid w:val="0039649F"/>
    <w:rsid w:val="003964F6"/>
    <w:rsid w:val="0039687E"/>
    <w:rsid w:val="00396F91"/>
    <w:rsid w:val="00396FAD"/>
    <w:rsid w:val="003974D5"/>
    <w:rsid w:val="003A0811"/>
    <w:rsid w:val="003A0D6C"/>
    <w:rsid w:val="003A0FD7"/>
    <w:rsid w:val="003A0FE1"/>
    <w:rsid w:val="003A1AA9"/>
    <w:rsid w:val="003A1C7D"/>
    <w:rsid w:val="003A1E45"/>
    <w:rsid w:val="003A24C8"/>
    <w:rsid w:val="003A28D4"/>
    <w:rsid w:val="003A2AAE"/>
    <w:rsid w:val="003A3490"/>
    <w:rsid w:val="003A373E"/>
    <w:rsid w:val="003A3C1E"/>
    <w:rsid w:val="003A40F2"/>
    <w:rsid w:val="003A429F"/>
    <w:rsid w:val="003A44DE"/>
    <w:rsid w:val="003A4BBE"/>
    <w:rsid w:val="003A51C9"/>
    <w:rsid w:val="003A5493"/>
    <w:rsid w:val="003A7281"/>
    <w:rsid w:val="003A76CA"/>
    <w:rsid w:val="003B0172"/>
    <w:rsid w:val="003B0D57"/>
    <w:rsid w:val="003B149C"/>
    <w:rsid w:val="003B1550"/>
    <w:rsid w:val="003B183D"/>
    <w:rsid w:val="003B1AE7"/>
    <w:rsid w:val="003B1D4D"/>
    <w:rsid w:val="003B2618"/>
    <w:rsid w:val="003B368D"/>
    <w:rsid w:val="003B36A5"/>
    <w:rsid w:val="003B3809"/>
    <w:rsid w:val="003B3F5B"/>
    <w:rsid w:val="003B421B"/>
    <w:rsid w:val="003B4F9F"/>
    <w:rsid w:val="003B5095"/>
    <w:rsid w:val="003B56FA"/>
    <w:rsid w:val="003B590C"/>
    <w:rsid w:val="003B7027"/>
    <w:rsid w:val="003B7292"/>
    <w:rsid w:val="003B7826"/>
    <w:rsid w:val="003C000E"/>
    <w:rsid w:val="003C037F"/>
    <w:rsid w:val="003C16ED"/>
    <w:rsid w:val="003C16F2"/>
    <w:rsid w:val="003C4725"/>
    <w:rsid w:val="003C4B5E"/>
    <w:rsid w:val="003C4D1E"/>
    <w:rsid w:val="003C52E9"/>
    <w:rsid w:val="003C56E9"/>
    <w:rsid w:val="003C5977"/>
    <w:rsid w:val="003C5BA5"/>
    <w:rsid w:val="003C62D0"/>
    <w:rsid w:val="003C71F1"/>
    <w:rsid w:val="003D00FC"/>
    <w:rsid w:val="003D08C7"/>
    <w:rsid w:val="003D08D4"/>
    <w:rsid w:val="003D10F3"/>
    <w:rsid w:val="003D1182"/>
    <w:rsid w:val="003D11E0"/>
    <w:rsid w:val="003D1ADD"/>
    <w:rsid w:val="003D290B"/>
    <w:rsid w:val="003D2A0D"/>
    <w:rsid w:val="003D2FE0"/>
    <w:rsid w:val="003D311C"/>
    <w:rsid w:val="003D317C"/>
    <w:rsid w:val="003D3912"/>
    <w:rsid w:val="003D3BB2"/>
    <w:rsid w:val="003D49F4"/>
    <w:rsid w:val="003D4C8B"/>
    <w:rsid w:val="003D4F11"/>
    <w:rsid w:val="003D531E"/>
    <w:rsid w:val="003D6419"/>
    <w:rsid w:val="003D662B"/>
    <w:rsid w:val="003D6ACF"/>
    <w:rsid w:val="003D7C39"/>
    <w:rsid w:val="003E0321"/>
    <w:rsid w:val="003E14C8"/>
    <w:rsid w:val="003E1513"/>
    <w:rsid w:val="003E19CE"/>
    <w:rsid w:val="003E298A"/>
    <w:rsid w:val="003E309B"/>
    <w:rsid w:val="003E3ED3"/>
    <w:rsid w:val="003E4582"/>
    <w:rsid w:val="003E4C38"/>
    <w:rsid w:val="003E4C69"/>
    <w:rsid w:val="003E4E90"/>
    <w:rsid w:val="003E5BD8"/>
    <w:rsid w:val="003E5D9C"/>
    <w:rsid w:val="003E6957"/>
    <w:rsid w:val="003E6B31"/>
    <w:rsid w:val="003E70CC"/>
    <w:rsid w:val="003E75C1"/>
    <w:rsid w:val="003F072C"/>
    <w:rsid w:val="003F0759"/>
    <w:rsid w:val="003F0923"/>
    <w:rsid w:val="003F0C6D"/>
    <w:rsid w:val="003F0D12"/>
    <w:rsid w:val="003F12A5"/>
    <w:rsid w:val="003F1470"/>
    <w:rsid w:val="003F1523"/>
    <w:rsid w:val="003F1A50"/>
    <w:rsid w:val="003F208D"/>
    <w:rsid w:val="003F20B1"/>
    <w:rsid w:val="003F2284"/>
    <w:rsid w:val="003F2D54"/>
    <w:rsid w:val="003F3A75"/>
    <w:rsid w:val="003F3C5B"/>
    <w:rsid w:val="003F442F"/>
    <w:rsid w:val="003F444E"/>
    <w:rsid w:val="003F521E"/>
    <w:rsid w:val="003F6860"/>
    <w:rsid w:val="003F75A9"/>
    <w:rsid w:val="003F7C36"/>
    <w:rsid w:val="00400219"/>
    <w:rsid w:val="004006C9"/>
    <w:rsid w:val="0040090F"/>
    <w:rsid w:val="00400AF6"/>
    <w:rsid w:val="004018C0"/>
    <w:rsid w:val="00401B83"/>
    <w:rsid w:val="00401DEA"/>
    <w:rsid w:val="00402998"/>
    <w:rsid w:val="00403285"/>
    <w:rsid w:val="00403676"/>
    <w:rsid w:val="004036BE"/>
    <w:rsid w:val="004036F1"/>
    <w:rsid w:val="004039C4"/>
    <w:rsid w:val="00404621"/>
    <w:rsid w:val="00404D03"/>
    <w:rsid w:val="0040545B"/>
    <w:rsid w:val="00405568"/>
    <w:rsid w:val="00405E54"/>
    <w:rsid w:val="004060BE"/>
    <w:rsid w:val="00406F4C"/>
    <w:rsid w:val="00407172"/>
    <w:rsid w:val="00410BDC"/>
    <w:rsid w:val="00410CD2"/>
    <w:rsid w:val="00410F11"/>
    <w:rsid w:val="004112C5"/>
    <w:rsid w:val="004123AF"/>
    <w:rsid w:val="0041251F"/>
    <w:rsid w:val="004129C5"/>
    <w:rsid w:val="00412C4C"/>
    <w:rsid w:val="00412FD6"/>
    <w:rsid w:val="004134D0"/>
    <w:rsid w:val="00413AB4"/>
    <w:rsid w:val="00413B71"/>
    <w:rsid w:val="00413DF6"/>
    <w:rsid w:val="00413F2A"/>
    <w:rsid w:val="00413F41"/>
    <w:rsid w:val="004147D1"/>
    <w:rsid w:val="004149D3"/>
    <w:rsid w:val="00414DF4"/>
    <w:rsid w:val="00415021"/>
    <w:rsid w:val="004152B2"/>
    <w:rsid w:val="004152B3"/>
    <w:rsid w:val="0041551D"/>
    <w:rsid w:val="0041570C"/>
    <w:rsid w:val="00415EA6"/>
    <w:rsid w:val="00416557"/>
    <w:rsid w:val="004166E1"/>
    <w:rsid w:val="004167DC"/>
    <w:rsid w:val="004172B4"/>
    <w:rsid w:val="004177D8"/>
    <w:rsid w:val="00417918"/>
    <w:rsid w:val="00417DEB"/>
    <w:rsid w:val="00417F9D"/>
    <w:rsid w:val="00420A32"/>
    <w:rsid w:val="00420E1B"/>
    <w:rsid w:val="004218B1"/>
    <w:rsid w:val="004219DE"/>
    <w:rsid w:val="004219F2"/>
    <w:rsid w:val="00421B3F"/>
    <w:rsid w:val="00422D8B"/>
    <w:rsid w:val="00423474"/>
    <w:rsid w:val="004236AF"/>
    <w:rsid w:val="00423A77"/>
    <w:rsid w:val="004244C7"/>
    <w:rsid w:val="00424E51"/>
    <w:rsid w:val="004254F4"/>
    <w:rsid w:val="00425F45"/>
    <w:rsid w:val="00425F7C"/>
    <w:rsid w:val="004265B9"/>
    <w:rsid w:val="00426AD6"/>
    <w:rsid w:val="00426B6B"/>
    <w:rsid w:val="00426C32"/>
    <w:rsid w:val="00426F6A"/>
    <w:rsid w:val="0042732B"/>
    <w:rsid w:val="0042789A"/>
    <w:rsid w:val="00427F37"/>
    <w:rsid w:val="00430B20"/>
    <w:rsid w:val="004312F5"/>
    <w:rsid w:val="00432397"/>
    <w:rsid w:val="004326B1"/>
    <w:rsid w:val="00432784"/>
    <w:rsid w:val="0043288A"/>
    <w:rsid w:val="00433040"/>
    <w:rsid w:val="0043321C"/>
    <w:rsid w:val="00433363"/>
    <w:rsid w:val="0043400C"/>
    <w:rsid w:val="00434337"/>
    <w:rsid w:val="004343B3"/>
    <w:rsid w:val="0043460F"/>
    <w:rsid w:val="00434B19"/>
    <w:rsid w:val="00434BF5"/>
    <w:rsid w:val="00434F25"/>
    <w:rsid w:val="00434FF7"/>
    <w:rsid w:val="004357EC"/>
    <w:rsid w:val="00435DAA"/>
    <w:rsid w:val="00435E48"/>
    <w:rsid w:val="00436738"/>
    <w:rsid w:val="00436B6A"/>
    <w:rsid w:val="00436C20"/>
    <w:rsid w:val="00436C43"/>
    <w:rsid w:val="00436E5A"/>
    <w:rsid w:val="00436FB0"/>
    <w:rsid w:val="004407EA"/>
    <w:rsid w:val="004408F2"/>
    <w:rsid w:val="00440C01"/>
    <w:rsid w:val="00440DBB"/>
    <w:rsid w:val="00441DF0"/>
    <w:rsid w:val="004425BA"/>
    <w:rsid w:val="0044285B"/>
    <w:rsid w:val="004435CC"/>
    <w:rsid w:val="00443847"/>
    <w:rsid w:val="00443E2B"/>
    <w:rsid w:val="0044482C"/>
    <w:rsid w:val="00445528"/>
    <w:rsid w:val="00445E62"/>
    <w:rsid w:val="00446699"/>
    <w:rsid w:val="004474DD"/>
    <w:rsid w:val="00447C11"/>
    <w:rsid w:val="00450AC8"/>
    <w:rsid w:val="00450F8E"/>
    <w:rsid w:val="00451A03"/>
    <w:rsid w:val="00451B2F"/>
    <w:rsid w:val="00451F9B"/>
    <w:rsid w:val="00452088"/>
    <w:rsid w:val="00452D03"/>
    <w:rsid w:val="00452F71"/>
    <w:rsid w:val="00452F88"/>
    <w:rsid w:val="004536F9"/>
    <w:rsid w:val="004547B5"/>
    <w:rsid w:val="00454E42"/>
    <w:rsid w:val="0045557D"/>
    <w:rsid w:val="00455696"/>
    <w:rsid w:val="004556AF"/>
    <w:rsid w:val="004563FA"/>
    <w:rsid w:val="00456675"/>
    <w:rsid w:val="00457962"/>
    <w:rsid w:val="00457A24"/>
    <w:rsid w:val="004601BD"/>
    <w:rsid w:val="00460307"/>
    <w:rsid w:val="0046087E"/>
    <w:rsid w:val="00460912"/>
    <w:rsid w:val="00461B31"/>
    <w:rsid w:val="00461B83"/>
    <w:rsid w:val="00462613"/>
    <w:rsid w:val="004627F8"/>
    <w:rsid w:val="00462F88"/>
    <w:rsid w:val="004632B0"/>
    <w:rsid w:val="0046336B"/>
    <w:rsid w:val="004638FB"/>
    <w:rsid w:val="0046397F"/>
    <w:rsid w:val="00464B44"/>
    <w:rsid w:val="0046693F"/>
    <w:rsid w:val="00466B0F"/>
    <w:rsid w:val="00470930"/>
    <w:rsid w:val="0047121E"/>
    <w:rsid w:val="00471F28"/>
    <w:rsid w:val="0047267A"/>
    <w:rsid w:val="00473AE0"/>
    <w:rsid w:val="00473D7E"/>
    <w:rsid w:val="00474130"/>
    <w:rsid w:val="0047498B"/>
    <w:rsid w:val="00474CCF"/>
    <w:rsid w:val="0047552E"/>
    <w:rsid w:val="0047685F"/>
    <w:rsid w:val="0047701E"/>
    <w:rsid w:val="00477ABF"/>
    <w:rsid w:val="00477BD5"/>
    <w:rsid w:val="00480ECA"/>
    <w:rsid w:val="00482442"/>
    <w:rsid w:val="00482DF2"/>
    <w:rsid w:val="00482FC8"/>
    <w:rsid w:val="004842A7"/>
    <w:rsid w:val="00484325"/>
    <w:rsid w:val="00485250"/>
    <w:rsid w:val="004854C4"/>
    <w:rsid w:val="00485633"/>
    <w:rsid w:val="00485738"/>
    <w:rsid w:val="0048593B"/>
    <w:rsid w:val="00485B39"/>
    <w:rsid w:val="0048611B"/>
    <w:rsid w:val="00486187"/>
    <w:rsid w:val="00486D11"/>
    <w:rsid w:val="00486D39"/>
    <w:rsid w:val="0048710E"/>
    <w:rsid w:val="004874BE"/>
    <w:rsid w:val="004878A2"/>
    <w:rsid w:val="004878B9"/>
    <w:rsid w:val="00487E7D"/>
    <w:rsid w:val="00491644"/>
    <w:rsid w:val="004920BC"/>
    <w:rsid w:val="00492198"/>
    <w:rsid w:val="00492433"/>
    <w:rsid w:val="00492820"/>
    <w:rsid w:val="00493DDE"/>
    <w:rsid w:val="00496CE6"/>
    <w:rsid w:val="00496EEE"/>
    <w:rsid w:val="00496F0E"/>
    <w:rsid w:val="004974C2"/>
    <w:rsid w:val="0049770E"/>
    <w:rsid w:val="004A00BB"/>
    <w:rsid w:val="004A01F2"/>
    <w:rsid w:val="004A0336"/>
    <w:rsid w:val="004A0F3B"/>
    <w:rsid w:val="004A11AA"/>
    <w:rsid w:val="004A141A"/>
    <w:rsid w:val="004A1C27"/>
    <w:rsid w:val="004A1FC9"/>
    <w:rsid w:val="004A2246"/>
    <w:rsid w:val="004A3324"/>
    <w:rsid w:val="004A3CE7"/>
    <w:rsid w:val="004A4C06"/>
    <w:rsid w:val="004A4D60"/>
    <w:rsid w:val="004A54BC"/>
    <w:rsid w:val="004A6041"/>
    <w:rsid w:val="004A62A7"/>
    <w:rsid w:val="004A7125"/>
    <w:rsid w:val="004A7388"/>
    <w:rsid w:val="004B03E1"/>
    <w:rsid w:val="004B03FE"/>
    <w:rsid w:val="004B06B7"/>
    <w:rsid w:val="004B12B4"/>
    <w:rsid w:val="004B14B2"/>
    <w:rsid w:val="004B1BED"/>
    <w:rsid w:val="004B2010"/>
    <w:rsid w:val="004B2C59"/>
    <w:rsid w:val="004B30B9"/>
    <w:rsid w:val="004B3D49"/>
    <w:rsid w:val="004B3E9B"/>
    <w:rsid w:val="004B49AA"/>
    <w:rsid w:val="004B4C33"/>
    <w:rsid w:val="004B4ED8"/>
    <w:rsid w:val="004B5083"/>
    <w:rsid w:val="004B5249"/>
    <w:rsid w:val="004B5CF4"/>
    <w:rsid w:val="004B6AC9"/>
    <w:rsid w:val="004B6B3E"/>
    <w:rsid w:val="004B7381"/>
    <w:rsid w:val="004C12E0"/>
    <w:rsid w:val="004C1DF2"/>
    <w:rsid w:val="004C235D"/>
    <w:rsid w:val="004C2C5E"/>
    <w:rsid w:val="004C2EB9"/>
    <w:rsid w:val="004C3AB6"/>
    <w:rsid w:val="004C4145"/>
    <w:rsid w:val="004C47BB"/>
    <w:rsid w:val="004C4E70"/>
    <w:rsid w:val="004C5514"/>
    <w:rsid w:val="004C6504"/>
    <w:rsid w:val="004C6B17"/>
    <w:rsid w:val="004C71FA"/>
    <w:rsid w:val="004C7275"/>
    <w:rsid w:val="004C730B"/>
    <w:rsid w:val="004C7A84"/>
    <w:rsid w:val="004D0253"/>
    <w:rsid w:val="004D02BE"/>
    <w:rsid w:val="004D4B58"/>
    <w:rsid w:val="004D4DD0"/>
    <w:rsid w:val="004D5044"/>
    <w:rsid w:val="004D5594"/>
    <w:rsid w:val="004D5BB7"/>
    <w:rsid w:val="004D5F6F"/>
    <w:rsid w:val="004D61AA"/>
    <w:rsid w:val="004D6F55"/>
    <w:rsid w:val="004D7542"/>
    <w:rsid w:val="004D7F21"/>
    <w:rsid w:val="004E1C94"/>
    <w:rsid w:val="004E2173"/>
    <w:rsid w:val="004E2611"/>
    <w:rsid w:val="004E2612"/>
    <w:rsid w:val="004E2AA1"/>
    <w:rsid w:val="004E34F9"/>
    <w:rsid w:val="004E3B00"/>
    <w:rsid w:val="004E4D84"/>
    <w:rsid w:val="004E52A0"/>
    <w:rsid w:val="004E5BF6"/>
    <w:rsid w:val="004E5E77"/>
    <w:rsid w:val="004E62B1"/>
    <w:rsid w:val="004E62E6"/>
    <w:rsid w:val="004E6AF0"/>
    <w:rsid w:val="004F0785"/>
    <w:rsid w:val="004F1028"/>
    <w:rsid w:val="004F1FB0"/>
    <w:rsid w:val="004F2CB7"/>
    <w:rsid w:val="004F2CF6"/>
    <w:rsid w:val="004F4D1C"/>
    <w:rsid w:val="004F5111"/>
    <w:rsid w:val="004F5A8A"/>
    <w:rsid w:val="004F5CC4"/>
    <w:rsid w:val="004F6734"/>
    <w:rsid w:val="004F6785"/>
    <w:rsid w:val="004F6F25"/>
    <w:rsid w:val="004F7102"/>
    <w:rsid w:val="004F7E27"/>
    <w:rsid w:val="00500250"/>
    <w:rsid w:val="00500CA3"/>
    <w:rsid w:val="00500CB3"/>
    <w:rsid w:val="00500EFA"/>
    <w:rsid w:val="00501195"/>
    <w:rsid w:val="005018C6"/>
    <w:rsid w:val="00501A20"/>
    <w:rsid w:val="00501DCD"/>
    <w:rsid w:val="0050291A"/>
    <w:rsid w:val="00503E86"/>
    <w:rsid w:val="005047BA"/>
    <w:rsid w:val="00504BB9"/>
    <w:rsid w:val="00504D53"/>
    <w:rsid w:val="00505174"/>
    <w:rsid w:val="005059A5"/>
    <w:rsid w:val="0050645B"/>
    <w:rsid w:val="005069CD"/>
    <w:rsid w:val="00506D3A"/>
    <w:rsid w:val="00507518"/>
    <w:rsid w:val="00507748"/>
    <w:rsid w:val="005104CB"/>
    <w:rsid w:val="005106E9"/>
    <w:rsid w:val="00510785"/>
    <w:rsid w:val="00510867"/>
    <w:rsid w:val="00510DC0"/>
    <w:rsid w:val="00510F9C"/>
    <w:rsid w:val="0051167B"/>
    <w:rsid w:val="005117AD"/>
    <w:rsid w:val="00511D33"/>
    <w:rsid w:val="005121A2"/>
    <w:rsid w:val="0051259A"/>
    <w:rsid w:val="0051260F"/>
    <w:rsid w:val="0051264C"/>
    <w:rsid w:val="00512A04"/>
    <w:rsid w:val="005135B0"/>
    <w:rsid w:val="00513DCE"/>
    <w:rsid w:val="00513F90"/>
    <w:rsid w:val="00514689"/>
    <w:rsid w:val="00514AA6"/>
    <w:rsid w:val="00514AD7"/>
    <w:rsid w:val="00514B03"/>
    <w:rsid w:val="005159D7"/>
    <w:rsid w:val="00515C91"/>
    <w:rsid w:val="0051605D"/>
    <w:rsid w:val="00516B0D"/>
    <w:rsid w:val="00516B42"/>
    <w:rsid w:val="0051772A"/>
    <w:rsid w:val="00520560"/>
    <w:rsid w:val="00520CDF"/>
    <w:rsid w:val="005211C9"/>
    <w:rsid w:val="00521AC1"/>
    <w:rsid w:val="00522712"/>
    <w:rsid w:val="00522FB0"/>
    <w:rsid w:val="00522FD9"/>
    <w:rsid w:val="00523093"/>
    <w:rsid w:val="0052403F"/>
    <w:rsid w:val="00524AA6"/>
    <w:rsid w:val="0052583D"/>
    <w:rsid w:val="00525B0E"/>
    <w:rsid w:val="00525D98"/>
    <w:rsid w:val="0052675D"/>
    <w:rsid w:val="005269D7"/>
    <w:rsid w:val="00527EB6"/>
    <w:rsid w:val="005309D9"/>
    <w:rsid w:val="00530F21"/>
    <w:rsid w:val="005317F7"/>
    <w:rsid w:val="00531C2D"/>
    <w:rsid w:val="00531D55"/>
    <w:rsid w:val="0053241A"/>
    <w:rsid w:val="00532B96"/>
    <w:rsid w:val="00533B95"/>
    <w:rsid w:val="005343A8"/>
    <w:rsid w:val="00534977"/>
    <w:rsid w:val="00534B1B"/>
    <w:rsid w:val="00534DA7"/>
    <w:rsid w:val="00535071"/>
    <w:rsid w:val="005354BD"/>
    <w:rsid w:val="005354BF"/>
    <w:rsid w:val="00535CC1"/>
    <w:rsid w:val="00536531"/>
    <w:rsid w:val="005365B8"/>
    <w:rsid w:val="005370A3"/>
    <w:rsid w:val="00537914"/>
    <w:rsid w:val="00537CC0"/>
    <w:rsid w:val="005402DB"/>
    <w:rsid w:val="00540754"/>
    <w:rsid w:val="00540B33"/>
    <w:rsid w:val="0054151E"/>
    <w:rsid w:val="0054189D"/>
    <w:rsid w:val="005418D9"/>
    <w:rsid w:val="00541B0F"/>
    <w:rsid w:val="005439E5"/>
    <w:rsid w:val="00543C90"/>
    <w:rsid w:val="00544718"/>
    <w:rsid w:val="00544D32"/>
    <w:rsid w:val="005450BC"/>
    <w:rsid w:val="00545676"/>
    <w:rsid w:val="00545785"/>
    <w:rsid w:val="0054595E"/>
    <w:rsid w:val="00545DB1"/>
    <w:rsid w:val="00550B9D"/>
    <w:rsid w:val="00550D25"/>
    <w:rsid w:val="00550FE2"/>
    <w:rsid w:val="00551128"/>
    <w:rsid w:val="00551214"/>
    <w:rsid w:val="00552093"/>
    <w:rsid w:val="00552397"/>
    <w:rsid w:val="0055286C"/>
    <w:rsid w:val="00552E46"/>
    <w:rsid w:val="00553AB4"/>
    <w:rsid w:val="00553FCC"/>
    <w:rsid w:val="00554621"/>
    <w:rsid w:val="00554F75"/>
    <w:rsid w:val="005554A1"/>
    <w:rsid w:val="005560A5"/>
    <w:rsid w:val="00556464"/>
    <w:rsid w:val="00556A47"/>
    <w:rsid w:val="00557549"/>
    <w:rsid w:val="00557C6D"/>
    <w:rsid w:val="00557CF9"/>
    <w:rsid w:val="00557D3A"/>
    <w:rsid w:val="00557DE1"/>
    <w:rsid w:val="0056023B"/>
    <w:rsid w:val="0056063C"/>
    <w:rsid w:val="005608E0"/>
    <w:rsid w:val="00561669"/>
    <w:rsid w:val="00561873"/>
    <w:rsid w:val="00561B66"/>
    <w:rsid w:val="00561CD8"/>
    <w:rsid w:val="0056240B"/>
    <w:rsid w:val="005627A0"/>
    <w:rsid w:val="00562850"/>
    <w:rsid w:val="0056366D"/>
    <w:rsid w:val="005646E6"/>
    <w:rsid w:val="005646ED"/>
    <w:rsid w:val="00565629"/>
    <w:rsid w:val="0056597E"/>
    <w:rsid w:val="005667E2"/>
    <w:rsid w:val="00566A75"/>
    <w:rsid w:val="00567048"/>
    <w:rsid w:val="00567B99"/>
    <w:rsid w:val="00570EB2"/>
    <w:rsid w:val="00571FCB"/>
    <w:rsid w:val="005722C5"/>
    <w:rsid w:val="00572546"/>
    <w:rsid w:val="00572A11"/>
    <w:rsid w:val="0057325C"/>
    <w:rsid w:val="00573FF4"/>
    <w:rsid w:val="005752B7"/>
    <w:rsid w:val="00575872"/>
    <w:rsid w:val="00575FD2"/>
    <w:rsid w:val="005765BA"/>
    <w:rsid w:val="00576CD9"/>
    <w:rsid w:val="00576D43"/>
    <w:rsid w:val="00576EFC"/>
    <w:rsid w:val="00577648"/>
    <w:rsid w:val="00577900"/>
    <w:rsid w:val="005806B1"/>
    <w:rsid w:val="00580DBD"/>
    <w:rsid w:val="005819D7"/>
    <w:rsid w:val="0058282E"/>
    <w:rsid w:val="005830EB"/>
    <w:rsid w:val="00583167"/>
    <w:rsid w:val="00583732"/>
    <w:rsid w:val="00583F62"/>
    <w:rsid w:val="00584686"/>
    <w:rsid w:val="00585F9B"/>
    <w:rsid w:val="00586470"/>
    <w:rsid w:val="00587E7B"/>
    <w:rsid w:val="00590013"/>
    <w:rsid w:val="005913F6"/>
    <w:rsid w:val="00591CB2"/>
    <w:rsid w:val="005923F7"/>
    <w:rsid w:val="005928B9"/>
    <w:rsid w:val="00592C0B"/>
    <w:rsid w:val="00592DE4"/>
    <w:rsid w:val="0059300B"/>
    <w:rsid w:val="00593078"/>
    <w:rsid w:val="005936EA"/>
    <w:rsid w:val="00594727"/>
    <w:rsid w:val="00594894"/>
    <w:rsid w:val="00594B8C"/>
    <w:rsid w:val="00594DA6"/>
    <w:rsid w:val="00594EF2"/>
    <w:rsid w:val="005954E7"/>
    <w:rsid w:val="00595722"/>
    <w:rsid w:val="00595F9C"/>
    <w:rsid w:val="0059610B"/>
    <w:rsid w:val="00596BE6"/>
    <w:rsid w:val="00596E43"/>
    <w:rsid w:val="005A01E7"/>
    <w:rsid w:val="005A05B5"/>
    <w:rsid w:val="005A0EE4"/>
    <w:rsid w:val="005A1133"/>
    <w:rsid w:val="005A15A4"/>
    <w:rsid w:val="005A1B19"/>
    <w:rsid w:val="005A1D00"/>
    <w:rsid w:val="005A37B6"/>
    <w:rsid w:val="005A4117"/>
    <w:rsid w:val="005A4195"/>
    <w:rsid w:val="005A4522"/>
    <w:rsid w:val="005A4A67"/>
    <w:rsid w:val="005A4CB3"/>
    <w:rsid w:val="005A4F56"/>
    <w:rsid w:val="005A4FCF"/>
    <w:rsid w:val="005A535C"/>
    <w:rsid w:val="005A5EF4"/>
    <w:rsid w:val="005A5FCD"/>
    <w:rsid w:val="005A69C6"/>
    <w:rsid w:val="005A6C94"/>
    <w:rsid w:val="005A74B5"/>
    <w:rsid w:val="005A770C"/>
    <w:rsid w:val="005A7D0D"/>
    <w:rsid w:val="005A7DC2"/>
    <w:rsid w:val="005B053E"/>
    <w:rsid w:val="005B0E35"/>
    <w:rsid w:val="005B0F9D"/>
    <w:rsid w:val="005B10B1"/>
    <w:rsid w:val="005B1529"/>
    <w:rsid w:val="005B3945"/>
    <w:rsid w:val="005B3AEA"/>
    <w:rsid w:val="005B3E83"/>
    <w:rsid w:val="005B4D75"/>
    <w:rsid w:val="005B515A"/>
    <w:rsid w:val="005B54AE"/>
    <w:rsid w:val="005B5822"/>
    <w:rsid w:val="005B5E29"/>
    <w:rsid w:val="005B5E43"/>
    <w:rsid w:val="005B5FA0"/>
    <w:rsid w:val="005B6EFD"/>
    <w:rsid w:val="005B7D69"/>
    <w:rsid w:val="005C02CB"/>
    <w:rsid w:val="005C2D1C"/>
    <w:rsid w:val="005C334C"/>
    <w:rsid w:val="005C3602"/>
    <w:rsid w:val="005C36F2"/>
    <w:rsid w:val="005C3EC3"/>
    <w:rsid w:val="005C3F8F"/>
    <w:rsid w:val="005C51C6"/>
    <w:rsid w:val="005C5578"/>
    <w:rsid w:val="005C563B"/>
    <w:rsid w:val="005C647C"/>
    <w:rsid w:val="005C711E"/>
    <w:rsid w:val="005C74F3"/>
    <w:rsid w:val="005C7761"/>
    <w:rsid w:val="005C78EA"/>
    <w:rsid w:val="005C7ECB"/>
    <w:rsid w:val="005C7F9B"/>
    <w:rsid w:val="005D0423"/>
    <w:rsid w:val="005D04E0"/>
    <w:rsid w:val="005D08F7"/>
    <w:rsid w:val="005D141F"/>
    <w:rsid w:val="005D1CB9"/>
    <w:rsid w:val="005D285E"/>
    <w:rsid w:val="005D33B5"/>
    <w:rsid w:val="005D3562"/>
    <w:rsid w:val="005D35DA"/>
    <w:rsid w:val="005D3705"/>
    <w:rsid w:val="005D3824"/>
    <w:rsid w:val="005D3CBB"/>
    <w:rsid w:val="005D4FB5"/>
    <w:rsid w:val="005D6251"/>
    <w:rsid w:val="005D65AB"/>
    <w:rsid w:val="005D6626"/>
    <w:rsid w:val="005D6715"/>
    <w:rsid w:val="005D7FB5"/>
    <w:rsid w:val="005E0035"/>
    <w:rsid w:val="005E04A2"/>
    <w:rsid w:val="005E0E77"/>
    <w:rsid w:val="005E1DD0"/>
    <w:rsid w:val="005E2140"/>
    <w:rsid w:val="005E43E5"/>
    <w:rsid w:val="005E5303"/>
    <w:rsid w:val="005E6543"/>
    <w:rsid w:val="005E655E"/>
    <w:rsid w:val="005E6796"/>
    <w:rsid w:val="005E6C58"/>
    <w:rsid w:val="005E6E38"/>
    <w:rsid w:val="005E6E8C"/>
    <w:rsid w:val="005E758A"/>
    <w:rsid w:val="005E776E"/>
    <w:rsid w:val="005E7E9F"/>
    <w:rsid w:val="005E7F68"/>
    <w:rsid w:val="005F045A"/>
    <w:rsid w:val="005F0AB3"/>
    <w:rsid w:val="005F1EAE"/>
    <w:rsid w:val="005F2138"/>
    <w:rsid w:val="005F2B1C"/>
    <w:rsid w:val="005F300C"/>
    <w:rsid w:val="005F36EE"/>
    <w:rsid w:val="005F385B"/>
    <w:rsid w:val="005F3C75"/>
    <w:rsid w:val="005F3E59"/>
    <w:rsid w:val="005F4140"/>
    <w:rsid w:val="005F4B55"/>
    <w:rsid w:val="005F4E82"/>
    <w:rsid w:val="005F5044"/>
    <w:rsid w:val="005F50C2"/>
    <w:rsid w:val="005F5594"/>
    <w:rsid w:val="005F5B98"/>
    <w:rsid w:val="005F5E7E"/>
    <w:rsid w:val="005F6211"/>
    <w:rsid w:val="005F690D"/>
    <w:rsid w:val="005F6A15"/>
    <w:rsid w:val="005F6D94"/>
    <w:rsid w:val="005F71CA"/>
    <w:rsid w:val="005F7491"/>
    <w:rsid w:val="005F77AA"/>
    <w:rsid w:val="005F7C2F"/>
    <w:rsid w:val="006000F1"/>
    <w:rsid w:val="0060050B"/>
    <w:rsid w:val="00600BA5"/>
    <w:rsid w:val="00600D1F"/>
    <w:rsid w:val="00602053"/>
    <w:rsid w:val="0060287D"/>
    <w:rsid w:val="00602E47"/>
    <w:rsid w:val="00603549"/>
    <w:rsid w:val="00603ECD"/>
    <w:rsid w:val="00604646"/>
    <w:rsid w:val="00604706"/>
    <w:rsid w:val="00606C41"/>
    <w:rsid w:val="00607038"/>
    <w:rsid w:val="00607B0C"/>
    <w:rsid w:val="00607BD4"/>
    <w:rsid w:val="00607FCB"/>
    <w:rsid w:val="0061032D"/>
    <w:rsid w:val="00610394"/>
    <w:rsid w:val="00611970"/>
    <w:rsid w:val="006124FA"/>
    <w:rsid w:val="00612894"/>
    <w:rsid w:val="00613518"/>
    <w:rsid w:val="00613BDB"/>
    <w:rsid w:val="00614107"/>
    <w:rsid w:val="00614403"/>
    <w:rsid w:val="00614817"/>
    <w:rsid w:val="00614EE0"/>
    <w:rsid w:val="00615642"/>
    <w:rsid w:val="0061690D"/>
    <w:rsid w:val="00616D49"/>
    <w:rsid w:val="00617158"/>
    <w:rsid w:val="00617790"/>
    <w:rsid w:val="006204F9"/>
    <w:rsid w:val="00620F5B"/>
    <w:rsid w:val="006215F2"/>
    <w:rsid w:val="00621F86"/>
    <w:rsid w:val="00623066"/>
    <w:rsid w:val="006231FA"/>
    <w:rsid w:val="0062384B"/>
    <w:rsid w:val="00623A67"/>
    <w:rsid w:val="00623BE9"/>
    <w:rsid w:val="00623F37"/>
    <w:rsid w:val="0062410A"/>
    <w:rsid w:val="00624500"/>
    <w:rsid w:val="00624667"/>
    <w:rsid w:val="00625A3A"/>
    <w:rsid w:val="00625F33"/>
    <w:rsid w:val="0062646F"/>
    <w:rsid w:val="0062780E"/>
    <w:rsid w:val="00627BC0"/>
    <w:rsid w:val="006303AB"/>
    <w:rsid w:val="00630613"/>
    <w:rsid w:val="00631572"/>
    <w:rsid w:val="00631A23"/>
    <w:rsid w:val="00631DFE"/>
    <w:rsid w:val="00632656"/>
    <w:rsid w:val="00632D81"/>
    <w:rsid w:val="006334C4"/>
    <w:rsid w:val="006336AF"/>
    <w:rsid w:val="0063392B"/>
    <w:rsid w:val="006339A8"/>
    <w:rsid w:val="00633AFD"/>
    <w:rsid w:val="00633D69"/>
    <w:rsid w:val="00634158"/>
    <w:rsid w:val="00634A91"/>
    <w:rsid w:val="00634DBC"/>
    <w:rsid w:val="00635015"/>
    <w:rsid w:val="00636A07"/>
    <w:rsid w:val="00636D04"/>
    <w:rsid w:val="00637040"/>
    <w:rsid w:val="00637C0B"/>
    <w:rsid w:val="00640020"/>
    <w:rsid w:val="0064018B"/>
    <w:rsid w:val="006404D5"/>
    <w:rsid w:val="006405CA"/>
    <w:rsid w:val="006407DB"/>
    <w:rsid w:val="00640B16"/>
    <w:rsid w:val="00640F57"/>
    <w:rsid w:val="00641243"/>
    <w:rsid w:val="0064258E"/>
    <w:rsid w:val="006425C6"/>
    <w:rsid w:val="00643012"/>
    <w:rsid w:val="00643CD9"/>
    <w:rsid w:val="00643E16"/>
    <w:rsid w:val="0064406C"/>
    <w:rsid w:val="00644627"/>
    <w:rsid w:val="00644658"/>
    <w:rsid w:val="00644B48"/>
    <w:rsid w:val="00644EAE"/>
    <w:rsid w:val="0064523C"/>
    <w:rsid w:val="00645400"/>
    <w:rsid w:val="00645474"/>
    <w:rsid w:val="00645959"/>
    <w:rsid w:val="00646193"/>
    <w:rsid w:val="006461A5"/>
    <w:rsid w:val="00647B8E"/>
    <w:rsid w:val="00647CBF"/>
    <w:rsid w:val="00647F03"/>
    <w:rsid w:val="00650115"/>
    <w:rsid w:val="00650C18"/>
    <w:rsid w:val="00650C5C"/>
    <w:rsid w:val="00650CEF"/>
    <w:rsid w:val="006518BF"/>
    <w:rsid w:val="006530AA"/>
    <w:rsid w:val="00653550"/>
    <w:rsid w:val="006556A1"/>
    <w:rsid w:val="00655FB8"/>
    <w:rsid w:val="006566CF"/>
    <w:rsid w:val="0065689D"/>
    <w:rsid w:val="00656C29"/>
    <w:rsid w:val="00657025"/>
    <w:rsid w:val="00657045"/>
    <w:rsid w:val="00660FFB"/>
    <w:rsid w:val="00661D55"/>
    <w:rsid w:val="0066302B"/>
    <w:rsid w:val="00663127"/>
    <w:rsid w:val="00663361"/>
    <w:rsid w:val="006633BC"/>
    <w:rsid w:val="0066407F"/>
    <w:rsid w:val="00665314"/>
    <w:rsid w:val="00665495"/>
    <w:rsid w:val="00665A60"/>
    <w:rsid w:val="00665CA9"/>
    <w:rsid w:val="00665EA3"/>
    <w:rsid w:val="0066619D"/>
    <w:rsid w:val="006671D7"/>
    <w:rsid w:val="006675A4"/>
    <w:rsid w:val="00667893"/>
    <w:rsid w:val="00670762"/>
    <w:rsid w:val="00670987"/>
    <w:rsid w:val="00671B0C"/>
    <w:rsid w:val="00671DDB"/>
    <w:rsid w:val="00672293"/>
    <w:rsid w:val="00672D28"/>
    <w:rsid w:val="00673459"/>
    <w:rsid w:val="00674945"/>
    <w:rsid w:val="006754AD"/>
    <w:rsid w:val="00675AD3"/>
    <w:rsid w:val="00675E0C"/>
    <w:rsid w:val="00676399"/>
    <w:rsid w:val="006768A9"/>
    <w:rsid w:val="0067694D"/>
    <w:rsid w:val="00676A7E"/>
    <w:rsid w:val="00676BEC"/>
    <w:rsid w:val="00677DEB"/>
    <w:rsid w:val="00681164"/>
    <w:rsid w:val="00682305"/>
    <w:rsid w:val="0068244C"/>
    <w:rsid w:val="006826E6"/>
    <w:rsid w:val="006826FB"/>
    <w:rsid w:val="00682FCA"/>
    <w:rsid w:val="00683070"/>
    <w:rsid w:val="00683226"/>
    <w:rsid w:val="006839F4"/>
    <w:rsid w:val="00685177"/>
    <w:rsid w:val="006862CF"/>
    <w:rsid w:val="006863B6"/>
    <w:rsid w:val="006866D7"/>
    <w:rsid w:val="00686E26"/>
    <w:rsid w:val="0068778E"/>
    <w:rsid w:val="00687AE6"/>
    <w:rsid w:val="00690653"/>
    <w:rsid w:val="00690EE1"/>
    <w:rsid w:val="00691991"/>
    <w:rsid w:val="00691B28"/>
    <w:rsid w:val="00692A21"/>
    <w:rsid w:val="00692D9E"/>
    <w:rsid w:val="006938F2"/>
    <w:rsid w:val="00694347"/>
    <w:rsid w:val="00694DE3"/>
    <w:rsid w:val="006950F4"/>
    <w:rsid w:val="00695241"/>
    <w:rsid w:val="00695E72"/>
    <w:rsid w:val="006A03AA"/>
    <w:rsid w:val="006A03B8"/>
    <w:rsid w:val="006A123D"/>
    <w:rsid w:val="006A14E9"/>
    <w:rsid w:val="006A150A"/>
    <w:rsid w:val="006A2609"/>
    <w:rsid w:val="006A3704"/>
    <w:rsid w:val="006A3D65"/>
    <w:rsid w:val="006A3F00"/>
    <w:rsid w:val="006A4148"/>
    <w:rsid w:val="006A50B1"/>
    <w:rsid w:val="006A516C"/>
    <w:rsid w:val="006A5C64"/>
    <w:rsid w:val="006A6903"/>
    <w:rsid w:val="006A71C5"/>
    <w:rsid w:val="006A74DA"/>
    <w:rsid w:val="006A78DA"/>
    <w:rsid w:val="006B012A"/>
    <w:rsid w:val="006B0858"/>
    <w:rsid w:val="006B10CB"/>
    <w:rsid w:val="006B1233"/>
    <w:rsid w:val="006B1638"/>
    <w:rsid w:val="006B17C3"/>
    <w:rsid w:val="006B1A0A"/>
    <w:rsid w:val="006B1B67"/>
    <w:rsid w:val="006B23DD"/>
    <w:rsid w:val="006B2682"/>
    <w:rsid w:val="006B35C1"/>
    <w:rsid w:val="006B47B5"/>
    <w:rsid w:val="006B69FF"/>
    <w:rsid w:val="006B6BEE"/>
    <w:rsid w:val="006B7371"/>
    <w:rsid w:val="006B7873"/>
    <w:rsid w:val="006B7AAB"/>
    <w:rsid w:val="006C18EA"/>
    <w:rsid w:val="006C2C30"/>
    <w:rsid w:val="006C2F2B"/>
    <w:rsid w:val="006C339D"/>
    <w:rsid w:val="006C3ECA"/>
    <w:rsid w:val="006C3F8F"/>
    <w:rsid w:val="006C5988"/>
    <w:rsid w:val="006C6DCB"/>
    <w:rsid w:val="006C70CF"/>
    <w:rsid w:val="006D0ADC"/>
    <w:rsid w:val="006D1707"/>
    <w:rsid w:val="006D18E5"/>
    <w:rsid w:val="006D213C"/>
    <w:rsid w:val="006D2BD3"/>
    <w:rsid w:val="006D3722"/>
    <w:rsid w:val="006D4463"/>
    <w:rsid w:val="006D4BD1"/>
    <w:rsid w:val="006D4C22"/>
    <w:rsid w:val="006D4D40"/>
    <w:rsid w:val="006D6417"/>
    <w:rsid w:val="006D68C1"/>
    <w:rsid w:val="006D6D45"/>
    <w:rsid w:val="006D6E8E"/>
    <w:rsid w:val="006D7198"/>
    <w:rsid w:val="006D7EAC"/>
    <w:rsid w:val="006E06BC"/>
    <w:rsid w:val="006E0AB1"/>
    <w:rsid w:val="006E13E2"/>
    <w:rsid w:val="006E1798"/>
    <w:rsid w:val="006E1B5F"/>
    <w:rsid w:val="006E261D"/>
    <w:rsid w:val="006E2B06"/>
    <w:rsid w:val="006E311D"/>
    <w:rsid w:val="006E3449"/>
    <w:rsid w:val="006E35C5"/>
    <w:rsid w:val="006E3B1C"/>
    <w:rsid w:val="006E3FD0"/>
    <w:rsid w:val="006E41C4"/>
    <w:rsid w:val="006E4F20"/>
    <w:rsid w:val="006E5159"/>
    <w:rsid w:val="006E5419"/>
    <w:rsid w:val="006E6585"/>
    <w:rsid w:val="006E7214"/>
    <w:rsid w:val="006E7D59"/>
    <w:rsid w:val="006F0743"/>
    <w:rsid w:val="006F0C65"/>
    <w:rsid w:val="006F0E0D"/>
    <w:rsid w:val="006F125E"/>
    <w:rsid w:val="006F2781"/>
    <w:rsid w:val="006F2C40"/>
    <w:rsid w:val="006F3665"/>
    <w:rsid w:val="006F3B00"/>
    <w:rsid w:val="006F3ECA"/>
    <w:rsid w:val="006F4B54"/>
    <w:rsid w:val="006F5C60"/>
    <w:rsid w:val="006F60AA"/>
    <w:rsid w:val="006F6136"/>
    <w:rsid w:val="006F6388"/>
    <w:rsid w:val="006F654D"/>
    <w:rsid w:val="006F66A0"/>
    <w:rsid w:val="006F6CF8"/>
    <w:rsid w:val="006F6EFA"/>
    <w:rsid w:val="006F70C9"/>
    <w:rsid w:val="006F78AC"/>
    <w:rsid w:val="006F7C4E"/>
    <w:rsid w:val="00700D57"/>
    <w:rsid w:val="00700DA8"/>
    <w:rsid w:val="007015A6"/>
    <w:rsid w:val="00701D2D"/>
    <w:rsid w:val="0070254C"/>
    <w:rsid w:val="007027A1"/>
    <w:rsid w:val="007029D6"/>
    <w:rsid w:val="00702C08"/>
    <w:rsid w:val="007032D7"/>
    <w:rsid w:val="0070342F"/>
    <w:rsid w:val="00703B5B"/>
    <w:rsid w:val="00703D1A"/>
    <w:rsid w:val="00703EE1"/>
    <w:rsid w:val="007043C2"/>
    <w:rsid w:val="00705A51"/>
    <w:rsid w:val="00705BD7"/>
    <w:rsid w:val="00706067"/>
    <w:rsid w:val="0070681D"/>
    <w:rsid w:val="0070713E"/>
    <w:rsid w:val="007071D4"/>
    <w:rsid w:val="00707310"/>
    <w:rsid w:val="0071033F"/>
    <w:rsid w:val="0071088E"/>
    <w:rsid w:val="00710AF4"/>
    <w:rsid w:val="00710B7A"/>
    <w:rsid w:val="00710D5E"/>
    <w:rsid w:val="00710F7E"/>
    <w:rsid w:val="007110CF"/>
    <w:rsid w:val="007112F9"/>
    <w:rsid w:val="0071206C"/>
    <w:rsid w:val="007124C4"/>
    <w:rsid w:val="00712906"/>
    <w:rsid w:val="0071335C"/>
    <w:rsid w:val="007142F3"/>
    <w:rsid w:val="007157FD"/>
    <w:rsid w:val="00715B82"/>
    <w:rsid w:val="007166EF"/>
    <w:rsid w:val="00716876"/>
    <w:rsid w:val="00716DC1"/>
    <w:rsid w:val="00717064"/>
    <w:rsid w:val="00717716"/>
    <w:rsid w:val="00717950"/>
    <w:rsid w:val="00720313"/>
    <w:rsid w:val="0072072C"/>
    <w:rsid w:val="00720F63"/>
    <w:rsid w:val="007214F1"/>
    <w:rsid w:val="0072200E"/>
    <w:rsid w:val="00722AA8"/>
    <w:rsid w:val="00722ACD"/>
    <w:rsid w:val="00723174"/>
    <w:rsid w:val="0072338D"/>
    <w:rsid w:val="0072495E"/>
    <w:rsid w:val="00725343"/>
    <w:rsid w:val="0072564C"/>
    <w:rsid w:val="007257BB"/>
    <w:rsid w:val="007266A4"/>
    <w:rsid w:val="00727C09"/>
    <w:rsid w:val="00730C7D"/>
    <w:rsid w:val="0073244F"/>
    <w:rsid w:val="007326D9"/>
    <w:rsid w:val="00732772"/>
    <w:rsid w:val="00732A30"/>
    <w:rsid w:val="00732F31"/>
    <w:rsid w:val="00732F3E"/>
    <w:rsid w:val="007335AC"/>
    <w:rsid w:val="007339D2"/>
    <w:rsid w:val="00733C56"/>
    <w:rsid w:val="00733FB0"/>
    <w:rsid w:val="007340C5"/>
    <w:rsid w:val="00735152"/>
    <w:rsid w:val="00735344"/>
    <w:rsid w:val="00735F35"/>
    <w:rsid w:val="00740135"/>
    <w:rsid w:val="00740147"/>
    <w:rsid w:val="00740210"/>
    <w:rsid w:val="00740519"/>
    <w:rsid w:val="00740C5A"/>
    <w:rsid w:val="00740E09"/>
    <w:rsid w:val="00741106"/>
    <w:rsid w:val="0074222A"/>
    <w:rsid w:val="00742621"/>
    <w:rsid w:val="00742B77"/>
    <w:rsid w:val="00742C8B"/>
    <w:rsid w:val="00743F4C"/>
    <w:rsid w:val="00744213"/>
    <w:rsid w:val="007453BA"/>
    <w:rsid w:val="0074549B"/>
    <w:rsid w:val="00745930"/>
    <w:rsid w:val="00745C3B"/>
    <w:rsid w:val="00746643"/>
    <w:rsid w:val="007466EB"/>
    <w:rsid w:val="007468D1"/>
    <w:rsid w:val="00746A6E"/>
    <w:rsid w:val="00746E53"/>
    <w:rsid w:val="00746FE9"/>
    <w:rsid w:val="007470B0"/>
    <w:rsid w:val="00747452"/>
    <w:rsid w:val="00747A71"/>
    <w:rsid w:val="00747DCA"/>
    <w:rsid w:val="00751419"/>
    <w:rsid w:val="00751BF4"/>
    <w:rsid w:val="007522C3"/>
    <w:rsid w:val="00752730"/>
    <w:rsid w:val="00752BDD"/>
    <w:rsid w:val="00752D5E"/>
    <w:rsid w:val="007531E0"/>
    <w:rsid w:val="00753762"/>
    <w:rsid w:val="0075456C"/>
    <w:rsid w:val="007545CB"/>
    <w:rsid w:val="00754772"/>
    <w:rsid w:val="00754F4D"/>
    <w:rsid w:val="00754FE0"/>
    <w:rsid w:val="007557C3"/>
    <w:rsid w:val="00755B6E"/>
    <w:rsid w:val="00756005"/>
    <w:rsid w:val="00756A67"/>
    <w:rsid w:val="00756D44"/>
    <w:rsid w:val="0075706A"/>
    <w:rsid w:val="007570FB"/>
    <w:rsid w:val="007572B6"/>
    <w:rsid w:val="00757345"/>
    <w:rsid w:val="00757A76"/>
    <w:rsid w:val="00757C29"/>
    <w:rsid w:val="00757DA2"/>
    <w:rsid w:val="0076027E"/>
    <w:rsid w:val="007603A9"/>
    <w:rsid w:val="00760A1E"/>
    <w:rsid w:val="00760FE8"/>
    <w:rsid w:val="007612E2"/>
    <w:rsid w:val="00761A57"/>
    <w:rsid w:val="00761E16"/>
    <w:rsid w:val="00762652"/>
    <w:rsid w:val="007626B1"/>
    <w:rsid w:val="00762A8C"/>
    <w:rsid w:val="00762C6E"/>
    <w:rsid w:val="007633F9"/>
    <w:rsid w:val="00763473"/>
    <w:rsid w:val="00764479"/>
    <w:rsid w:val="007644F2"/>
    <w:rsid w:val="00765B60"/>
    <w:rsid w:val="00765DDE"/>
    <w:rsid w:val="00765E4F"/>
    <w:rsid w:val="0076611D"/>
    <w:rsid w:val="007664D0"/>
    <w:rsid w:val="00766BE0"/>
    <w:rsid w:val="00767320"/>
    <w:rsid w:val="007707AD"/>
    <w:rsid w:val="00770C16"/>
    <w:rsid w:val="0077219A"/>
    <w:rsid w:val="00772FA5"/>
    <w:rsid w:val="007734D6"/>
    <w:rsid w:val="007735E5"/>
    <w:rsid w:val="00773A8B"/>
    <w:rsid w:val="007740E3"/>
    <w:rsid w:val="0077552F"/>
    <w:rsid w:val="007755D0"/>
    <w:rsid w:val="00775E91"/>
    <w:rsid w:val="00776CBF"/>
    <w:rsid w:val="00776E2F"/>
    <w:rsid w:val="00777121"/>
    <w:rsid w:val="0077718C"/>
    <w:rsid w:val="007804F1"/>
    <w:rsid w:val="0078063F"/>
    <w:rsid w:val="0078064C"/>
    <w:rsid w:val="00780855"/>
    <w:rsid w:val="0078103C"/>
    <w:rsid w:val="007815B9"/>
    <w:rsid w:val="0078198B"/>
    <w:rsid w:val="00782FFF"/>
    <w:rsid w:val="0078318C"/>
    <w:rsid w:val="0078319D"/>
    <w:rsid w:val="007831F5"/>
    <w:rsid w:val="00783411"/>
    <w:rsid w:val="00783BC0"/>
    <w:rsid w:val="00784933"/>
    <w:rsid w:val="0078534C"/>
    <w:rsid w:val="0078576A"/>
    <w:rsid w:val="0078578F"/>
    <w:rsid w:val="00785DE9"/>
    <w:rsid w:val="00786FD0"/>
    <w:rsid w:val="007870F4"/>
    <w:rsid w:val="007873EE"/>
    <w:rsid w:val="00787D2D"/>
    <w:rsid w:val="00787E83"/>
    <w:rsid w:val="00787F84"/>
    <w:rsid w:val="00790C96"/>
    <w:rsid w:val="00790DE3"/>
    <w:rsid w:val="00791518"/>
    <w:rsid w:val="007919BE"/>
    <w:rsid w:val="00792BF4"/>
    <w:rsid w:val="007936C4"/>
    <w:rsid w:val="00794338"/>
    <w:rsid w:val="00794986"/>
    <w:rsid w:val="007953F4"/>
    <w:rsid w:val="007968D4"/>
    <w:rsid w:val="00797806"/>
    <w:rsid w:val="007A0062"/>
    <w:rsid w:val="007A04DF"/>
    <w:rsid w:val="007A0F14"/>
    <w:rsid w:val="007A1237"/>
    <w:rsid w:val="007A2478"/>
    <w:rsid w:val="007A41C2"/>
    <w:rsid w:val="007A4404"/>
    <w:rsid w:val="007A57C3"/>
    <w:rsid w:val="007A5C63"/>
    <w:rsid w:val="007A6497"/>
    <w:rsid w:val="007A75E9"/>
    <w:rsid w:val="007B1283"/>
    <w:rsid w:val="007B1B0C"/>
    <w:rsid w:val="007B2A3A"/>
    <w:rsid w:val="007B2CEC"/>
    <w:rsid w:val="007B4F0C"/>
    <w:rsid w:val="007B4FEC"/>
    <w:rsid w:val="007B59D8"/>
    <w:rsid w:val="007B5B04"/>
    <w:rsid w:val="007B5CA9"/>
    <w:rsid w:val="007B71FF"/>
    <w:rsid w:val="007B7649"/>
    <w:rsid w:val="007B771A"/>
    <w:rsid w:val="007C049D"/>
    <w:rsid w:val="007C14F0"/>
    <w:rsid w:val="007C1C6D"/>
    <w:rsid w:val="007C1F90"/>
    <w:rsid w:val="007C2C69"/>
    <w:rsid w:val="007C2ED2"/>
    <w:rsid w:val="007C2F2E"/>
    <w:rsid w:val="007C3789"/>
    <w:rsid w:val="007C3E73"/>
    <w:rsid w:val="007C4F39"/>
    <w:rsid w:val="007C4FEA"/>
    <w:rsid w:val="007C5326"/>
    <w:rsid w:val="007C5A06"/>
    <w:rsid w:val="007C6DE1"/>
    <w:rsid w:val="007C7243"/>
    <w:rsid w:val="007C7719"/>
    <w:rsid w:val="007C77CE"/>
    <w:rsid w:val="007D05E8"/>
    <w:rsid w:val="007D05EC"/>
    <w:rsid w:val="007D135F"/>
    <w:rsid w:val="007D1804"/>
    <w:rsid w:val="007D1EA4"/>
    <w:rsid w:val="007D23E6"/>
    <w:rsid w:val="007D244C"/>
    <w:rsid w:val="007D26B4"/>
    <w:rsid w:val="007D27D2"/>
    <w:rsid w:val="007D2BC7"/>
    <w:rsid w:val="007D2DA9"/>
    <w:rsid w:val="007D31F0"/>
    <w:rsid w:val="007D3473"/>
    <w:rsid w:val="007D41BC"/>
    <w:rsid w:val="007D42A3"/>
    <w:rsid w:val="007D42AD"/>
    <w:rsid w:val="007D496B"/>
    <w:rsid w:val="007D52B6"/>
    <w:rsid w:val="007D611A"/>
    <w:rsid w:val="007D6294"/>
    <w:rsid w:val="007D6621"/>
    <w:rsid w:val="007D7B13"/>
    <w:rsid w:val="007D7D8F"/>
    <w:rsid w:val="007D7F99"/>
    <w:rsid w:val="007E0426"/>
    <w:rsid w:val="007E0445"/>
    <w:rsid w:val="007E04FE"/>
    <w:rsid w:val="007E1E56"/>
    <w:rsid w:val="007E1FC5"/>
    <w:rsid w:val="007E2DDF"/>
    <w:rsid w:val="007E3078"/>
    <w:rsid w:val="007E324A"/>
    <w:rsid w:val="007E376F"/>
    <w:rsid w:val="007E39B0"/>
    <w:rsid w:val="007E3E22"/>
    <w:rsid w:val="007E3F68"/>
    <w:rsid w:val="007E40D3"/>
    <w:rsid w:val="007E4E66"/>
    <w:rsid w:val="007E586D"/>
    <w:rsid w:val="007E5D2A"/>
    <w:rsid w:val="007E6EFB"/>
    <w:rsid w:val="007E6F0E"/>
    <w:rsid w:val="007E6FE2"/>
    <w:rsid w:val="007E722F"/>
    <w:rsid w:val="007E791D"/>
    <w:rsid w:val="007E7929"/>
    <w:rsid w:val="007F028D"/>
    <w:rsid w:val="007F0D90"/>
    <w:rsid w:val="007F0F55"/>
    <w:rsid w:val="007F11E9"/>
    <w:rsid w:val="007F1B64"/>
    <w:rsid w:val="007F1C7B"/>
    <w:rsid w:val="007F2300"/>
    <w:rsid w:val="007F2EAC"/>
    <w:rsid w:val="007F334B"/>
    <w:rsid w:val="007F3AE2"/>
    <w:rsid w:val="007F3BBD"/>
    <w:rsid w:val="007F4172"/>
    <w:rsid w:val="007F5E1B"/>
    <w:rsid w:val="007F6045"/>
    <w:rsid w:val="007F6579"/>
    <w:rsid w:val="007F698C"/>
    <w:rsid w:val="007F6D13"/>
    <w:rsid w:val="007F73A4"/>
    <w:rsid w:val="007F761F"/>
    <w:rsid w:val="007F7867"/>
    <w:rsid w:val="007F7FDE"/>
    <w:rsid w:val="0080105D"/>
    <w:rsid w:val="008028EF"/>
    <w:rsid w:val="0080344E"/>
    <w:rsid w:val="00803A6E"/>
    <w:rsid w:val="00803EAD"/>
    <w:rsid w:val="008046F1"/>
    <w:rsid w:val="00805508"/>
    <w:rsid w:val="00805D1A"/>
    <w:rsid w:val="00807111"/>
    <w:rsid w:val="00807178"/>
    <w:rsid w:val="00807800"/>
    <w:rsid w:val="00810834"/>
    <w:rsid w:val="008112CF"/>
    <w:rsid w:val="008115A6"/>
    <w:rsid w:val="008115B8"/>
    <w:rsid w:val="00813148"/>
    <w:rsid w:val="00813189"/>
    <w:rsid w:val="00813942"/>
    <w:rsid w:val="0081397F"/>
    <w:rsid w:val="008139C7"/>
    <w:rsid w:val="008144D5"/>
    <w:rsid w:val="008150FF"/>
    <w:rsid w:val="00815FA3"/>
    <w:rsid w:val="008164CA"/>
    <w:rsid w:val="0081739A"/>
    <w:rsid w:val="00817E9D"/>
    <w:rsid w:val="00817F15"/>
    <w:rsid w:val="00817F17"/>
    <w:rsid w:val="00820643"/>
    <w:rsid w:val="0082171F"/>
    <w:rsid w:val="00821840"/>
    <w:rsid w:val="00821E32"/>
    <w:rsid w:val="00821E6E"/>
    <w:rsid w:val="00821FD7"/>
    <w:rsid w:val="00822070"/>
    <w:rsid w:val="00823000"/>
    <w:rsid w:val="0082310F"/>
    <w:rsid w:val="008234B3"/>
    <w:rsid w:val="008249CC"/>
    <w:rsid w:val="00825223"/>
    <w:rsid w:val="008266B1"/>
    <w:rsid w:val="00826A54"/>
    <w:rsid w:val="008273F5"/>
    <w:rsid w:val="00827BF1"/>
    <w:rsid w:val="008305F5"/>
    <w:rsid w:val="00830B59"/>
    <w:rsid w:val="00831138"/>
    <w:rsid w:val="0083159E"/>
    <w:rsid w:val="00831766"/>
    <w:rsid w:val="0083191C"/>
    <w:rsid w:val="00831AED"/>
    <w:rsid w:val="00831E30"/>
    <w:rsid w:val="00831ED6"/>
    <w:rsid w:val="00832531"/>
    <w:rsid w:val="00833CF2"/>
    <w:rsid w:val="00834296"/>
    <w:rsid w:val="008342E9"/>
    <w:rsid w:val="00834D44"/>
    <w:rsid w:val="008353B2"/>
    <w:rsid w:val="00835F7B"/>
    <w:rsid w:val="0083626D"/>
    <w:rsid w:val="0083642D"/>
    <w:rsid w:val="00837143"/>
    <w:rsid w:val="008373A2"/>
    <w:rsid w:val="0084095E"/>
    <w:rsid w:val="00841B12"/>
    <w:rsid w:val="00841BA5"/>
    <w:rsid w:val="00841FC7"/>
    <w:rsid w:val="00842583"/>
    <w:rsid w:val="008429FF"/>
    <w:rsid w:val="00842A02"/>
    <w:rsid w:val="0084351D"/>
    <w:rsid w:val="008437FD"/>
    <w:rsid w:val="008439E8"/>
    <w:rsid w:val="00843C13"/>
    <w:rsid w:val="0084465F"/>
    <w:rsid w:val="00844878"/>
    <w:rsid w:val="0084505A"/>
    <w:rsid w:val="008450DC"/>
    <w:rsid w:val="008452F0"/>
    <w:rsid w:val="008458BF"/>
    <w:rsid w:val="00845D3D"/>
    <w:rsid w:val="0084616B"/>
    <w:rsid w:val="0084726B"/>
    <w:rsid w:val="008478BB"/>
    <w:rsid w:val="00847ABD"/>
    <w:rsid w:val="00847AF8"/>
    <w:rsid w:val="00847B1A"/>
    <w:rsid w:val="00847C4D"/>
    <w:rsid w:val="00847D0C"/>
    <w:rsid w:val="008504C3"/>
    <w:rsid w:val="00850576"/>
    <w:rsid w:val="0085162E"/>
    <w:rsid w:val="00851AEE"/>
    <w:rsid w:val="00854BA9"/>
    <w:rsid w:val="008554E7"/>
    <w:rsid w:val="00855753"/>
    <w:rsid w:val="00856990"/>
    <w:rsid w:val="00856E07"/>
    <w:rsid w:val="0085707D"/>
    <w:rsid w:val="00857209"/>
    <w:rsid w:val="00860150"/>
    <w:rsid w:val="00860A34"/>
    <w:rsid w:val="00860CB8"/>
    <w:rsid w:val="00860DDD"/>
    <w:rsid w:val="00860EED"/>
    <w:rsid w:val="00862D41"/>
    <w:rsid w:val="00862FC5"/>
    <w:rsid w:val="00863783"/>
    <w:rsid w:val="00863922"/>
    <w:rsid w:val="00864EC6"/>
    <w:rsid w:val="00866B66"/>
    <w:rsid w:val="00866DCB"/>
    <w:rsid w:val="00866F11"/>
    <w:rsid w:val="00867041"/>
    <w:rsid w:val="00867125"/>
    <w:rsid w:val="008675AE"/>
    <w:rsid w:val="00867E80"/>
    <w:rsid w:val="008701B3"/>
    <w:rsid w:val="008702FE"/>
    <w:rsid w:val="008707BA"/>
    <w:rsid w:val="00871EDC"/>
    <w:rsid w:val="00871FEE"/>
    <w:rsid w:val="008720A4"/>
    <w:rsid w:val="0087298F"/>
    <w:rsid w:val="00872EE0"/>
    <w:rsid w:val="00873715"/>
    <w:rsid w:val="00873922"/>
    <w:rsid w:val="0087440D"/>
    <w:rsid w:val="0087464F"/>
    <w:rsid w:val="00874BDF"/>
    <w:rsid w:val="00875186"/>
    <w:rsid w:val="0087518D"/>
    <w:rsid w:val="00876CCE"/>
    <w:rsid w:val="00876D3F"/>
    <w:rsid w:val="00876E6C"/>
    <w:rsid w:val="008778AB"/>
    <w:rsid w:val="00877AFE"/>
    <w:rsid w:val="00880CC1"/>
    <w:rsid w:val="008819BC"/>
    <w:rsid w:val="00881AF1"/>
    <w:rsid w:val="00881F83"/>
    <w:rsid w:val="00882140"/>
    <w:rsid w:val="008824FC"/>
    <w:rsid w:val="00882AFA"/>
    <w:rsid w:val="00883108"/>
    <w:rsid w:val="00884116"/>
    <w:rsid w:val="00884160"/>
    <w:rsid w:val="008849E3"/>
    <w:rsid w:val="00884DB8"/>
    <w:rsid w:val="00885AFE"/>
    <w:rsid w:val="00885F3B"/>
    <w:rsid w:val="00886F7B"/>
    <w:rsid w:val="00887130"/>
    <w:rsid w:val="008872B0"/>
    <w:rsid w:val="00887A05"/>
    <w:rsid w:val="00887AB6"/>
    <w:rsid w:val="00890CBC"/>
    <w:rsid w:val="00891010"/>
    <w:rsid w:val="00891186"/>
    <w:rsid w:val="00891AA2"/>
    <w:rsid w:val="00891D93"/>
    <w:rsid w:val="00891EC9"/>
    <w:rsid w:val="00891FEA"/>
    <w:rsid w:val="00892171"/>
    <w:rsid w:val="008923B1"/>
    <w:rsid w:val="008928C6"/>
    <w:rsid w:val="00892C8E"/>
    <w:rsid w:val="0089306E"/>
    <w:rsid w:val="00893631"/>
    <w:rsid w:val="008938BD"/>
    <w:rsid w:val="008949CD"/>
    <w:rsid w:val="00894BEF"/>
    <w:rsid w:val="00894D86"/>
    <w:rsid w:val="0089500A"/>
    <w:rsid w:val="00896534"/>
    <w:rsid w:val="00896983"/>
    <w:rsid w:val="00896E14"/>
    <w:rsid w:val="0089753B"/>
    <w:rsid w:val="008A07D6"/>
    <w:rsid w:val="008A0B2D"/>
    <w:rsid w:val="008A11A4"/>
    <w:rsid w:val="008A12C1"/>
    <w:rsid w:val="008A23DE"/>
    <w:rsid w:val="008A2FC4"/>
    <w:rsid w:val="008A3664"/>
    <w:rsid w:val="008A3E0A"/>
    <w:rsid w:val="008A445D"/>
    <w:rsid w:val="008A4913"/>
    <w:rsid w:val="008A4A17"/>
    <w:rsid w:val="008A4ADA"/>
    <w:rsid w:val="008A4B9B"/>
    <w:rsid w:val="008A50F4"/>
    <w:rsid w:val="008A524D"/>
    <w:rsid w:val="008A5681"/>
    <w:rsid w:val="008A74B0"/>
    <w:rsid w:val="008A7E0C"/>
    <w:rsid w:val="008B0118"/>
    <w:rsid w:val="008B0928"/>
    <w:rsid w:val="008B0948"/>
    <w:rsid w:val="008B0E25"/>
    <w:rsid w:val="008B1183"/>
    <w:rsid w:val="008B1243"/>
    <w:rsid w:val="008B16FB"/>
    <w:rsid w:val="008B17BE"/>
    <w:rsid w:val="008B19F7"/>
    <w:rsid w:val="008B1D2F"/>
    <w:rsid w:val="008B27B9"/>
    <w:rsid w:val="008B2DA4"/>
    <w:rsid w:val="008B2FBF"/>
    <w:rsid w:val="008B3194"/>
    <w:rsid w:val="008B34BD"/>
    <w:rsid w:val="008B3963"/>
    <w:rsid w:val="008B4325"/>
    <w:rsid w:val="008B4F9E"/>
    <w:rsid w:val="008B518E"/>
    <w:rsid w:val="008B5624"/>
    <w:rsid w:val="008B56A6"/>
    <w:rsid w:val="008B60F2"/>
    <w:rsid w:val="008B6143"/>
    <w:rsid w:val="008B618F"/>
    <w:rsid w:val="008B652A"/>
    <w:rsid w:val="008B6E71"/>
    <w:rsid w:val="008B7631"/>
    <w:rsid w:val="008B7C1B"/>
    <w:rsid w:val="008C073B"/>
    <w:rsid w:val="008C0B1F"/>
    <w:rsid w:val="008C13D3"/>
    <w:rsid w:val="008C226A"/>
    <w:rsid w:val="008C2338"/>
    <w:rsid w:val="008C2679"/>
    <w:rsid w:val="008C3506"/>
    <w:rsid w:val="008C44B8"/>
    <w:rsid w:val="008C47A8"/>
    <w:rsid w:val="008C5B85"/>
    <w:rsid w:val="008C5E15"/>
    <w:rsid w:val="008C6583"/>
    <w:rsid w:val="008C7B80"/>
    <w:rsid w:val="008D04F8"/>
    <w:rsid w:val="008D0747"/>
    <w:rsid w:val="008D0934"/>
    <w:rsid w:val="008D1AD2"/>
    <w:rsid w:val="008D2BB5"/>
    <w:rsid w:val="008D34F8"/>
    <w:rsid w:val="008D35B1"/>
    <w:rsid w:val="008D4002"/>
    <w:rsid w:val="008D56C2"/>
    <w:rsid w:val="008D5899"/>
    <w:rsid w:val="008D5E08"/>
    <w:rsid w:val="008D5E32"/>
    <w:rsid w:val="008D663E"/>
    <w:rsid w:val="008D679D"/>
    <w:rsid w:val="008D7223"/>
    <w:rsid w:val="008D74F5"/>
    <w:rsid w:val="008D77FA"/>
    <w:rsid w:val="008D78E3"/>
    <w:rsid w:val="008D7EAB"/>
    <w:rsid w:val="008E0331"/>
    <w:rsid w:val="008E0363"/>
    <w:rsid w:val="008E0498"/>
    <w:rsid w:val="008E0901"/>
    <w:rsid w:val="008E1860"/>
    <w:rsid w:val="008E1E3E"/>
    <w:rsid w:val="008E2353"/>
    <w:rsid w:val="008E25CF"/>
    <w:rsid w:val="008E30F6"/>
    <w:rsid w:val="008E3D29"/>
    <w:rsid w:val="008E4214"/>
    <w:rsid w:val="008E49E8"/>
    <w:rsid w:val="008E4C13"/>
    <w:rsid w:val="008E5149"/>
    <w:rsid w:val="008E5729"/>
    <w:rsid w:val="008E5770"/>
    <w:rsid w:val="008E5F7D"/>
    <w:rsid w:val="008E62D4"/>
    <w:rsid w:val="008E659C"/>
    <w:rsid w:val="008E6C98"/>
    <w:rsid w:val="008E731E"/>
    <w:rsid w:val="008E7CBD"/>
    <w:rsid w:val="008E7F42"/>
    <w:rsid w:val="008F00AE"/>
    <w:rsid w:val="008F0645"/>
    <w:rsid w:val="008F1DEA"/>
    <w:rsid w:val="008F238B"/>
    <w:rsid w:val="008F241E"/>
    <w:rsid w:val="008F28B4"/>
    <w:rsid w:val="008F2CA9"/>
    <w:rsid w:val="008F2E4E"/>
    <w:rsid w:val="008F2F25"/>
    <w:rsid w:val="008F32C7"/>
    <w:rsid w:val="008F35CD"/>
    <w:rsid w:val="008F4774"/>
    <w:rsid w:val="008F63C4"/>
    <w:rsid w:val="008F69F6"/>
    <w:rsid w:val="008F6D3A"/>
    <w:rsid w:val="008F7C2B"/>
    <w:rsid w:val="009003F2"/>
    <w:rsid w:val="0090084F"/>
    <w:rsid w:val="0090095B"/>
    <w:rsid w:val="00900BE2"/>
    <w:rsid w:val="00900E74"/>
    <w:rsid w:val="00901014"/>
    <w:rsid w:val="0090147F"/>
    <w:rsid w:val="009018E3"/>
    <w:rsid w:val="00901BF7"/>
    <w:rsid w:val="00901E65"/>
    <w:rsid w:val="00902F1B"/>
    <w:rsid w:val="0090367D"/>
    <w:rsid w:val="00903AE6"/>
    <w:rsid w:val="00903D29"/>
    <w:rsid w:val="00904128"/>
    <w:rsid w:val="0090427F"/>
    <w:rsid w:val="00905CA0"/>
    <w:rsid w:val="00905E87"/>
    <w:rsid w:val="0090608D"/>
    <w:rsid w:val="00906458"/>
    <w:rsid w:val="00906B66"/>
    <w:rsid w:val="009074AA"/>
    <w:rsid w:val="009074E6"/>
    <w:rsid w:val="00907CA3"/>
    <w:rsid w:val="00910146"/>
    <w:rsid w:val="009101D9"/>
    <w:rsid w:val="00910280"/>
    <w:rsid w:val="00910A08"/>
    <w:rsid w:val="00911921"/>
    <w:rsid w:val="009123AD"/>
    <w:rsid w:val="00913430"/>
    <w:rsid w:val="00913975"/>
    <w:rsid w:val="009146FB"/>
    <w:rsid w:val="00914AD8"/>
    <w:rsid w:val="00915235"/>
    <w:rsid w:val="009161DB"/>
    <w:rsid w:val="009162BB"/>
    <w:rsid w:val="009169AE"/>
    <w:rsid w:val="00916E62"/>
    <w:rsid w:val="00920F68"/>
    <w:rsid w:val="009211DE"/>
    <w:rsid w:val="00921C42"/>
    <w:rsid w:val="00921CFC"/>
    <w:rsid w:val="00921FCE"/>
    <w:rsid w:val="00921FE0"/>
    <w:rsid w:val="009225B3"/>
    <w:rsid w:val="009226AD"/>
    <w:rsid w:val="009238DC"/>
    <w:rsid w:val="009246EB"/>
    <w:rsid w:val="00924E75"/>
    <w:rsid w:val="00925102"/>
    <w:rsid w:val="009255B0"/>
    <w:rsid w:val="009259A5"/>
    <w:rsid w:val="00926074"/>
    <w:rsid w:val="00926547"/>
    <w:rsid w:val="0092726A"/>
    <w:rsid w:val="0092740A"/>
    <w:rsid w:val="009279AE"/>
    <w:rsid w:val="00927A4E"/>
    <w:rsid w:val="009304F4"/>
    <w:rsid w:val="0093052F"/>
    <w:rsid w:val="00930EB8"/>
    <w:rsid w:val="009315A0"/>
    <w:rsid w:val="0093182A"/>
    <w:rsid w:val="0093284C"/>
    <w:rsid w:val="0093554A"/>
    <w:rsid w:val="00935CCA"/>
    <w:rsid w:val="009379B0"/>
    <w:rsid w:val="00940502"/>
    <w:rsid w:val="009407F0"/>
    <w:rsid w:val="009425A6"/>
    <w:rsid w:val="00942C03"/>
    <w:rsid w:val="00942F3D"/>
    <w:rsid w:val="00943CB3"/>
    <w:rsid w:val="00944132"/>
    <w:rsid w:val="009441D0"/>
    <w:rsid w:val="009442FB"/>
    <w:rsid w:val="009447FE"/>
    <w:rsid w:val="00944A8F"/>
    <w:rsid w:val="009450FC"/>
    <w:rsid w:val="00945C4D"/>
    <w:rsid w:val="00945E5B"/>
    <w:rsid w:val="009501F0"/>
    <w:rsid w:val="00950E8F"/>
    <w:rsid w:val="00951618"/>
    <w:rsid w:val="00951B92"/>
    <w:rsid w:val="00951CA7"/>
    <w:rsid w:val="00951E0E"/>
    <w:rsid w:val="00951F5E"/>
    <w:rsid w:val="00952290"/>
    <w:rsid w:val="00952721"/>
    <w:rsid w:val="009539A0"/>
    <w:rsid w:val="00954AD0"/>
    <w:rsid w:val="00955103"/>
    <w:rsid w:val="0095534C"/>
    <w:rsid w:val="00955735"/>
    <w:rsid w:val="009562C1"/>
    <w:rsid w:val="00956613"/>
    <w:rsid w:val="00956C0E"/>
    <w:rsid w:val="009574AC"/>
    <w:rsid w:val="00957570"/>
    <w:rsid w:val="00957D44"/>
    <w:rsid w:val="00957DFE"/>
    <w:rsid w:val="00960008"/>
    <w:rsid w:val="0096069F"/>
    <w:rsid w:val="009607DF"/>
    <w:rsid w:val="00960821"/>
    <w:rsid w:val="00960AA5"/>
    <w:rsid w:val="00960BC7"/>
    <w:rsid w:val="00961254"/>
    <w:rsid w:val="009613C3"/>
    <w:rsid w:val="009623E5"/>
    <w:rsid w:val="0096292B"/>
    <w:rsid w:val="00962D4A"/>
    <w:rsid w:val="00963B3E"/>
    <w:rsid w:val="00963BE4"/>
    <w:rsid w:val="00963E0A"/>
    <w:rsid w:val="00964B77"/>
    <w:rsid w:val="00964D02"/>
    <w:rsid w:val="00964F04"/>
    <w:rsid w:val="009653EA"/>
    <w:rsid w:val="0096544A"/>
    <w:rsid w:val="00966B39"/>
    <w:rsid w:val="00967864"/>
    <w:rsid w:val="00967C82"/>
    <w:rsid w:val="00970448"/>
    <w:rsid w:val="00971202"/>
    <w:rsid w:val="009716FD"/>
    <w:rsid w:val="00971868"/>
    <w:rsid w:val="00972665"/>
    <w:rsid w:val="00972A7B"/>
    <w:rsid w:val="00972BF8"/>
    <w:rsid w:val="00972DE9"/>
    <w:rsid w:val="00973378"/>
    <w:rsid w:val="009753A3"/>
    <w:rsid w:val="00975484"/>
    <w:rsid w:val="00975E16"/>
    <w:rsid w:val="00976481"/>
    <w:rsid w:val="009800F4"/>
    <w:rsid w:val="009803D7"/>
    <w:rsid w:val="009807A3"/>
    <w:rsid w:val="009807B9"/>
    <w:rsid w:val="009809DA"/>
    <w:rsid w:val="00980AB1"/>
    <w:rsid w:val="00980CDE"/>
    <w:rsid w:val="009811DA"/>
    <w:rsid w:val="009826F8"/>
    <w:rsid w:val="009829AA"/>
    <w:rsid w:val="00982A2E"/>
    <w:rsid w:val="00983117"/>
    <w:rsid w:val="0098380D"/>
    <w:rsid w:val="0098403D"/>
    <w:rsid w:val="00984650"/>
    <w:rsid w:val="009846A4"/>
    <w:rsid w:val="009853BE"/>
    <w:rsid w:val="0098557D"/>
    <w:rsid w:val="0098583F"/>
    <w:rsid w:val="00986B09"/>
    <w:rsid w:val="009907AC"/>
    <w:rsid w:val="00991B6C"/>
    <w:rsid w:val="00991B80"/>
    <w:rsid w:val="00992047"/>
    <w:rsid w:val="009934F5"/>
    <w:rsid w:val="00993A25"/>
    <w:rsid w:val="009941B8"/>
    <w:rsid w:val="00994284"/>
    <w:rsid w:val="0099451F"/>
    <w:rsid w:val="00994B85"/>
    <w:rsid w:val="00994D2C"/>
    <w:rsid w:val="00996530"/>
    <w:rsid w:val="00996A79"/>
    <w:rsid w:val="00997006"/>
    <w:rsid w:val="009A08CD"/>
    <w:rsid w:val="009A09A8"/>
    <w:rsid w:val="009A0A35"/>
    <w:rsid w:val="009A0E34"/>
    <w:rsid w:val="009A0F17"/>
    <w:rsid w:val="009A1539"/>
    <w:rsid w:val="009A1571"/>
    <w:rsid w:val="009A196E"/>
    <w:rsid w:val="009A1B72"/>
    <w:rsid w:val="009A1EFC"/>
    <w:rsid w:val="009A1EFD"/>
    <w:rsid w:val="009A210E"/>
    <w:rsid w:val="009A2778"/>
    <w:rsid w:val="009A2FA3"/>
    <w:rsid w:val="009A3476"/>
    <w:rsid w:val="009A386C"/>
    <w:rsid w:val="009A42DF"/>
    <w:rsid w:val="009A54E1"/>
    <w:rsid w:val="009A604F"/>
    <w:rsid w:val="009A6B4A"/>
    <w:rsid w:val="009A70FE"/>
    <w:rsid w:val="009A73D1"/>
    <w:rsid w:val="009A754C"/>
    <w:rsid w:val="009A790B"/>
    <w:rsid w:val="009B0558"/>
    <w:rsid w:val="009B060B"/>
    <w:rsid w:val="009B1AA0"/>
    <w:rsid w:val="009B2088"/>
    <w:rsid w:val="009B2326"/>
    <w:rsid w:val="009B273A"/>
    <w:rsid w:val="009B276A"/>
    <w:rsid w:val="009B2E51"/>
    <w:rsid w:val="009B31FD"/>
    <w:rsid w:val="009B3513"/>
    <w:rsid w:val="009B3AE6"/>
    <w:rsid w:val="009B4ACC"/>
    <w:rsid w:val="009B67C0"/>
    <w:rsid w:val="009B6B42"/>
    <w:rsid w:val="009B6C21"/>
    <w:rsid w:val="009B7083"/>
    <w:rsid w:val="009B7828"/>
    <w:rsid w:val="009B7DC9"/>
    <w:rsid w:val="009C0504"/>
    <w:rsid w:val="009C050D"/>
    <w:rsid w:val="009C1374"/>
    <w:rsid w:val="009C2DD9"/>
    <w:rsid w:val="009C3D35"/>
    <w:rsid w:val="009C40C7"/>
    <w:rsid w:val="009C48B6"/>
    <w:rsid w:val="009C496A"/>
    <w:rsid w:val="009C5D8C"/>
    <w:rsid w:val="009C64EF"/>
    <w:rsid w:val="009C6CE9"/>
    <w:rsid w:val="009C775C"/>
    <w:rsid w:val="009C7C8F"/>
    <w:rsid w:val="009C7E02"/>
    <w:rsid w:val="009C7F4B"/>
    <w:rsid w:val="009C7F83"/>
    <w:rsid w:val="009D010A"/>
    <w:rsid w:val="009D0429"/>
    <w:rsid w:val="009D08BE"/>
    <w:rsid w:val="009D1BF5"/>
    <w:rsid w:val="009D1FF8"/>
    <w:rsid w:val="009D21D8"/>
    <w:rsid w:val="009D21FB"/>
    <w:rsid w:val="009D2F2D"/>
    <w:rsid w:val="009D2FE0"/>
    <w:rsid w:val="009D348A"/>
    <w:rsid w:val="009D4502"/>
    <w:rsid w:val="009D4EDC"/>
    <w:rsid w:val="009D5533"/>
    <w:rsid w:val="009D5571"/>
    <w:rsid w:val="009D55DB"/>
    <w:rsid w:val="009D57B2"/>
    <w:rsid w:val="009D68C4"/>
    <w:rsid w:val="009D7745"/>
    <w:rsid w:val="009E04CA"/>
    <w:rsid w:val="009E05C8"/>
    <w:rsid w:val="009E0763"/>
    <w:rsid w:val="009E0793"/>
    <w:rsid w:val="009E0923"/>
    <w:rsid w:val="009E0B9B"/>
    <w:rsid w:val="009E0EE7"/>
    <w:rsid w:val="009E12BA"/>
    <w:rsid w:val="009E1A9C"/>
    <w:rsid w:val="009E1CE6"/>
    <w:rsid w:val="009E2608"/>
    <w:rsid w:val="009E2E2A"/>
    <w:rsid w:val="009E3250"/>
    <w:rsid w:val="009E41B6"/>
    <w:rsid w:val="009E46F9"/>
    <w:rsid w:val="009E4E54"/>
    <w:rsid w:val="009E5EF4"/>
    <w:rsid w:val="009E5F69"/>
    <w:rsid w:val="009E6690"/>
    <w:rsid w:val="009E6A09"/>
    <w:rsid w:val="009E6C0A"/>
    <w:rsid w:val="009E7028"/>
    <w:rsid w:val="009E718E"/>
    <w:rsid w:val="009E7D9F"/>
    <w:rsid w:val="009E7DB0"/>
    <w:rsid w:val="009F01C8"/>
    <w:rsid w:val="009F0219"/>
    <w:rsid w:val="009F0AB4"/>
    <w:rsid w:val="009F1565"/>
    <w:rsid w:val="009F17DB"/>
    <w:rsid w:val="009F1A44"/>
    <w:rsid w:val="009F1F5F"/>
    <w:rsid w:val="009F29FB"/>
    <w:rsid w:val="009F2DD8"/>
    <w:rsid w:val="009F3064"/>
    <w:rsid w:val="009F3F3D"/>
    <w:rsid w:val="009F4745"/>
    <w:rsid w:val="009F5610"/>
    <w:rsid w:val="009F5FDB"/>
    <w:rsid w:val="009F6758"/>
    <w:rsid w:val="009F750F"/>
    <w:rsid w:val="009F7548"/>
    <w:rsid w:val="009F7DD2"/>
    <w:rsid w:val="00A000E2"/>
    <w:rsid w:val="00A007F2"/>
    <w:rsid w:val="00A0084E"/>
    <w:rsid w:val="00A01340"/>
    <w:rsid w:val="00A016D6"/>
    <w:rsid w:val="00A02A75"/>
    <w:rsid w:val="00A02B33"/>
    <w:rsid w:val="00A053B7"/>
    <w:rsid w:val="00A05438"/>
    <w:rsid w:val="00A05F45"/>
    <w:rsid w:val="00A07F42"/>
    <w:rsid w:val="00A111F9"/>
    <w:rsid w:val="00A11525"/>
    <w:rsid w:val="00A117B9"/>
    <w:rsid w:val="00A1191E"/>
    <w:rsid w:val="00A11B2B"/>
    <w:rsid w:val="00A12968"/>
    <w:rsid w:val="00A137FF"/>
    <w:rsid w:val="00A13A17"/>
    <w:rsid w:val="00A13C01"/>
    <w:rsid w:val="00A13C92"/>
    <w:rsid w:val="00A140E2"/>
    <w:rsid w:val="00A146E8"/>
    <w:rsid w:val="00A14F3A"/>
    <w:rsid w:val="00A1522B"/>
    <w:rsid w:val="00A159A6"/>
    <w:rsid w:val="00A15DAF"/>
    <w:rsid w:val="00A16832"/>
    <w:rsid w:val="00A174E1"/>
    <w:rsid w:val="00A17DD9"/>
    <w:rsid w:val="00A20949"/>
    <w:rsid w:val="00A21012"/>
    <w:rsid w:val="00A2141C"/>
    <w:rsid w:val="00A21C0A"/>
    <w:rsid w:val="00A22049"/>
    <w:rsid w:val="00A220D0"/>
    <w:rsid w:val="00A220E4"/>
    <w:rsid w:val="00A234C4"/>
    <w:rsid w:val="00A236BB"/>
    <w:rsid w:val="00A238D0"/>
    <w:rsid w:val="00A23A4D"/>
    <w:rsid w:val="00A23AF4"/>
    <w:rsid w:val="00A23C35"/>
    <w:rsid w:val="00A23C40"/>
    <w:rsid w:val="00A241FA"/>
    <w:rsid w:val="00A24EEF"/>
    <w:rsid w:val="00A25261"/>
    <w:rsid w:val="00A25337"/>
    <w:rsid w:val="00A25860"/>
    <w:rsid w:val="00A25DF2"/>
    <w:rsid w:val="00A25E3F"/>
    <w:rsid w:val="00A26050"/>
    <w:rsid w:val="00A26874"/>
    <w:rsid w:val="00A30485"/>
    <w:rsid w:val="00A312BB"/>
    <w:rsid w:val="00A3227B"/>
    <w:rsid w:val="00A32C34"/>
    <w:rsid w:val="00A33713"/>
    <w:rsid w:val="00A33859"/>
    <w:rsid w:val="00A33865"/>
    <w:rsid w:val="00A3402A"/>
    <w:rsid w:val="00A341A3"/>
    <w:rsid w:val="00A34756"/>
    <w:rsid w:val="00A3522C"/>
    <w:rsid w:val="00A355C5"/>
    <w:rsid w:val="00A35EC1"/>
    <w:rsid w:val="00A36712"/>
    <w:rsid w:val="00A36D4F"/>
    <w:rsid w:val="00A37071"/>
    <w:rsid w:val="00A371DB"/>
    <w:rsid w:val="00A378E8"/>
    <w:rsid w:val="00A37C14"/>
    <w:rsid w:val="00A37D40"/>
    <w:rsid w:val="00A4039C"/>
    <w:rsid w:val="00A40B55"/>
    <w:rsid w:val="00A40BB6"/>
    <w:rsid w:val="00A41D94"/>
    <w:rsid w:val="00A42072"/>
    <w:rsid w:val="00A42402"/>
    <w:rsid w:val="00A42748"/>
    <w:rsid w:val="00A42A74"/>
    <w:rsid w:val="00A43BC3"/>
    <w:rsid w:val="00A43EC6"/>
    <w:rsid w:val="00A44517"/>
    <w:rsid w:val="00A44596"/>
    <w:rsid w:val="00A44AF7"/>
    <w:rsid w:val="00A44EDA"/>
    <w:rsid w:val="00A45A64"/>
    <w:rsid w:val="00A45F33"/>
    <w:rsid w:val="00A46422"/>
    <w:rsid w:val="00A4726F"/>
    <w:rsid w:val="00A47E41"/>
    <w:rsid w:val="00A5063A"/>
    <w:rsid w:val="00A5089A"/>
    <w:rsid w:val="00A511FD"/>
    <w:rsid w:val="00A513D0"/>
    <w:rsid w:val="00A516DF"/>
    <w:rsid w:val="00A51D2C"/>
    <w:rsid w:val="00A52848"/>
    <w:rsid w:val="00A532E5"/>
    <w:rsid w:val="00A53F83"/>
    <w:rsid w:val="00A5456B"/>
    <w:rsid w:val="00A5502B"/>
    <w:rsid w:val="00A552F8"/>
    <w:rsid w:val="00A560A0"/>
    <w:rsid w:val="00A5714E"/>
    <w:rsid w:val="00A5724E"/>
    <w:rsid w:val="00A600E0"/>
    <w:rsid w:val="00A615E2"/>
    <w:rsid w:val="00A6195A"/>
    <w:rsid w:val="00A62281"/>
    <w:rsid w:val="00A627B1"/>
    <w:rsid w:val="00A62EEE"/>
    <w:rsid w:val="00A6302B"/>
    <w:rsid w:val="00A63C4B"/>
    <w:rsid w:val="00A6439E"/>
    <w:rsid w:val="00A657F1"/>
    <w:rsid w:val="00A6581C"/>
    <w:rsid w:val="00A65F45"/>
    <w:rsid w:val="00A6603D"/>
    <w:rsid w:val="00A66095"/>
    <w:rsid w:val="00A6624E"/>
    <w:rsid w:val="00A6628D"/>
    <w:rsid w:val="00A66D7B"/>
    <w:rsid w:val="00A67368"/>
    <w:rsid w:val="00A67439"/>
    <w:rsid w:val="00A678E4"/>
    <w:rsid w:val="00A67DBB"/>
    <w:rsid w:val="00A70032"/>
    <w:rsid w:val="00A700AE"/>
    <w:rsid w:val="00A7013E"/>
    <w:rsid w:val="00A703E8"/>
    <w:rsid w:val="00A707B7"/>
    <w:rsid w:val="00A7088D"/>
    <w:rsid w:val="00A727A1"/>
    <w:rsid w:val="00A72A53"/>
    <w:rsid w:val="00A72DC6"/>
    <w:rsid w:val="00A74016"/>
    <w:rsid w:val="00A743D3"/>
    <w:rsid w:val="00A7441F"/>
    <w:rsid w:val="00A752A5"/>
    <w:rsid w:val="00A759A0"/>
    <w:rsid w:val="00A75D7B"/>
    <w:rsid w:val="00A760AB"/>
    <w:rsid w:val="00A76AE0"/>
    <w:rsid w:val="00A76BDE"/>
    <w:rsid w:val="00A772C0"/>
    <w:rsid w:val="00A7781B"/>
    <w:rsid w:val="00A77A54"/>
    <w:rsid w:val="00A807C8"/>
    <w:rsid w:val="00A8088A"/>
    <w:rsid w:val="00A80A9E"/>
    <w:rsid w:val="00A80CE4"/>
    <w:rsid w:val="00A81007"/>
    <w:rsid w:val="00A81142"/>
    <w:rsid w:val="00A822F8"/>
    <w:rsid w:val="00A834C8"/>
    <w:rsid w:val="00A83C8A"/>
    <w:rsid w:val="00A84EA3"/>
    <w:rsid w:val="00A84F18"/>
    <w:rsid w:val="00A8514B"/>
    <w:rsid w:val="00A851B6"/>
    <w:rsid w:val="00A85BD3"/>
    <w:rsid w:val="00A86144"/>
    <w:rsid w:val="00A86963"/>
    <w:rsid w:val="00A86CAA"/>
    <w:rsid w:val="00A870DD"/>
    <w:rsid w:val="00A87FEC"/>
    <w:rsid w:val="00A9051E"/>
    <w:rsid w:val="00A905E9"/>
    <w:rsid w:val="00A90D97"/>
    <w:rsid w:val="00A90F46"/>
    <w:rsid w:val="00A91EFA"/>
    <w:rsid w:val="00A934F5"/>
    <w:rsid w:val="00A93759"/>
    <w:rsid w:val="00A93B92"/>
    <w:rsid w:val="00A94300"/>
    <w:rsid w:val="00A95E1F"/>
    <w:rsid w:val="00A95FAC"/>
    <w:rsid w:val="00A977AA"/>
    <w:rsid w:val="00AA0232"/>
    <w:rsid w:val="00AA0536"/>
    <w:rsid w:val="00AA310B"/>
    <w:rsid w:val="00AA376C"/>
    <w:rsid w:val="00AA3A53"/>
    <w:rsid w:val="00AA3C59"/>
    <w:rsid w:val="00AA3C5A"/>
    <w:rsid w:val="00AA439C"/>
    <w:rsid w:val="00AA44CA"/>
    <w:rsid w:val="00AA48EC"/>
    <w:rsid w:val="00AA569C"/>
    <w:rsid w:val="00AA5BB7"/>
    <w:rsid w:val="00AA5F00"/>
    <w:rsid w:val="00AA65D9"/>
    <w:rsid w:val="00AA744F"/>
    <w:rsid w:val="00AA75E4"/>
    <w:rsid w:val="00AA79B1"/>
    <w:rsid w:val="00AA7A5B"/>
    <w:rsid w:val="00AA7CB2"/>
    <w:rsid w:val="00AB014E"/>
    <w:rsid w:val="00AB022D"/>
    <w:rsid w:val="00AB04D2"/>
    <w:rsid w:val="00AB0EC9"/>
    <w:rsid w:val="00AB1121"/>
    <w:rsid w:val="00AB1811"/>
    <w:rsid w:val="00AB188B"/>
    <w:rsid w:val="00AB2284"/>
    <w:rsid w:val="00AB3730"/>
    <w:rsid w:val="00AB3744"/>
    <w:rsid w:val="00AB37F7"/>
    <w:rsid w:val="00AB423D"/>
    <w:rsid w:val="00AB465A"/>
    <w:rsid w:val="00AB4FAE"/>
    <w:rsid w:val="00AB5E50"/>
    <w:rsid w:val="00AB629A"/>
    <w:rsid w:val="00AB64B1"/>
    <w:rsid w:val="00AB64D8"/>
    <w:rsid w:val="00AB66EB"/>
    <w:rsid w:val="00AB6CC0"/>
    <w:rsid w:val="00AB7108"/>
    <w:rsid w:val="00AB721E"/>
    <w:rsid w:val="00AB773F"/>
    <w:rsid w:val="00AB79A5"/>
    <w:rsid w:val="00AB7BE2"/>
    <w:rsid w:val="00AB7C3D"/>
    <w:rsid w:val="00AB7FCC"/>
    <w:rsid w:val="00AC096B"/>
    <w:rsid w:val="00AC0CCC"/>
    <w:rsid w:val="00AC1315"/>
    <w:rsid w:val="00AC153F"/>
    <w:rsid w:val="00AC1A6B"/>
    <w:rsid w:val="00AC1C52"/>
    <w:rsid w:val="00AC1E68"/>
    <w:rsid w:val="00AC261F"/>
    <w:rsid w:val="00AC2DA5"/>
    <w:rsid w:val="00AC38D7"/>
    <w:rsid w:val="00AC42A5"/>
    <w:rsid w:val="00AC4656"/>
    <w:rsid w:val="00AC476B"/>
    <w:rsid w:val="00AC4CE8"/>
    <w:rsid w:val="00AC4E9F"/>
    <w:rsid w:val="00AC5065"/>
    <w:rsid w:val="00AC53A3"/>
    <w:rsid w:val="00AC55A2"/>
    <w:rsid w:val="00AC5EB0"/>
    <w:rsid w:val="00AC5F6D"/>
    <w:rsid w:val="00AC62D2"/>
    <w:rsid w:val="00AC6A98"/>
    <w:rsid w:val="00AC704D"/>
    <w:rsid w:val="00AC759D"/>
    <w:rsid w:val="00AC76B2"/>
    <w:rsid w:val="00AC76CC"/>
    <w:rsid w:val="00AC7CE4"/>
    <w:rsid w:val="00AD01B9"/>
    <w:rsid w:val="00AD02C5"/>
    <w:rsid w:val="00AD11B3"/>
    <w:rsid w:val="00AD2727"/>
    <w:rsid w:val="00AD2B33"/>
    <w:rsid w:val="00AD2E78"/>
    <w:rsid w:val="00AD41C7"/>
    <w:rsid w:val="00AD4862"/>
    <w:rsid w:val="00AD4B33"/>
    <w:rsid w:val="00AD5060"/>
    <w:rsid w:val="00AD50E5"/>
    <w:rsid w:val="00AD52AB"/>
    <w:rsid w:val="00AD532A"/>
    <w:rsid w:val="00AD56B7"/>
    <w:rsid w:val="00AD61CB"/>
    <w:rsid w:val="00AD6698"/>
    <w:rsid w:val="00AD6C53"/>
    <w:rsid w:val="00AD6D90"/>
    <w:rsid w:val="00AD6F3A"/>
    <w:rsid w:val="00AD729F"/>
    <w:rsid w:val="00AD7468"/>
    <w:rsid w:val="00AD7D1F"/>
    <w:rsid w:val="00AD7F30"/>
    <w:rsid w:val="00AE02F3"/>
    <w:rsid w:val="00AE05A6"/>
    <w:rsid w:val="00AE0B24"/>
    <w:rsid w:val="00AE0DB8"/>
    <w:rsid w:val="00AE1E0E"/>
    <w:rsid w:val="00AE251F"/>
    <w:rsid w:val="00AE425B"/>
    <w:rsid w:val="00AE4642"/>
    <w:rsid w:val="00AE4696"/>
    <w:rsid w:val="00AE4AFC"/>
    <w:rsid w:val="00AE6112"/>
    <w:rsid w:val="00AE6873"/>
    <w:rsid w:val="00AE6C0E"/>
    <w:rsid w:val="00AE7279"/>
    <w:rsid w:val="00AE7DE8"/>
    <w:rsid w:val="00AF010B"/>
    <w:rsid w:val="00AF0149"/>
    <w:rsid w:val="00AF040F"/>
    <w:rsid w:val="00AF0A31"/>
    <w:rsid w:val="00AF0ACF"/>
    <w:rsid w:val="00AF0FD7"/>
    <w:rsid w:val="00AF16A6"/>
    <w:rsid w:val="00AF1C2C"/>
    <w:rsid w:val="00AF1C55"/>
    <w:rsid w:val="00AF247E"/>
    <w:rsid w:val="00AF2B85"/>
    <w:rsid w:val="00AF2E07"/>
    <w:rsid w:val="00AF3292"/>
    <w:rsid w:val="00AF36F9"/>
    <w:rsid w:val="00AF3CF3"/>
    <w:rsid w:val="00AF4723"/>
    <w:rsid w:val="00AF4E5D"/>
    <w:rsid w:val="00AF5227"/>
    <w:rsid w:val="00AF52E3"/>
    <w:rsid w:val="00AF602E"/>
    <w:rsid w:val="00AF6CED"/>
    <w:rsid w:val="00AF71A8"/>
    <w:rsid w:val="00AF751B"/>
    <w:rsid w:val="00AF7CBA"/>
    <w:rsid w:val="00B00B26"/>
    <w:rsid w:val="00B00BFF"/>
    <w:rsid w:val="00B01543"/>
    <w:rsid w:val="00B017EB"/>
    <w:rsid w:val="00B02015"/>
    <w:rsid w:val="00B024CE"/>
    <w:rsid w:val="00B02AFA"/>
    <w:rsid w:val="00B02C62"/>
    <w:rsid w:val="00B03055"/>
    <w:rsid w:val="00B03A8B"/>
    <w:rsid w:val="00B03F53"/>
    <w:rsid w:val="00B04410"/>
    <w:rsid w:val="00B057AD"/>
    <w:rsid w:val="00B0677B"/>
    <w:rsid w:val="00B06D61"/>
    <w:rsid w:val="00B06D7E"/>
    <w:rsid w:val="00B07260"/>
    <w:rsid w:val="00B07BFB"/>
    <w:rsid w:val="00B10B48"/>
    <w:rsid w:val="00B11204"/>
    <w:rsid w:val="00B113CE"/>
    <w:rsid w:val="00B1179B"/>
    <w:rsid w:val="00B11ACA"/>
    <w:rsid w:val="00B11AF0"/>
    <w:rsid w:val="00B12473"/>
    <w:rsid w:val="00B12BCF"/>
    <w:rsid w:val="00B12CC8"/>
    <w:rsid w:val="00B12E61"/>
    <w:rsid w:val="00B12E8D"/>
    <w:rsid w:val="00B13607"/>
    <w:rsid w:val="00B13996"/>
    <w:rsid w:val="00B13AC6"/>
    <w:rsid w:val="00B13C5E"/>
    <w:rsid w:val="00B13C63"/>
    <w:rsid w:val="00B14466"/>
    <w:rsid w:val="00B14603"/>
    <w:rsid w:val="00B14B03"/>
    <w:rsid w:val="00B14E31"/>
    <w:rsid w:val="00B15D97"/>
    <w:rsid w:val="00B15E88"/>
    <w:rsid w:val="00B166A8"/>
    <w:rsid w:val="00B16B00"/>
    <w:rsid w:val="00B16C97"/>
    <w:rsid w:val="00B16F7C"/>
    <w:rsid w:val="00B17030"/>
    <w:rsid w:val="00B17148"/>
    <w:rsid w:val="00B1743A"/>
    <w:rsid w:val="00B1786E"/>
    <w:rsid w:val="00B200E7"/>
    <w:rsid w:val="00B20623"/>
    <w:rsid w:val="00B20F01"/>
    <w:rsid w:val="00B21C7E"/>
    <w:rsid w:val="00B223E6"/>
    <w:rsid w:val="00B228B9"/>
    <w:rsid w:val="00B22902"/>
    <w:rsid w:val="00B22BA8"/>
    <w:rsid w:val="00B22C46"/>
    <w:rsid w:val="00B23092"/>
    <w:rsid w:val="00B2370B"/>
    <w:rsid w:val="00B23820"/>
    <w:rsid w:val="00B23E09"/>
    <w:rsid w:val="00B24156"/>
    <w:rsid w:val="00B245C4"/>
    <w:rsid w:val="00B24C90"/>
    <w:rsid w:val="00B25099"/>
    <w:rsid w:val="00B253B6"/>
    <w:rsid w:val="00B2586D"/>
    <w:rsid w:val="00B25951"/>
    <w:rsid w:val="00B25CE1"/>
    <w:rsid w:val="00B25D99"/>
    <w:rsid w:val="00B2630F"/>
    <w:rsid w:val="00B264E2"/>
    <w:rsid w:val="00B303E2"/>
    <w:rsid w:val="00B30B43"/>
    <w:rsid w:val="00B31482"/>
    <w:rsid w:val="00B3245F"/>
    <w:rsid w:val="00B32B76"/>
    <w:rsid w:val="00B32C3B"/>
    <w:rsid w:val="00B32C73"/>
    <w:rsid w:val="00B330EF"/>
    <w:rsid w:val="00B34654"/>
    <w:rsid w:val="00B3560F"/>
    <w:rsid w:val="00B3566A"/>
    <w:rsid w:val="00B3577A"/>
    <w:rsid w:val="00B36649"/>
    <w:rsid w:val="00B37B57"/>
    <w:rsid w:val="00B37F89"/>
    <w:rsid w:val="00B4028A"/>
    <w:rsid w:val="00B404A6"/>
    <w:rsid w:val="00B408F2"/>
    <w:rsid w:val="00B40A3C"/>
    <w:rsid w:val="00B41D69"/>
    <w:rsid w:val="00B41F3D"/>
    <w:rsid w:val="00B421B9"/>
    <w:rsid w:val="00B42884"/>
    <w:rsid w:val="00B43B74"/>
    <w:rsid w:val="00B43BAD"/>
    <w:rsid w:val="00B43F9D"/>
    <w:rsid w:val="00B44F8A"/>
    <w:rsid w:val="00B452A9"/>
    <w:rsid w:val="00B452BA"/>
    <w:rsid w:val="00B46C8C"/>
    <w:rsid w:val="00B46CA8"/>
    <w:rsid w:val="00B51CD9"/>
    <w:rsid w:val="00B51D5E"/>
    <w:rsid w:val="00B51E6C"/>
    <w:rsid w:val="00B53445"/>
    <w:rsid w:val="00B5372B"/>
    <w:rsid w:val="00B54B46"/>
    <w:rsid w:val="00B5579E"/>
    <w:rsid w:val="00B55B9E"/>
    <w:rsid w:val="00B55FB4"/>
    <w:rsid w:val="00B56361"/>
    <w:rsid w:val="00B5653A"/>
    <w:rsid w:val="00B567B9"/>
    <w:rsid w:val="00B56869"/>
    <w:rsid w:val="00B573CE"/>
    <w:rsid w:val="00B5757F"/>
    <w:rsid w:val="00B600DC"/>
    <w:rsid w:val="00B61ABC"/>
    <w:rsid w:val="00B61E10"/>
    <w:rsid w:val="00B61EDC"/>
    <w:rsid w:val="00B6238F"/>
    <w:rsid w:val="00B6277A"/>
    <w:rsid w:val="00B63681"/>
    <w:rsid w:val="00B6398D"/>
    <w:rsid w:val="00B63F9C"/>
    <w:rsid w:val="00B64767"/>
    <w:rsid w:val="00B6477A"/>
    <w:rsid w:val="00B64C61"/>
    <w:rsid w:val="00B64E82"/>
    <w:rsid w:val="00B6500E"/>
    <w:rsid w:val="00B657EE"/>
    <w:rsid w:val="00B65BCE"/>
    <w:rsid w:val="00B65D6A"/>
    <w:rsid w:val="00B65DB3"/>
    <w:rsid w:val="00B6650A"/>
    <w:rsid w:val="00B677F4"/>
    <w:rsid w:val="00B67C7F"/>
    <w:rsid w:val="00B70BBC"/>
    <w:rsid w:val="00B70EE8"/>
    <w:rsid w:val="00B7128A"/>
    <w:rsid w:val="00B71668"/>
    <w:rsid w:val="00B716B5"/>
    <w:rsid w:val="00B71C71"/>
    <w:rsid w:val="00B71D81"/>
    <w:rsid w:val="00B72091"/>
    <w:rsid w:val="00B723E6"/>
    <w:rsid w:val="00B72BED"/>
    <w:rsid w:val="00B73212"/>
    <w:rsid w:val="00B7359A"/>
    <w:rsid w:val="00B73A02"/>
    <w:rsid w:val="00B74151"/>
    <w:rsid w:val="00B748C6"/>
    <w:rsid w:val="00B751B0"/>
    <w:rsid w:val="00B752A0"/>
    <w:rsid w:val="00B754C5"/>
    <w:rsid w:val="00B75BCA"/>
    <w:rsid w:val="00B75EE1"/>
    <w:rsid w:val="00B763BE"/>
    <w:rsid w:val="00B76C26"/>
    <w:rsid w:val="00B76EA0"/>
    <w:rsid w:val="00B77F9F"/>
    <w:rsid w:val="00B80097"/>
    <w:rsid w:val="00B802D8"/>
    <w:rsid w:val="00B80A0C"/>
    <w:rsid w:val="00B80A9A"/>
    <w:rsid w:val="00B80DD3"/>
    <w:rsid w:val="00B8116A"/>
    <w:rsid w:val="00B811A2"/>
    <w:rsid w:val="00B813F0"/>
    <w:rsid w:val="00B816C9"/>
    <w:rsid w:val="00B81E0F"/>
    <w:rsid w:val="00B81F32"/>
    <w:rsid w:val="00B825EF"/>
    <w:rsid w:val="00B82C6B"/>
    <w:rsid w:val="00B82CD7"/>
    <w:rsid w:val="00B82E52"/>
    <w:rsid w:val="00B82F30"/>
    <w:rsid w:val="00B83063"/>
    <w:rsid w:val="00B839C0"/>
    <w:rsid w:val="00B83DC1"/>
    <w:rsid w:val="00B841B2"/>
    <w:rsid w:val="00B8481C"/>
    <w:rsid w:val="00B84B46"/>
    <w:rsid w:val="00B85141"/>
    <w:rsid w:val="00B85302"/>
    <w:rsid w:val="00B85787"/>
    <w:rsid w:val="00B85B33"/>
    <w:rsid w:val="00B85BF5"/>
    <w:rsid w:val="00B85E65"/>
    <w:rsid w:val="00B85FF1"/>
    <w:rsid w:val="00B86845"/>
    <w:rsid w:val="00B86BDB"/>
    <w:rsid w:val="00B871DF"/>
    <w:rsid w:val="00B90065"/>
    <w:rsid w:val="00B90621"/>
    <w:rsid w:val="00B90AE5"/>
    <w:rsid w:val="00B90C90"/>
    <w:rsid w:val="00B9124E"/>
    <w:rsid w:val="00B91D0B"/>
    <w:rsid w:val="00B9223B"/>
    <w:rsid w:val="00B93750"/>
    <w:rsid w:val="00B9420B"/>
    <w:rsid w:val="00B94577"/>
    <w:rsid w:val="00B94A95"/>
    <w:rsid w:val="00B9511A"/>
    <w:rsid w:val="00B957D0"/>
    <w:rsid w:val="00B96DCF"/>
    <w:rsid w:val="00B97167"/>
    <w:rsid w:val="00B97752"/>
    <w:rsid w:val="00B97AD7"/>
    <w:rsid w:val="00BA058E"/>
    <w:rsid w:val="00BA0A82"/>
    <w:rsid w:val="00BA0CED"/>
    <w:rsid w:val="00BA102B"/>
    <w:rsid w:val="00BA114B"/>
    <w:rsid w:val="00BA15A9"/>
    <w:rsid w:val="00BA15B4"/>
    <w:rsid w:val="00BA1AC8"/>
    <w:rsid w:val="00BA21F4"/>
    <w:rsid w:val="00BA29AF"/>
    <w:rsid w:val="00BA2B2C"/>
    <w:rsid w:val="00BA343A"/>
    <w:rsid w:val="00BA40AB"/>
    <w:rsid w:val="00BA4A64"/>
    <w:rsid w:val="00BA4CA9"/>
    <w:rsid w:val="00BA5663"/>
    <w:rsid w:val="00BA5D99"/>
    <w:rsid w:val="00BA6B1F"/>
    <w:rsid w:val="00BA7461"/>
    <w:rsid w:val="00BA7463"/>
    <w:rsid w:val="00BA7D9D"/>
    <w:rsid w:val="00BA7DC2"/>
    <w:rsid w:val="00BB069A"/>
    <w:rsid w:val="00BB06E9"/>
    <w:rsid w:val="00BB0889"/>
    <w:rsid w:val="00BB1134"/>
    <w:rsid w:val="00BB11FB"/>
    <w:rsid w:val="00BB1FD7"/>
    <w:rsid w:val="00BB246D"/>
    <w:rsid w:val="00BB2A0B"/>
    <w:rsid w:val="00BB3558"/>
    <w:rsid w:val="00BB3752"/>
    <w:rsid w:val="00BB3818"/>
    <w:rsid w:val="00BB38E8"/>
    <w:rsid w:val="00BB3D83"/>
    <w:rsid w:val="00BB4122"/>
    <w:rsid w:val="00BB4859"/>
    <w:rsid w:val="00BB4865"/>
    <w:rsid w:val="00BB4C48"/>
    <w:rsid w:val="00BB4C94"/>
    <w:rsid w:val="00BB510E"/>
    <w:rsid w:val="00BB5BB4"/>
    <w:rsid w:val="00BB5DC7"/>
    <w:rsid w:val="00BB5EEC"/>
    <w:rsid w:val="00BB62F2"/>
    <w:rsid w:val="00BB6E94"/>
    <w:rsid w:val="00BB71C2"/>
    <w:rsid w:val="00BB745E"/>
    <w:rsid w:val="00BC0251"/>
    <w:rsid w:val="00BC10BA"/>
    <w:rsid w:val="00BC175E"/>
    <w:rsid w:val="00BC24E9"/>
    <w:rsid w:val="00BC2902"/>
    <w:rsid w:val="00BC2A04"/>
    <w:rsid w:val="00BC2C7E"/>
    <w:rsid w:val="00BC2CDF"/>
    <w:rsid w:val="00BC3CD7"/>
    <w:rsid w:val="00BC403C"/>
    <w:rsid w:val="00BC4072"/>
    <w:rsid w:val="00BC47C5"/>
    <w:rsid w:val="00BC48D3"/>
    <w:rsid w:val="00BC5512"/>
    <w:rsid w:val="00BC6F8E"/>
    <w:rsid w:val="00BC72A5"/>
    <w:rsid w:val="00BC7384"/>
    <w:rsid w:val="00BC780C"/>
    <w:rsid w:val="00BC79D7"/>
    <w:rsid w:val="00BC7DAC"/>
    <w:rsid w:val="00BC7E55"/>
    <w:rsid w:val="00BC7F39"/>
    <w:rsid w:val="00BD025F"/>
    <w:rsid w:val="00BD042D"/>
    <w:rsid w:val="00BD0465"/>
    <w:rsid w:val="00BD1147"/>
    <w:rsid w:val="00BD1718"/>
    <w:rsid w:val="00BD39F2"/>
    <w:rsid w:val="00BD420A"/>
    <w:rsid w:val="00BD43F8"/>
    <w:rsid w:val="00BD45B8"/>
    <w:rsid w:val="00BD483E"/>
    <w:rsid w:val="00BD4906"/>
    <w:rsid w:val="00BD61D7"/>
    <w:rsid w:val="00BD6FE7"/>
    <w:rsid w:val="00BD72FB"/>
    <w:rsid w:val="00BD7818"/>
    <w:rsid w:val="00BE0DDC"/>
    <w:rsid w:val="00BE10A1"/>
    <w:rsid w:val="00BE1751"/>
    <w:rsid w:val="00BE188F"/>
    <w:rsid w:val="00BE1F43"/>
    <w:rsid w:val="00BE22DE"/>
    <w:rsid w:val="00BE22F7"/>
    <w:rsid w:val="00BE2369"/>
    <w:rsid w:val="00BE346B"/>
    <w:rsid w:val="00BE3901"/>
    <w:rsid w:val="00BE4295"/>
    <w:rsid w:val="00BE64F7"/>
    <w:rsid w:val="00BE6EBD"/>
    <w:rsid w:val="00BE7157"/>
    <w:rsid w:val="00BE71FF"/>
    <w:rsid w:val="00BE73F3"/>
    <w:rsid w:val="00BE7B81"/>
    <w:rsid w:val="00BF020C"/>
    <w:rsid w:val="00BF129E"/>
    <w:rsid w:val="00BF14AA"/>
    <w:rsid w:val="00BF1C97"/>
    <w:rsid w:val="00BF1DE8"/>
    <w:rsid w:val="00BF24DF"/>
    <w:rsid w:val="00BF2A5D"/>
    <w:rsid w:val="00BF2BE0"/>
    <w:rsid w:val="00BF3B68"/>
    <w:rsid w:val="00BF3E41"/>
    <w:rsid w:val="00BF403B"/>
    <w:rsid w:val="00BF42BB"/>
    <w:rsid w:val="00BF43F4"/>
    <w:rsid w:val="00BF4D5E"/>
    <w:rsid w:val="00BF55FE"/>
    <w:rsid w:val="00BF57AF"/>
    <w:rsid w:val="00BF5DCE"/>
    <w:rsid w:val="00BF5EC4"/>
    <w:rsid w:val="00BF6476"/>
    <w:rsid w:val="00BF6516"/>
    <w:rsid w:val="00BF764E"/>
    <w:rsid w:val="00BF7983"/>
    <w:rsid w:val="00BF798F"/>
    <w:rsid w:val="00C0085A"/>
    <w:rsid w:val="00C00C06"/>
    <w:rsid w:val="00C00ED5"/>
    <w:rsid w:val="00C0130B"/>
    <w:rsid w:val="00C01817"/>
    <w:rsid w:val="00C0229A"/>
    <w:rsid w:val="00C02894"/>
    <w:rsid w:val="00C02CF4"/>
    <w:rsid w:val="00C03116"/>
    <w:rsid w:val="00C03463"/>
    <w:rsid w:val="00C03687"/>
    <w:rsid w:val="00C03B81"/>
    <w:rsid w:val="00C03CC2"/>
    <w:rsid w:val="00C04C5C"/>
    <w:rsid w:val="00C04FEB"/>
    <w:rsid w:val="00C05016"/>
    <w:rsid w:val="00C05576"/>
    <w:rsid w:val="00C056BE"/>
    <w:rsid w:val="00C05A5E"/>
    <w:rsid w:val="00C05A81"/>
    <w:rsid w:val="00C05D92"/>
    <w:rsid w:val="00C05E45"/>
    <w:rsid w:val="00C060F0"/>
    <w:rsid w:val="00C06A08"/>
    <w:rsid w:val="00C06DCA"/>
    <w:rsid w:val="00C06EE6"/>
    <w:rsid w:val="00C06F70"/>
    <w:rsid w:val="00C115B8"/>
    <w:rsid w:val="00C123A1"/>
    <w:rsid w:val="00C1252E"/>
    <w:rsid w:val="00C126AC"/>
    <w:rsid w:val="00C13CC5"/>
    <w:rsid w:val="00C14D6D"/>
    <w:rsid w:val="00C14F4D"/>
    <w:rsid w:val="00C15CCB"/>
    <w:rsid w:val="00C15E74"/>
    <w:rsid w:val="00C161C8"/>
    <w:rsid w:val="00C1620D"/>
    <w:rsid w:val="00C1742D"/>
    <w:rsid w:val="00C20567"/>
    <w:rsid w:val="00C20BD1"/>
    <w:rsid w:val="00C21E33"/>
    <w:rsid w:val="00C21F58"/>
    <w:rsid w:val="00C2214F"/>
    <w:rsid w:val="00C22153"/>
    <w:rsid w:val="00C221EE"/>
    <w:rsid w:val="00C2220E"/>
    <w:rsid w:val="00C2281F"/>
    <w:rsid w:val="00C23E18"/>
    <w:rsid w:val="00C247A4"/>
    <w:rsid w:val="00C2492A"/>
    <w:rsid w:val="00C24AE6"/>
    <w:rsid w:val="00C251A6"/>
    <w:rsid w:val="00C25778"/>
    <w:rsid w:val="00C25AA3"/>
    <w:rsid w:val="00C25B28"/>
    <w:rsid w:val="00C25B90"/>
    <w:rsid w:val="00C26288"/>
    <w:rsid w:val="00C2632B"/>
    <w:rsid w:val="00C26E8F"/>
    <w:rsid w:val="00C27BFE"/>
    <w:rsid w:val="00C301F4"/>
    <w:rsid w:val="00C30893"/>
    <w:rsid w:val="00C308EF"/>
    <w:rsid w:val="00C313A9"/>
    <w:rsid w:val="00C319AC"/>
    <w:rsid w:val="00C31FBD"/>
    <w:rsid w:val="00C3281D"/>
    <w:rsid w:val="00C32991"/>
    <w:rsid w:val="00C33356"/>
    <w:rsid w:val="00C34002"/>
    <w:rsid w:val="00C34810"/>
    <w:rsid w:val="00C3622A"/>
    <w:rsid w:val="00C37696"/>
    <w:rsid w:val="00C378D4"/>
    <w:rsid w:val="00C40273"/>
    <w:rsid w:val="00C403B0"/>
    <w:rsid w:val="00C40C93"/>
    <w:rsid w:val="00C41505"/>
    <w:rsid w:val="00C415A0"/>
    <w:rsid w:val="00C41A8A"/>
    <w:rsid w:val="00C41C9A"/>
    <w:rsid w:val="00C42695"/>
    <w:rsid w:val="00C42AF4"/>
    <w:rsid w:val="00C430F6"/>
    <w:rsid w:val="00C4337E"/>
    <w:rsid w:val="00C437D5"/>
    <w:rsid w:val="00C437F5"/>
    <w:rsid w:val="00C4459A"/>
    <w:rsid w:val="00C4476E"/>
    <w:rsid w:val="00C44B00"/>
    <w:rsid w:val="00C44B33"/>
    <w:rsid w:val="00C4522D"/>
    <w:rsid w:val="00C45463"/>
    <w:rsid w:val="00C4548A"/>
    <w:rsid w:val="00C45E7A"/>
    <w:rsid w:val="00C46D48"/>
    <w:rsid w:val="00C47822"/>
    <w:rsid w:val="00C501FA"/>
    <w:rsid w:val="00C51039"/>
    <w:rsid w:val="00C5132C"/>
    <w:rsid w:val="00C51BE5"/>
    <w:rsid w:val="00C51C9F"/>
    <w:rsid w:val="00C524F1"/>
    <w:rsid w:val="00C5402D"/>
    <w:rsid w:val="00C54BC6"/>
    <w:rsid w:val="00C55A5C"/>
    <w:rsid w:val="00C56032"/>
    <w:rsid w:val="00C560AD"/>
    <w:rsid w:val="00C562DA"/>
    <w:rsid w:val="00C56387"/>
    <w:rsid w:val="00C60973"/>
    <w:rsid w:val="00C613EC"/>
    <w:rsid w:val="00C6248F"/>
    <w:rsid w:val="00C62DA8"/>
    <w:rsid w:val="00C630F0"/>
    <w:rsid w:val="00C63B5B"/>
    <w:rsid w:val="00C644EF"/>
    <w:rsid w:val="00C64680"/>
    <w:rsid w:val="00C65589"/>
    <w:rsid w:val="00C65C02"/>
    <w:rsid w:val="00C669F5"/>
    <w:rsid w:val="00C677B4"/>
    <w:rsid w:val="00C67F29"/>
    <w:rsid w:val="00C70061"/>
    <w:rsid w:val="00C70D2E"/>
    <w:rsid w:val="00C70D6C"/>
    <w:rsid w:val="00C717B8"/>
    <w:rsid w:val="00C71C91"/>
    <w:rsid w:val="00C72068"/>
    <w:rsid w:val="00C72289"/>
    <w:rsid w:val="00C729DA"/>
    <w:rsid w:val="00C73F20"/>
    <w:rsid w:val="00C74B64"/>
    <w:rsid w:val="00C75465"/>
    <w:rsid w:val="00C7562A"/>
    <w:rsid w:val="00C75A04"/>
    <w:rsid w:val="00C76C5B"/>
    <w:rsid w:val="00C76D8A"/>
    <w:rsid w:val="00C76D9C"/>
    <w:rsid w:val="00C77A2F"/>
    <w:rsid w:val="00C77F59"/>
    <w:rsid w:val="00C80380"/>
    <w:rsid w:val="00C81663"/>
    <w:rsid w:val="00C8177F"/>
    <w:rsid w:val="00C81DB0"/>
    <w:rsid w:val="00C82079"/>
    <w:rsid w:val="00C8211E"/>
    <w:rsid w:val="00C832FD"/>
    <w:rsid w:val="00C83659"/>
    <w:rsid w:val="00C83A7E"/>
    <w:rsid w:val="00C84D16"/>
    <w:rsid w:val="00C84DF4"/>
    <w:rsid w:val="00C85E22"/>
    <w:rsid w:val="00C85EC9"/>
    <w:rsid w:val="00C86007"/>
    <w:rsid w:val="00C8668F"/>
    <w:rsid w:val="00C86949"/>
    <w:rsid w:val="00C8782E"/>
    <w:rsid w:val="00C87C2D"/>
    <w:rsid w:val="00C87C4C"/>
    <w:rsid w:val="00C9005B"/>
    <w:rsid w:val="00C90235"/>
    <w:rsid w:val="00C9082A"/>
    <w:rsid w:val="00C90AD3"/>
    <w:rsid w:val="00C910A2"/>
    <w:rsid w:val="00C914AC"/>
    <w:rsid w:val="00C9240F"/>
    <w:rsid w:val="00C93125"/>
    <w:rsid w:val="00C94073"/>
    <w:rsid w:val="00C943F4"/>
    <w:rsid w:val="00C94DD1"/>
    <w:rsid w:val="00C94F80"/>
    <w:rsid w:val="00C951EB"/>
    <w:rsid w:val="00C95CDD"/>
    <w:rsid w:val="00C95FEA"/>
    <w:rsid w:val="00C9707B"/>
    <w:rsid w:val="00C97649"/>
    <w:rsid w:val="00C97A6E"/>
    <w:rsid w:val="00C97FE2"/>
    <w:rsid w:val="00CA0011"/>
    <w:rsid w:val="00CA01C6"/>
    <w:rsid w:val="00CA0315"/>
    <w:rsid w:val="00CA08B4"/>
    <w:rsid w:val="00CA0C34"/>
    <w:rsid w:val="00CA1438"/>
    <w:rsid w:val="00CA177A"/>
    <w:rsid w:val="00CA271E"/>
    <w:rsid w:val="00CA2CC7"/>
    <w:rsid w:val="00CA2CEB"/>
    <w:rsid w:val="00CA2D50"/>
    <w:rsid w:val="00CA3580"/>
    <w:rsid w:val="00CA362D"/>
    <w:rsid w:val="00CA456E"/>
    <w:rsid w:val="00CA4BA2"/>
    <w:rsid w:val="00CA5EB3"/>
    <w:rsid w:val="00CA5F8B"/>
    <w:rsid w:val="00CA6178"/>
    <w:rsid w:val="00CA6511"/>
    <w:rsid w:val="00CA68AE"/>
    <w:rsid w:val="00CA7295"/>
    <w:rsid w:val="00CA7472"/>
    <w:rsid w:val="00CA7A81"/>
    <w:rsid w:val="00CB0CFA"/>
    <w:rsid w:val="00CB0E6D"/>
    <w:rsid w:val="00CB1D66"/>
    <w:rsid w:val="00CB1FEE"/>
    <w:rsid w:val="00CB22D0"/>
    <w:rsid w:val="00CB263B"/>
    <w:rsid w:val="00CB31ED"/>
    <w:rsid w:val="00CB3908"/>
    <w:rsid w:val="00CB465C"/>
    <w:rsid w:val="00CB4EF6"/>
    <w:rsid w:val="00CB4EF8"/>
    <w:rsid w:val="00CB4F72"/>
    <w:rsid w:val="00CB4F7A"/>
    <w:rsid w:val="00CB5134"/>
    <w:rsid w:val="00CB569A"/>
    <w:rsid w:val="00CB6314"/>
    <w:rsid w:val="00CB6761"/>
    <w:rsid w:val="00CB77E3"/>
    <w:rsid w:val="00CB7A01"/>
    <w:rsid w:val="00CB7B73"/>
    <w:rsid w:val="00CB7D21"/>
    <w:rsid w:val="00CC0582"/>
    <w:rsid w:val="00CC0A91"/>
    <w:rsid w:val="00CC0FA9"/>
    <w:rsid w:val="00CC0FE8"/>
    <w:rsid w:val="00CC31BD"/>
    <w:rsid w:val="00CC3297"/>
    <w:rsid w:val="00CC3DAA"/>
    <w:rsid w:val="00CC42EF"/>
    <w:rsid w:val="00CC4E5A"/>
    <w:rsid w:val="00CC5356"/>
    <w:rsid w:val="00CC55CE"/>
    <w:rsid w:val="00CC5947"/>
    <w:rsid w:val="00CC6246"/>
    <w:rsid w:val="00CC63E8"/>
    <w:rsid w:val="00CC652E"/>
    <w:rsid w:val="00CC6C39"/>
    <w:rsid w:val="00CC6FD6"/>
    <w:rsid w:val="00CC7A50"/>
    <w:rsid w:val="00CC7AE1"/>
    <w:rsid w:val="00CC7B40"/>
    <w:rsid w:val="00CD145F"/>
    <w:rsid w:val="00CD1BDE"/>
    <w:rsid w:val="00CD1CF4"/>
    <w:rsid w:val="00CD23C4"/>
    <w:rsid w:val="00CD23DA"/>
    <w:rsid w:val="00CD2A1A"/>
    <w:rsid w:val="00CD2B0C"/>
    <w:rsid w:val="00CD2D0B"/>
    <w:rsid w:val="00CD3CD0"/>
    <w:rsid w:val="00CD4587"/>
    <w:rsid w:val="00CD4A87"/>
    <w:rsid w:val="00CD4D06"/>
    <w:rsid w:val="00CD550D"/>
    <w:rsid w:val="00CD5CA5"/>
    <w:rsid w:val="00CD5D3A"/>
    <w:rsid w:val="00CD5E48"/>
    <w:rsid w:val="00CD5F97"/>
    <w:rsid w:val="00CD61D0"/>
    <w:rsid w:val="00CD626D"/>
    <w:rsid w:val="00CD6D5C"/>
    <w:rsid w:val="00CD7784"/>
    <w:rsid w:val="00CD7C01"/>
    <w:rsid w:val="00CD7C22"/>
    <w:rsid w:val="00CD7F83"/>
    <w:rsid w:val="00CE01E2"/>
    <w:rsid w:val="00CE07D9"/>
    <w:rsid w:val="00CE1305"/>
    <w:rsid w:val="00CE1440"/>
    <w:rsid w:val="00CE1FA9"/>
    <w:rsid w:val="00CE2125"/>
    <w:rsid w:val="00CE2A8C"/>
    <w:rsid w:val="00CE2E22"/>
    <w:rsid w:val="00CE2F5E"/>
    <w:rsid w:val="00CE2F8E"/>
    <w:rsid w:val="00CE378C"/>
    <w:rsid w:val="00CE4758"/>
    <w:rsid w:val="00CE4A20"/>
    <w:rsid w:val="00CE5773"/>
    <w:rsid w:val="00CE59C0"/>
    <w:rsid w:val="00CE6781"/>
    <w:rsid w:val="00CE679E"/>
    <w:rsid w:val="00CE68F0"/>
    <w:rsid w:val="00CE6B6C"/>
    <w:rsid w:val="00CE70F8"/>
    <w:rsid w:val="00CE798D"/>
    <w:rsid w:val="00CF067D"/>
    <w:rsid w:val="00CF0848"/>
    <w:rsid w:val="00CF1550"/>
    <w:rsid w:val="00CF182A"/>
    <w:rsid w:val="00CF1D37"/>
    <w:rsid w:val="00CF211C"/>
    <w:rsid w:val="00CF21CD"/>
    <w:rsid w:val="00CF2683"/>
    <w:rsid w:val="00CF26AE"/>
    <w:rsid w:val="00CF28B2"/>
    <w:rsid w:val="00CF2FB5"/>
    <w:rsid w:val="00CF3380"/>
    <w:rsid w:val="00CF39F3"/>
    <w:rsid w:val="00CF4374"/>
    <w:rsid w:val="00CF5317"/>
    <w:rsid w:val="00CF5396"/>
    <w:rsid w:val="00CF53B6"/>
    <w:rsid w:val="00CF55C8"/>
    <w:rsid w:val="00CF5A7C"/>
    <w:rsid w:val="00CF5DEF"/>
    <w:rsid w:val="00CF5F4C"/>
    <w:rsid w:val="00CF6DE6"/>
    <w:rsid w:val="00CF6FD4"/>
    <w:rsid w:val="00CF7267"/>
    <w:rsid w:val="00D00676"/>
    <w:rsid w:val="00D007AA"/>
    <w:rsid w:val="00D00B1F"/>
    <w:rsid w:val="00D00D9B"/>
    <w:rsid w:val="00D01965"/>
    <w:rsid w:val="00D01D0D"/>
    <w:rsid w:val="00D01DE6"/>
    <w:rsid w:val="00D01FD2"/>
    <w:rsid w:val="00D02821"/>
    <w:rsid w:val="00D03385"/>
    <w:rsid w:val="00D03557"/>
    <w:rsid w:val="00D03B75"/>
    <w:rsid w:val="00D03E52"/>
    <w:rsid w:val="00D04015"/>
    <w:rsid w:val="00D04938"/>
    <w:rsid w:val="00D04B33"/>
    <w:rsid w:val="00D04B72"/>
    <w:rsid w:val="00D04CC8"/>
    <w:rsid w:val="00D05228"/>
    <w:rsid w:val="00D05581"/>
    <w:rsid w:val="00D05717"/>
    <w:rsid w:val="00D057F7"/>
    <w:rsid w:val="00D05F34"/>
    <w:rsid w:val="00D064CB"/>
    <w:rsid w:val="00D0682B"/>
    <w:rsid w:val="00D072F6"/>
    <w:rsid w:val="00D07F1C"/>
    <w:rsid w:val="00D07FB0"/>
    <w:rsid w:val="00D101BD"/>
    <w:rsid w:val="00D10855"/>
    <w:rsid w:val="00D10AEF"/>
    <w:rsid w:val="00D11B43"/>
    <w:rsid w:val="00D13012"/>
    <w:rsid w:val="00D1417A"/>
    <w:rsid w:val="00D14B54"/>
    <w:rsid w:val="00D14C84"/>
    <w:rsid w:val="00D152BA"/>
    <w:rsid w:val="00D15715"/>
    <w:rsid w:val="00D1699C"/>
    <w:rsid w:val="00D16E49"/>
    <w:rsid w:val="00D17C96"/>
    <w:rsid w:val="00D20167"/>
    <w:rsid w:val="00D20262"/>
    <w:rsid w:val="00D205B1"/>
    <w:rsid w:val="00D21B74"/>
    <w:rsid w:val="00D21C66"/>
    <w:rsid w:val="00D21F67"/>
    <w:rsid w:val="00D22303"/>
    <w:rsid w:val="00D22389"/>
    <w:rsid w:val="00D22496"/>
    <w:rsid w:val="00D225E1"/>
    <w:rsid w:val="00D22AA7"/>
    <w:rsid w:val="00D22D6A"/>
    <w:rsid w:val="00D23119"/>
    <w:rsid w:val="00D235CF"/>
    <w:rsid w:val="00D238EB"/>
    <w:rsid w:val="00D23901"/>
    <w:rsid w:val="00D240E7"/>
    <w:rsid w:val="00D24CE4"/>
    <w:rsid w:val="00D25968"/>
    <w:rsid w:val="00D26145"/>
    <w:rsid w:val="00D2657C"/>
    <w:rsid w:val="00D26845"/>
    <w:rsid w:val="00D26E28"/>
    <w:rsid w:val="00D270D9"/>
    <w:rsid w:val="00D278D3"/>
    <w:rsid w:val="00D27968"/>
    <w:rsid w:val="00D305F5"/>
    <w:rsid w:val="00D30751"/>
    <w:rsid w:val="00D314CA"/>
    <w:rsid w:val="00D3196B"/>
    <w:rsid w:val="00D31D04"/>
    <w:rsid w:val="00D33351"/>
    <w:rsid w:val="00D33368"/>
    <w:rsid w:val="00D336AA"/>
    <w:rsid w:val="00D3370F"/>
    <w:rsid w:val="00D34623"/>
    <w:rsid w:val="00D355D9"/>
    <w:rsid w:val="00D363EF"/>
    <w:rsid w:val="00D36B40"/>
    <w:rsid w:val="00D37063"/>
    <w:rsid w:val="00D37407"/>
    <w:rsid w:val="00D37955"/>
    <w:rsid w:val="00D40037"/>
    <w:rsid w:val="00D40EE9"/>
    <w:rsid w:val="00D410AD"/>
    <w:rsid w:val="00D412A7"/>
    <w:rsid w:val="00D41E55"/>
    <w:rsid w:val="00D42AC0"/>
    <w:rsid w:val="00D42C22"/>
    <w:rsid w:val="00D430D8"/>
    <w:rsid w:val="00D433B1"/>
    <w:rsid w:val="00D436BD"/>
    <w:rsid w:val="00D43C47"/>
    <w:rsid w:val="00D44074"/>
    <w:rsid w:val="00D4491C"/>
    <w:rsid w:val="00D44CAF"/>
    <w:rsid w:val="00D45348"/>
    <w:rsid w:val="00D4631C"/>
    <w:rsid w:val="00D46459"/>
    <w:rsid w:val="00D467AF"/>
    <w:rsid w:val="00D4716F"/>
    <w:rsid w:val="00D477FA"/>
    <w:rsid w:val="00D51EDF"/>
    <w:rsid w:val="00D52383"/>
    <w:rsid w:val="00D52E16"/>
    <w:rsid w:val="00D5368D"/>
    <w:rsid w:val="00D53F0F"/>
    <w:rsid w:val="00D541C4"/>
    <w:rsid w:val="00D54CC0"/>
    <w:rsid w:val="00D55A15"/>
    <w:rsid w:val="00D55EE0"/>
    <w:rsid w:val="00D55F79"/>
    <w:rsid w:val="00D56D6A"/>
    <w:rsid w:val="00D56FD3"/>
    <w:rsid w:val="00D57E14"/>
    <w:rsid w:val="00D601D2"/>
    <w:rsid w:val="00D60259"/>
    <w:rsid w:val="00D60761"/>
    <w:rsid w:val="00D60B7A"/>
    <w:rsid w:val="00D60DC1"/>
    <w:rsid w:val="00D61770"/>
    <w:rsid w:val="00D61C77"/>
    <w:rsid w:val="00D62310"/>
    <w:rsid w:val="00D62F7B"/>
    <w:rsid w:val="00D63083"/>
    <w:rsid w:val="00D6309F"/>
    <w:rsid w:val="00D63420"/>
    <w:rsid w:val="00D63646"/>
    <w:rsid w:val="00D63885"/>
    <w:rsid w:val="00D65601"/>
    <w:rsid w:val="00D6585C"/>
    <w:rsid w:val="00D66822"/>
    <w:rsid w:val="00D66AB3"/>
    <w:rsid w:val="00D66F9A"/>
    <w:rsid w:val="00D670FE"/>
    <w:rsid w:val="00D6731E"/>
    <w:rsid w:val="00D70627"/>
    <w:rsid w:val="00D70750"/>
    <w:rsid w:val="00D70E19"/>
    <w:rsid w:val="00D7132E"/>
    <w:rsid w:val="00D71A7B"/>
    <w:rsid w:val="00D7222C"/>
    <w:rsid w:val="00D72688"/>
    <w:rsid w:val="00D7298E"/>
    <w:rsid w:val="00D73999"/>
    <w:rsid w:val="00D73ACB"/>
    <w:rsid w:val="00D73C7E"/>
    <w:rsid w:val="00D7446D"/>
    <w:rsid w:val="00D74DF4"/>
    <w:rsid w:val="00D74E32"/>
    <w:rsid w:val="00D752B6"/>
    <w:rsid w:val="00D7534D"/>
    <w:rsid w:val="00D757F7"/>
    <w:rsid w:val="00D75B1A"/>
    <w:rsid w:val="00D7613E"/>
    <w:rsid w:val="00D76536"/>
    <w:rsid w:val="00D768B1"/>
    <w:rsid w:val="00D76A42"/>
    <w:rsid w:val="00D77085"/>
    <w:rsid w:val="00D77341"/>
    <w:rsid w:val="00D77522"/>
    <w:rsid w:val="00D80075"/>
    <w:rsid w:val="00D819E3"/>
    <w:rsid w:val="00D820E1"/>
    <w:rsid w:val="00D823A8"/>
    <w:rsid w:val="00D824BD"/>
    <w:rsid w:val="00D82685"/>
    <w:rsid w:val="00D82904"/>
    <w:rsid w:val="00D82C38"/>
    <w:rsid w:val="00D82D60"/>
    <w:rsid w:val="00D833A0"/>
    <w:rsid w:val="00D83A2D"/>
    <w:rsid w:val="00D83E2E"/>
    <w:rsid w:val="00D84094"/>
    <w:rsid w:val="00D843EA"/>
    <w:rsid w:val="00D8461C"/>
    <w:rsid w:val="00D84826"/>
    <w:rsid w:val="00D84E0A"/>
    <w:rsid w:val="00D852EC"/>
    <w:rsid w:val="00D85C21"/>
    <w:rsid w:val="00D85FBE"/>
    <w:rsid w:val="00D8664B"/>
    <w:rsid w:val="00D875C4"/>
    <w:rsid w:val="00D906FB"/>
    <w:rsid w:val="00D909A3"/>
    <w:rsid w:val="00D9102A"/>
    <w:rsid w:val="00D9128A"/>
    <w:rsid w:val="00D9176C"/>
    <w:rsid w:val="00D93013"/>
    <w:rsid w:val="00D93134"/>
    <w:rsid w:val="00D938F0"/>
    <w:rsid w:val="00D939EF"/>
    <w:rsid w:val="00D93D2E"/>
    <w:rsid w:val="00D9430C"/>
    <w:rsid w:val="00D946B3"/>
    <w:rsid w:val="00D9481B"/>
    <w:rsid w:val="00D94E9A"/>
    <w:rsid w:val="00D94EE9"/>
    <w:rsid w:val="00D96221"/>
    <w:rsid w:val="00D97D7E"/>
    <w:rsid w:val="00DA058B"/>
    <w:rsid w:val="00DA0956"/>
    <w:rsid w:val="00DA0A59"/>
    <w:rsid w:val="00DA0E4D"/>
    <w:rsid w:val="00DA1689"/>
    <w:rsid w:val="00DA1979"/>
    <w:rsid w:val="00DA2524"/>
    <w:rsid w:val="00DA2A09"/>
    <w:rsid w:val="00DA2F8F"/>
    <w:rsid w:val="00DA3305"/>
    <w:rsid w:val="00DA4210"/>
    <w:rsid w:val="00DA46E9"/>
    <w:rsid w:val="00DA4885"/>
    <w:rsid w:val="00DA4F4F"/>
    <w:rsid w:val="00DA51B0"/>
    <w:rsid w:val="00DA578C"/>
    <w:rsid w:val="00DA57E6"/>
    <w:rsid w:val="00DA6193"/>
    <w:rsid w:val="00DA6D8E"/>
    <w:rsid w:val="00DA6E29"/>
    <w:rsid w:val="00DA7B52"/>
    <w:rsid w:val="00DA7CC4"/>
    <w:rsid w:val="00DB089B"/>
    <w:rsid w:val="00DB2284"/>
    <w:rsid w:val="00DB3D99"/>
    <w:rsid w:val="00DB41C3"/>
    <w:rsid w:val="00DB494E"/>
    <w:rsid w:val="00DB497C"/>
    <w:rsid w:val="00DB4AC7"/>
    <w:rsid w:val="00DB57A0"/>
    <w:rsid w:val="00DB6780"/>
    <w:rsid w:val="00DB6FD1"/>
    <w:rsid w:val="00DB7242"/>
    <w:rsid w:val="00DB7A51"/>
    <w:rsid w:val="00DC010E"/>
    <w:rsid w:val="00DC0B79"/>
    <w:rsid w:val="00DC0D21"/>
    <w:rsid w:val="00DC11B6"/>
    <w:rsid w:val="00DC1FB7"/>
    <w:rsid w:val="00DC240F"/>
    <w:rsid w:val="00DC2485"/>
    <w:rsid w:val="00DC2823"/>
    <w:rsid w:val="00DC2D9B"/>
    <w:rsid w:val="00DC2EE1"/>
    <w:rsid w:val="00DC4363"/>
    <w:rsid w:val="00DC466B"/>
    <w:rsid w:val="00DC4CC2"/>
    <w:rsid w:val="00DC4E50"/>
    <w:rsid w:val="00DC5030"/>
    <w:rsid w:val="00DC50AD"/>
    <w:rsid w:val="00DC5B3A"/>
    <w:rsid w:val="00DC6681"/>
    <w:rsid w:val="00DC7D97"/>
    <w:rsid w:val="00DD03D6"/>
    <w:rsid w:val="00DD132A"/>
    <w:rsid w:val="00DD402A"/>
    <w:rsid w:val="00DD4658"/>
    <w:rsid w:val="00DD53BD"/>
    <w:rsid w:val="00DD54BB"/>
    <w:rsid w:val="00DD6508"/>
    <w:rsid w:val="00DD6A41"/>
    <w:rsid w:val="00DD6EED"/>
    <w:rsid w:val="00DD7174"/>
    <w:rsid w:val="00DD776E"/>
    <w:rsid w:val="00DE0068"/>
    <w:rsid w:val="00DE076F"/>
    <w:rsid w:val="00DE0956"/>
    <w:rsid w:val="00DE1249"/>
    <w:rsid w:val="00DE1DAA"/>
    <w:rsid w:val="00DE2A09"/>
    <w:rsid w:val="00DE2FCD"/>
    <w:rsid w:val="00DE3306"/>
    <w:rsid w:val="00DE3327"/>
    <w:rsid w:val="00DE4218"/>
    <w:rsid w:val="00DE478A"/>
    <w:rsid w:val="00DE5433"/>
    <w:rsid w:val="00DE5BA1"/>
    <w:rsid w:val="00DE5F86"/>
    <w:rsid w:val="00DE63FF"/>
    <w:rsid w:val="00DE6CBD"/>
    <w:rsid w:val="00DE7072"/>
    <w:rsid w:val="00DE71B7"/>
    <w:rsid w:val="00DE71DB"/>
    <w:rsid w:val="00DE738F"/>
    <w:rsid w:val="00DE7D78"/>
    <w:rsid w:val="00DF01C0"/>
    <w:rsid w:val="00DF0247"/>
    <w:rsid w:val="00DF063D"/>
    <w:rsid w:val="00DF0A7E"/>
    <w:rsid w:val="00DF0D15"/>
    <w:rsid w:val="00DF1647"/>
    <w:rsid w:val="00DF1697"/>
    <w:rsid w:val="00DF1874"/>
    <w:rsid w:val="00DF20EE"/>
    <w:rsid w:val="00DF2598"/>
    <w:rsid w:val="00DF2FAD"/>
    <w:rsid w:val="00DF30B3"/>
    <w:rsid w:val="00DF397C"/>
    <w:rsid w:val="00DF3C97"/>
    <w:rsid w:val="00DF4119"/>
    <w:rsid w:val="00DF48A1"/>
    <w:rsid w:val="00DF4F8E"/>
    <w:rsid w:val="00DF5241"/>
    <w:rsid w:val="00DF60BA"/>
    <w:rsid w:val="00DF60C3"/>
    <w:rsid w:val="00DF6353"/>
    <w:rsid w:val="00DF6A65"/>
    <w:rsid w:val="00DF6A66"/>
    <w:rsid w:val="00DF6BC4"/>
    <w:rsid w:val="00DF76A8"/>
    <w:rsid w:val="00E0029B"/>
    <w:rsid w:val="00E00C82"/>
    <w:rsid w:val="00E019E1"/>
    <w:rsid w:val="00E01EA2"/>
    <w:rsid w:val="00E0202D"/>
    <w:rsid w:val="00E02234"/>
    <w:rsid w:val="00E023C5"/>
    <w:rsid w:val="00E0266B"/>
    <w:rsid w:val="00E029D9"/>
    <w:rsid w:val="00E02E75"/>
    <w:rsid w:val="00E03059"/>
    <w:rsid w:val="00E0351A"/>
    <w:rsid w:val="00E03554"/>
    <w:rsid w:val="00E052AF"/>
    <w:rsid w:val="00E05AE8"/>
    <w:rsid w:val="00E05B8A"/>
    <w:rsid w:val="00E06572"/>
    <w:rsid w:val="00E065C2"/>
    <w:rsid w:val="00E066E3"/>
    <w:rsid w:val="00E06890"/>
    <w:rsid w:val="00E078B6"/>
    <w:rsid w:val="00E07941"/>
    <w:rsid w:val="00E100C1"/>
    <w:rsid w:val="00E103FE"/>
    <w:rsid w:val="00E108EB"/>
    <w:rsid w:val="00E10A1A"/>
    <w:rsid w:val="00E117C0"/>
    <w:rsid w:val="00E119B6"/>
    <w:rsid w:val="00E12609"/>
    <w:rsid w:val="00E131EF"/>
    <w:rsid w:val="00E13450"/>
    <w:rsid w:val="00E13763"/>
    <w:rsid w:val="00E13CC5"/>
    <w:rsid w:val="00E13DB3"/>
    <w:rsid w:val="00E14712"/>
    <w:rsid w:val="00E14BD1"/>
    <w:rsid w:val="00E150B7"/>
    <w:rsid w:val="00E1553D"/>
    <w:rsid w:val="00E157AF"/>
    <w:rsid w:val="00E157C7"/>
    <w:rsid w:val="00E1588A"/>
    <w:rsid w:val="00E15C8C"/>
    <w:rsid w:val="00E15D91"/>
    <w:rsid w:val="00E17203"/>
    <w:rsid w:val="00E204B9"/>
    <w:rsid w:val="00E20782"/>
    <w:rsid w:val="00E22096"/>
    <w:rsid w:val="00E224AC"/>
    <w:rsid w:val="00E2252B"/>
    <w:rsid w:val="00E23503"/>
    <w:rsid w:val="00E239B5"/>
    <w:rsid w:val="00E23D5A"/>
    <w:rsid w:val="00E23E56"/>
    <w:rsid w:val="00E25BAD"/>
    <w:rsid w:val="00E26149"/>
    <w:rsid w:val="00E2620E"/>
    <w:rsid w:val="00E2634A"/>
    <w:rsid w:val="00E27209"/>
    <w:rsid w:val="00E2780B"/>
    <w:rsid w:val="00E27E9E"/>
    <w:rsid w:val="00E300A1"/>
    <w:rsid w:val="00E30370"/>
    <w:rsid w:val="00E3040E"/>
    <w:rsid w:val="00E318A0"/>
    <w:rsid w:val="00E31CAE"/>
    <w:rsid w:val="00E323CB"/>
    <w:rsid w:val="00E32982"/>
    <w:rsid w:val="00E3373C"/>
    <w:rsid w:val="00E33C8E"/>
    <w:rsid w:val="00E33E7E"/>
    <w:rsid w:val="00E340CD"/>
    <w:rsid w:val="00E343AF"/>
    <w:rsid w:val="00E3467C"/>
    <w:rsid w:val="00E34955"/>
    <w:rsid w:val="00E35000"/>
    <w:rsid w:val="00E35700"/>
    <w:rsid w:val="00E36550"/>
    <w:rsid w:val="00E3721D"/>
    <w:rsid w:val="00E3731D"/>
    <w:rsid w:val="00E37996"/>
    <w:rsid w:val="00E40711"/>
    <w:rsid w:val="00E40868"/>
    <w:rsid w:val="00E40C2B"/>
    <w:rsid w:val="00E41314"/>
    <w:rsid w:val="00E41A73"/>
    <w:rsid w:val="00E420F8"/>
    <w:rsid w:val="00E423D8"/>
    <w:rsid w:val="00E426FF"/>
    <w:rsid w:val="00E42E68"/>
    <w:rsid w:val="00E4373B"/>
    <w:rsid w:val="00E43AF0"/>
    <w:rsid w:val="00E449DF"/>
    <w:rsid w:val="00E44F19"/>
    <w:rsid w:val="00E4595F"/>
    <w:rsid w:val="00E46194"/>
    <w:rsid w:val="00E46257"/>
    <w:rsid w:val="00E47C58"/>
    <w:rsid w:val="00E507C6"/>
    <w:rsid w:val="00E50C04"/>
    <w:rsid w:val="00E50F64"/>
    <w:rsid w:val="00E512F5"/>
    <w:rsid w:val="00E515A4"/>
    <w:rsid w:val="00E519F1"/>
    <w:rsid w:val="00E52595"/>
    <w:rsid w:val="00E52836"/>
    <w:rsid w:val="00E52904"/>
    <w:rsid w:val="00E529B3"/>
    <w:rsid w:val="00E5345C"/>
    <w:rsid w:val="00E53512"/>
    <w:rsid w:val="00E537A0"/>
    <w:rsid w:val="00E53CB6"/>
    <w:rsid w:val="00E53D12"/>
    <w:rsid w:val="00E546E2"/>
    <w:rsid w:val="00E546ED"/>
    <w:rsid w:val="00E54720"/>
    <w:rsid w:val="00E54B08"/>
    <w:rsid w:val="00E54E4C"/>
    <w:rsid w:val="00E55724"/>
    <w:rsid w:val="00E56153"/>
    <w:rsid w:val="00E5627D"/>
    <w:rsid w:val="00E56698"/>
    <w:rsid w:val="00E56905"/>
    <w:rsid w:val="00E56EBC"/>
    <w:rsid w:val="00E56F35"/>
    <w:rsid w:val="00E57042"/>
    <w:rsid w:val="00E57250"/>
    <w:rsid w:val="00E6067F"/>
    <w:rsid w:val="00E60DA4"/>
    <w:rsid w:val="00E61135"/>
    <w:rsid w:val="00E6184C"/>
    <w:rsid w:val="00E61A28"/>
    <w:rsid w:val="00E6260F"/>
    <w:rsid w:val="00E63A52"/>
    <w:rsid w:val="00E63FE6"/>
    <w:rsid w:val="00E64306"/>
    <w:rsid w:val="00E64F9F"/>
    <w:rsid w:val="00E65059"/>
    <w:rsid w:val="00E650C4"/>
    <w:rsid w:val="00E6538A"/>
    <w:rsid w:val="00E66909"/>
    <w:rsid w:val="00E66CDF"/>
    <w:rsid w:val="00E67195"/>
    <w:rsid w:val="00E6770C"/>
    <w:rsid w:val="00E67871"/>
    <w:rsid w:val="00E67E68"/>
    <w:rsid w:val="00E70514"/>
    <w:rsid w:val="00E70697"/>
    <w:rsid w:val="00E70F29"/>
    <w:rsid w:val="00E7199B"/>
    <w:rsid w:val="00E7211E"/>
    <w:rsid w:val="00E73748"/>
    <w:rsid w:val="00E749D4"/>
    <w:rsid w:val="00E74B50"/>
    <w:rsid w:val="00E74B5F"/>
    <w:rsid w:val="00E7519C"/>
    <w:rsid w:val="00E7522B"/>
    <w:rsid w:val="00E753DC"/>
    <w:rsid w:val="00E75684"/>
    <w:rsid w:val="00E75A11"/>
    <w:rsid w:val="00E75A63"/>
    <w:rsid w:val="00E75C75"/>
    <w:rsid w:val="00E75F2F"/>
    <w:rsid w:val="00E76645"/>
    <w:rsid w:val="00E779CF"/>
    <w:rsid w:val="00E77D35"/>
    <w:rsid w:val="00E80AA6"/>
    <w:rsid w:val="00E80E56"/>
    <w:rsid w:val="00E81127"/>
    <w:rsid w:val="00E84688"/>
    <w:rsid w:val="00E8473C"/>
    <w:rsid w:val="00E84C1C"/>
    <w:rsid w:val="00E84CD9"/>
    <w:rsid w:val="00E84D60"/>
    <w:rsid w:val="00E851E0"/>
    <w:rsid w:val="00E8643D"/>
    <w:rsid w:val="00E86FDD"/>
    <w:rsid w:val="00E879A2"/>
    <w:rsid w:val="00E87B02"/>
    <w:rsid w:val="00E87CD9"/>
    <w:rsid w:val="00E90430"/>
    <w:rsid w:val="00E9098A"/>
    <w:rsid w:val="00E90C6C"/>
    <w:rsid w:val="00E91461"/>
    <w:rsid w:val="00E91A24"/>
    <w:rsid w:val="00E91DAF"/>
    <w:rsid w:val="00E91F51"/>
    <w:rsid w:val="00E93612"/>
    <w:rsid w:val="00E9416A"/>
    <w:rsid w:val="00E94A07"/>
    <w:rsid w:val="00E94CC6"/>
    <w:rsid w:val="00E95729"/>
    <w:rsid w:val="00E95908"/>
    <w:rsid w:val="00E96B83"/>
    <w:rsid w:val="00E96DCF"/>
    <w:rsid w:val="00E978F3"/>
    <w:rsid w:val="00E97A6B"/>
    <w:rsid w:val="00E97B21"/>
    <w:rsid w:val="00E97BF4"/>
    <w:rsid w:val="00EA0179"/>
    <w:rsid w:val="00EA18AE"/>
    <w:rsid w:val="00EA1E5A"/>
    <w:rsid w:val="00EA4232"/>
    <w:rsid w:val="00EA4613"/>
    <w:rsid w:val="00EA4637"/>
    <w:rsid w:val="00EA4DF2"/>
    <w:rsid w:val="00EA60C1"/>
    <w:rsid w:val="00EA65E6"/>
    <w:rsid w:val="00EA73AD"/>
    <w:rsid w:val="00EA7893"/>
    <w:rsid w:val="00EB01D1"/>
    <w:rsid w:val="00EB0A36"/>
    <w:rsid w:val="00EB0CF4"/>
    <w:rsid w:val="00EB1013"/>
    <w:rsid w:val="00EB1880"/>
    <w:rsid w:val="00EB210E"/>
    <w:rsid w:val="00EB212E"/>
    <w:rsid w:val="00EB232C"/>
    <w:rsid w:val="00EB2398"/>
    <w:rsid w:val="00EB2C47"/>
    <w:rsid w:val="00EB2F33"/>
    <w:rsid w:val="00EB43BF"/>
    <w:rsid w:val="00EB49CE"/>
    <w:rsid w:val="00EB5A8E"/>
    <w:rsid w:val="00EB5C2F"/>
    <w:rsid w:val="00EB65DA"/>
    <w:rsid w:val="00EB7014"/>
    <w:rsid w:val="00EB761A"/>
    <w:rsid w:val="00EB7C28"/>
    <w:rsid w:val="00EC0039"/>
    <w:rsid w:val="00EC00BC"/>
    <w:rsid w:val="00EC087E"/>
    <w:rsid w:val="00EC0E7B"/>
    <w:rsid w:val="00EC1172"/>
    <w:rsid w:val="00EC1993"/>
    <w:rsid w:val="00EC1AE6"/>
    <w:rsid w:val="00EC1B23"/>
    <w:rsid w:val="00EC1E8F"/>
    <w:rsid w:val="00EC2969"/>
    <w:rsid w:val="00EC3C88"/>
    <w:rsid w:val="00EC3DCF"/>
    <w:rsid w:val="00EC3E6B"/>
    <w:rsid w:val="00EC4058"/>
    <w:rsid w:val="00EC4364"/>
    <w:rsid w:val="00EC50DA"/>
    <w:rsid w:val="00EC5B65"/>
    <w:rsid w:val="00EC60D9"/>
    <w:rsid w:val="00EC62ED"/>
    <w:rsid w:val="00EC6332"/>
    <w:rsid w:val="00EC6338"/>
    <w:rsid w:val="00EC672F"/>
    <w:rsid w:val="00EC6FD0"/>
    <w:rsid w:val="00EC7032"/>
    <w:rsid w:val="00ED00E7"/>
    <w:rsid w:val="00ED028B"/>
    <w:rsid w:val="00ED0BC5"/>
    <w:rsid w:val="00ED0ECF"/>
    <w:rsid w:val="00ED1EDA"/>
    <w:rsid w:val="00ED26D8"/>
    <w:rsid w:val="00ED3959"/>
    <w:rsid w:val="00ED49B3"/>
    <w:rsid w:val="00ED4B2B"/>
    <w:rsid w:val="00ED5583"/>
    <w:rsid w:val="00ED5AB8"/>
    <w:rsid w:val="00ED5BC8"/>
    <w:rsid w:val="00ED6722"/>
    <w:rsid w:val="00ED6C57"/>
    <w:rsid w:val="00ED6FE1"/>
    <w:rsid w:val="00EE073E"/>
    <w:rsid w:val="00EE1B53"/>
    <w:rsid w:val="00EE1C78"/>
    <w:rsid w:val="00EE2BED"/>
    <w:rsid w:val="00EE38C4"/>
    <w:rsid w:val="00EE3D74"/>
    <w:rsid w:val="00EE4560"/>
    <w:rsid w:val="00EE462D"/>
    <w:rsid w:val="00EE4C4B"/>
    <w:rsid w:val="00EE5B14"/>
    <w:rsid w:val="00EE60CD"/>
    <w:rsid w:val="00EE61B0"/>
    <w:rsid w:val="00EE6C72"/>
    <w:rsid w:val="00EE7839"/>
    <w:rsid w:val="00EE7B15"/>
    <w:rsid w:val="00EF02EC"/>
    <w:rsid w:val="00EF0322"/>
    <w:rsid w:val="00EF0806"/>
    <w:rsid w:val="00EF1844"/>
    <w:rsid w:val="00EF185A"/>
    <w:rsid w:val="00EF1B2A"/>
    <w:rsid w:val="00EF1C22"/>
    <w:rsid w:val="00EF23F5"/>
    <w:rsid w:val="00EF2704"/>
    <w:rsid w:val="00EF2AE4"/>
    <w:rsid w:val="00EF3EA7"/>
    <w:rsid w:val="00EF4852"/>
    <w:rsid w:val="00EF51F0"/>
    <w:rsid w:val="00EF5927"/>
    <w:rsid w:val="00EF5E7A"/>
    <w:rsid w:val="00EF5F17"/>
    <w:rsid w:val="00EF6043"/>
    <w:rsid w:val="00EF688C"/>
    <w:rsid w:val="00EF6AF1"/>
    <w:rsid w:val="00EF6C9D"/>
    <w:rsid w:val="00EF7079"/>
    <w:rsid w:val="00EF722A"/>
    <w:rsid w:val="00EF72C1"/>
    <w:rsid w:val="00EF762F"/>
    <w:rsid w:val="00EF78B1"/>
    <w:rsid w:val="00F00901"/>
    <w:rsid w:val="00F01850"/>
    <w:rsid w:val="00F02466"/>
    <w:rsid w:val="00F02F9E"/>
    <w:rsid w:val="00F038E1"/>
    <w:rsid w:val="00F04279"/>
    <w:rsid w:val="00F057C4"/>
    <w:rsid w:val="00F06323"/>
    <w:rsid w:val="00F07F01"/>
    <w:rsid w:val="00F103CF"/>
    <w:rsid w:val="00F10698"/>
    <w:rsid w:val="00F10AF4"/>
    <w:rsid w:val="00F11855"/>
    <w:rsid w:val="00F12CDE"/>
    <w:rsid w:val="00F12FEA"/>
    <w:rsid w:val="00F13A2F"/>
    <w:rsid w:val="00F14A27"/>
    <w:rsid w:val="00F157A0"/>
    <w:rsid w:val="00F1583F"/>
    <w:rsid w:val="00F16AE8"/>
    <w:rsid w:val="00F16D3F"/>
    <w:rsid w:val="00F16D4A"/>
    <w:rsid w:val="00F17832"/>
    <w:rsid w:val="00F17B0F"/>
    <w:rsid w:val="00F17BA8"/>
    <w:rsid w:val="00F2044E"/>
    <w:rsid w:val="00F20C66"/>
    <w:rsid w:val="00F20CA1"/>
    <w:rsid w:val="00F213A8"/>
    <w:rsid w:val="00F213D8"/>
    <w:rsid w:val="00F21625"/>
    <w:rsid w:val="00F216D5"/>
    <w:rsid w:val="00F2171B"/>
    <w:rsid w:val="00F21D96"/>
    <w:rsid w:val="00F21FAF"/>
    <w:rsid w:val="00F22105"/>
    <w:rsid w:val="00F227EB"/>
    <w:rsid w:val="00F22DE2"/>
    <w:rsid w:val="00F2318A"/>
    <w:rsid w:val="00F23B9C"/>
    <w:rsid w:val="00F2432E"/>
    <w:rsid w:val="00F24DE1"/>
    <w:rsid w:val="00F25BE7"/>
    <w:rsid w:val="00F26FA9"/>
    <w:rsid w:val="00F2749D"/>
    <w:rsid w:val="00F2762E"/>
    <w:rsid w:val="00F27692"/>
    <w:rsid w:val="00F30519"/>
    <w:rsid w:val="00F32DC1"/>
    <w:rsid w:val="00F33B73"/>
    <w:rsid w:val="00F33F20"/>
    <w:rsid w:val="00F3425A"/>
    <w:rsid w:val="00F34AF6"/>
    <w:rsid w:val="00F3529C"/>
    <w:rsid w:val="00F35443"/>
    <w:rsid w:val="00F3663B"/>
    <w:rsid w:val="00F36AAC"/>
    <w:rsid w:val="00F36ECE"/>
    <w:rsid w:val="00F3714A"/>
    <w:rsid w:val="00F3769A"/>
    <w:rsid w:val="00F37BBC"/>
    <w:rsid w:val="00F401E2"/>
    <w:rsid w:val="00F40902"/>
    <w:rsid w:val="00F409B0"/>
    <w:rsid w:val="00F40D37"/>
    <w:rsid w:val="00F424BB"/>
    <w:rsid w:val="00F4325C"/>
    <w:rsid w:val="00F43816"/>
    <w:rsid w:val="00F43EB0"/>
    <w:rsid w:val="00F446A7"/>
    <w:rsid w:val="00F44702"/>
    <w:rsid w:val="00F44902"/>
    <w:rsid w:val="00F4571C"/>
    <w:rsid w:val="00F45BF5"/>
    <w:rsid w:val="00F463FB"/>
    <w:rsid w:val="00F464FC"/>
    <w:rsid w:val="00F467EE"/>
    <w:rsid w:val="00F46FD0"/>
    <w:rsid w:val="00F47215"/>
    <w:rsid w:val="00F4755A"/>
    <w:rsid w:val="00F50F34"/>
    <w:rsid w:val="00F51128"/>
    <w:rsid w:val="00F51252"/>
    <w:rsid w:val="00F51358"/>
    <w:rsid w:val="00F52072"/>
    <w:rsid w:val="00F523F2"/>
    <w:rsid w:val="00F524CE"/>
    <w:rsid w:val="00F52635"/>
    <w:rsid w:val="00F5269A"/>
    <w:rsid w:val="00F52CA1"/>
    <w:rsid w:val="00F52D28"/>
    <w:rsid w:val="00F53286"/>
    <w:rsid w:val="00F53304"/>
    <w:rsid w:val="00F53888"/>
    <w:rsid w:val="00F538B0"/>
    <w:rsid w:val="00F53FA4"/>
    <w:rsid w:val="00F54605"/>
    <w:rsid w:val="00F5464F"/>
    <w:rsid w:val="00F554D6"/>
    <w:rsid w:val="00F56082"/>
    <w:rsid w:val="00F57945"/>
    <w:rsid w:val="00F57B2C"/>
    <w:rsid w:val="00F57C29"/>
    <w:rsid w:val="00F60201"/>
    <w:rsid w:val="00F60D11"/>
    <w:rsid w:val="00F61377"/>
    <w:rsid w:val="00F616B5"/>
    <w:rsid w:val="00F61CAF"/>
    <w:rsid w:val="00F6222F"/>
    <w:rsid w:val="00F62E31"/>
    <w:rsid w:val="00F63D43"/>
    <w:rsid w:val="00F63FC8"/>
    <w:rsid w:val="00F64CEF"/>
    <w:rsid w:val="00F6527D"/>
    <w:rsid w:val="00F65972"/>
    <w:rsid w:val="00F6627E"/>
    <w:rsid w:val="00F66743"/>
    <w:rsid w:val="00F66DC6"/>
    <w:rsid w:val="00F671BE"/>
    <w:rsid w:val="00F673E7"/>
    <w:rsid w:val="00F70127"/>
    <w:rsid w:val="00F70131"/>
    <w:rsid w:val="00F7024B"/>
    <w:rsid w:val="00F707C6"/>
    <w:rsid w:val="00F709D4"/>
    <w:rsid w:val="00F70E0C"/>
    <w:rsid w:val="00F7173C"/>
    <w:rsid w:val="00F71772"/>
    <w:rsid w:val="00F71C1F"/>
    <w:rsid w:val="00F71F4D"/>
    <w:rsid w:val="00F72393"/>
    <w:rsid w:val="00F72B42"/>
    <w:rsid w:val="00F72E76"/>
    <w:rsid w:val="00F73049"/>
    <w:rsid w:val="00F731B5"/>
    <w:rsid w:val="00F741E3"/>
    <w:rsid w:val="00F7461D"/>
    <w:rsid w:val="00F7487E"/>
    <w:rsid w:val="00F75FD3"/>
    <w:rsid w:val="00F7653D"/>
    <w:rsid w:val="00F767F1"/>
    <w:rsid w:val="00F8044F"/>
    <w:rsid w:val="00F804D6"/>
    <w:rsid w:val="00F80C4E"/>
    <w:rsid w:val="00F81D62"/>
    <w:rsid w:val="00F81E6B"/>
    <w:rsid w:val="00F828B2"/>
    <w:rsid w:val="00F82C22"/>
    <w:rsid w:val="00F83891"/>
    <w:rsid w:val="00F83CB5"/>
    <w:rsid w:val="00F83DCF"/>
    <w:rsid w:val="00F8429B"/>
    <w:rsid w:val="00F84782"/>
    <w:rsid w:val="00F84AEB"/>
    <w:rsid w:val="00F84B08"/>
    <w:rsid w:val="00F8517E"/>
    <w:rsid w:val="00F861E7"/>
    <w:rsid w:val="00F86B88"/>
    <w:rsid w:val="00F870B5"/>
    <w:rsid w:val="00F87247"/>
    <w:rsid w:val="00F876C2"/>
    <w:rsid w:val="00F90938"/>
    <w:rsid w:val="00F90B4A"/>
    <w:rsid w:val="00F91A6E"/>
    <w:rsid w:val="00F928B8"/>
    <w:rsid w:val="00F92A6E"/>
    <w:rsid w:val="00F92FE1"/>
    <w:rsid w:val="00F93B3F"/>
    <w:rsid w:val="00F93B56"/>
    <w:rsid w:val="00F94B8F"/>
    <w:rsid w:val="00F94D90"/>
    <w:rsid w:val="00F95692"/>
    <w:rsid w:val="00F960C6"/>
    <w:rsid w:val="00F96452"/>
    <w:rsid w:val="00F9667E"/>
    <w:rsid w:val="00F9678C"/>
    <w:rsid w:val="00F96914"/>
    <w:rsid w:val="00F9699C"/>
    <w:rsid w:val="00F96A3B"/>
    <w:rsid w:val="00F970BE"/>
    <w:rsid w:val="00F974BB"/>
    <w:rsid w:val="00F97CED"/>
    <w:rsid w:val="00FA00EF"/>
    <w:rsid w:val="00FA03C5"/>
    <w:rsid w:val="00FA0520"/>
    <w:rsid w:val="00FA0A6B"/>
    <w:rsid w:val="00FA13FB"/>
    <w:rsid w:val="00FA2175"/>
    <w:rsid w:val="00FA2763"/>
    <w:rsid w:val="00FA2EB9"/>
    <w:rsid w:val="00FA2FBC"/>
    <w:rsid w:val="00FA3555"/>
    <w:rsid w:val="00FA457E"/>
    <w:rsid w:val="00FA49F8"/>
    <w:rsid w:val="00FA49FE"/>
    <w:rsid w:val="00FA4A8A"/>
    <w:rsid w:val="00FA4DFE"/>
    <w:rsid w:val="00FA5005"/>
    <w:rsid w:val="00FA515B"/>
    <w:rsid w:val="00FA56DF"/>
    <w:rsid w:val="00FA56FD"/>
    <w:rsid w:val="00FA5A7B"/>
    <w:rsid w:val="00FA664D"/>
    <w:rsid w:val="00FA6C02"/>
    <w:rsid w:val="00FA6F47"/>
    <w:rsid w:val="00FA72B6"/>
    <w:rsid w:val="00FA73D8"/>
    <w:rsid w:val="00FA77B4"/>
    <w:rsid w:val="00FA7877"/>
    <w:rsid w:val="00FA7F14"/>
    <w:rsid w:val="00FB0909"/>
    <w:rsid w:val="00FB0A5E"/>
    <w:rsid w:val="00FB0DD0"/>
    <w:rsid w:val="00FB138E"/>
    <w:rsid w:val="00FB1481"/>
    <w:rsid w:val="00FB1D02"/>
    <w:rsid w:val="00FB2A0B"/>
    <w:rsid w:val="00FB2B35"/>
    <w:rsid w:val="00FB2DC6"/>
    <w:rsid w:val="00FB33A1"/>
    <w:rsid w:val="00FB3928"/>
    <w:rsid w:val="00FB3D6E"/>
    <w:rsid w:val="00FB4E0B"/>
    <w:rsid w:val="00FB4E93"/>
    <w:rsid w:val="00FB55DE"/>
    <w:rsid w:val="00FB5794"/>
    <w:rsid w:val="00FB6016"/>
    <w:rsid w:val="00FB614A"/>
    <w:rsid w:val="00FB76DC"/>
    <w:rsid w:val="00FB7E35"/>
    <w:rsid w:val="00FC0467"/>
    <w:rsid w:val="00FC0996"/>
    <w:rsid w:val="00FC0BCD"/>
    <w:rsid w:val="00FC186F"/>
    <w:rsid w:val="00FC1B61"/>
    <w:rsid w:val="00FC1D83"/>
    <w:rsid w:val="00FC32B1"/>
    <w:rsid w:val="00FC32CA"/>
    <w:rsid w:val="00FC32D9"/>
    <w:rsid w:val="00FC3690"/>
    <w:rsid w:val="00FC3D7F"/>
    <w:rsid w:val="00FC46A4"/>
    <w:rsid w:val="00FC475B"/>
    <w:rsid w:val="00FC4891"/>
    <w:rsid w:val="00FC6421"/>
    <w:rsid w:val="00FC6AE7"/>
    <w:rsid w:val="00FC6E9A"/>
    <w:rsid w:val="00FC6ED4"/>
    <w:rsid w:val="00FC779D"/>
    <w:rsid w:val="00FC7E93"/>
    <w:rsid w:val="00FC7EDB"/>
    <w:rsid w:val="00FD00CB"/>
    <w:rsid w:val="00FD16D7"/>
    <w:rsid w:val="00FD25FE"/>
    <w:rsid w:val="00FD2F96"/>
    <w:rsid w:val="00FD3326"/>
    <w:rsid w:val="00FD4568"/>
    <w:rsid w:val="00FD47DC"/>
    <w:rsid w:val="00FD4C98"/>
    <w:rsid w:val="00FD5131"/>
    <w:rsid w:val="00FD5737"/>
    <w:rsid w:val="00FD6A74"/>
    <w:rsid w:val="00FD6D85"/>
    <w:rsid w:val="00FD7230"/>
    <w:rsid w:val="00FD7512"/>
    <w:rsid w:val="00FD788F"/>
    <w:rsid w:val="00FD78F2"/>
    <w:rsid w:val="00FE02F7"/>
    <w:rsid w:val="00FE0334"/>
    <w:rsid w:val="00FE1377"/>
    <w:rsid w:val="00FE1399"/>
    <w:rsid w:val="00FE1448"/>
    <w:rsid w:val="00FE167E"/>
    <w:rsid w:val="00FE1DED"/>
    <w:rsid w:val="00FE273A"/>
    <w:rsid w:val="00FE2A0E"/>
    <w:rsid w:val="00FE36B0"/>
    <w:rsid w:val="00FE384B"/>
    <w:rsid w:val="00FE3A29"/>
    <w:rsid w:val="00FE3F70"/>
    <w:rsid w:val="00FE4461"/>
    <w:rsid w:val="00FE454C"/>
    <w:rsid w:val="00FE4628"/>
    <w:rsid w:val="00FE47E8"/>
    <w:rsid w:val="00FE4B96"/>
    <w:rsid w:val="00FE5496"/>
    <w:rsid w:val="00FE595B"/>
    <w:rsid w:val="00FE5BA4"/>
    <w:rsid w:val="00FE70F9"/>
    <w:rsid w:val="00FE7AFD"/>
    <w:rsid w:val="00FF0018"/>
    <w:rsid w:val="00FF0743"/>
    <w:rsid w:val="00FF0C0A"/>
    <w:rsid w:val="00FF1F77"/>
    <w:rsid w:val="00FF21FD"/>
    <w:rsid w:val="00FF22E0"/>
    <w:rsid w:val="00FF247C"/>
    <w:rsid w:val="00FF24D7"/>
    <w:rsid w:val="00FF3230"/>
    <w:rsid w:val="00FF3236"/>
    <w:rsid w:val="00FF3D93"/>
    <w:rsid w:val="00FF5FEE"/>
    <w:rsid w:val="00FF695F"/>
    <w:rsid w:val="00FF6A56"/>
    <w:rsid w:val="00FF737C"/>
    <w:rsid w:val="00FF740D"/>
    <w:rsid w:val="00FF7514"/>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AC45"/>
  <w15:chartTrackingRefBased/>
  <w15:docId w15:val="{AC1A1C7A-94B1-457E-BB8E-A20764C4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433B1"/>
  </w:style>
  <w:style w:type="paragraph" w:styleId="Nadpis1">
    <w:name w:val="heading 1"/>
    <w:basedOn w:val="Normln"/>
    <w:next w:val="Normln"/>
    <w:link w:val="Nadpis1Char"/>
    <w:autoRedefine/>
    <w:uiPriority w:val="9"/>
    <w:qFormat/>
    <w:rsid w:val="00164BCF"/>
    <w:pPr>
      <w:keepNext/>
      <w:keepLines/>
      <w:spacing w:before="240" w:after="0"/>
      <w:outlineLvl w:val="0"/>
    </w:pPr>
    <w:rPr>
      <w:rFonts w:ascii="TimesNewRomanPSMT" w:eastAsiaTheme="majorEastAsia" w:hAnsi="TimesNewRomanPSMT" w:cstheme="majorBidi"/>
      <w:b/>
      <w:color w:val="000000"/>
      <w:sz w:val="32"/>
      <w:szCs w:val="20"/>
    </w:rPr>
  </w:style>
  <w:style w:type="paragraph" w:styleId="Nadpis2">
    <w:name w:val="heading 2"/>
    <w:basedOn w:val="Normln"/>
    <w:next w:val="Normln"/>
    <w:link w:val="Nadpis2Char"/>
    <w:uiPriority w:val="9"/>
    <w:unhideWhenUsed/>
    <w:qFormat/>
    <w:rsid w:val="00CC7AE1"/>
    <w:pPr>
      <w:keepNext/>
      <w:keepLines/>
      <w:spacing w:before="40" w:after="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71206C"/>
    <w:pPr>
      <w:keepNext/>
      <w:keepLines/>
      <w:spacing w:before="40" w:after="0"/>
      <w:outlineLvl w:val="2"/>
    </w:pPr>
    <w:rPr>
      <w:rFonts w:ascii="Times New Roman" w:eastAsiaTheme="majorEastAsia" w:hAnsi="Times New Roman"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433B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433B1"/>
    <w:rPr>
      <w:sz w:val="20"/>
      <w:szCs w:val="20"/>
    </w:rPr>
  </w:style>
  <w:style w:type="character" w:styleId="Znakapoznpodarou">
    <w:name w:val="footnote reference"/>
    <w:basedOn w:val="Standardnpsmoodstavce"/>
    <w:uiPriority w:val="99"/>
    <w:semiHidden/>
    <w:unhideWhenUsed/>
    <w:rsid w:val="00D433B1"/>
    <w:rPr>
      <w:vertAlign w:val="superscript"/>
    </w:rPr>
  </w:style>
  <w:style w:type="character" w:styleId="Hypertextovodkaz">
    <w:name w:val="Hyperlink"/>
    <w:basedOn w:val="Standardnpsmoodstavce"/>
    <w:uiPriority w:val="99"/>
    <w:unhideWhenUsed/>
    <w:rsid w:val="00D82D60"/>
    <w:rPr>
      <w:color w:val="0563C1" w:themeColor="hyperlink"/>
      <w:u w:val="single"/>
    </w:rPr>
  </w:style>
  <w:style w:type="paragraph" w:styleId="Odstavecseseznamem">
    <w:name w:val="List Paragraph"/>
    <w:basedOn w:val="Normln"/>
    <w:uiPriority w:val="34"/>
    <w:qFormat/>
    <w:rsid w:val="00B53445"/>
    <w:pPr>
      <w:ind w:left="720"/>
      <w:contextualSpacing/>
    </w:pPr>
  </w:style>
  <w:style w:type="character" w:customStyle="1" w:styleId="Nadpis1Char">
    <w:name w:val="Nadpis 1 Char"/>
    <w:basedOn w:val="Standardnpsmoodstavce"/>
    <w:link w:val="Nadpis1"/>
    <w:uiPriority w:val="9"/>
    <w:rsid w:val="00164BCF"/>
    <w:rPr>
      <w:rFonts w:ascii="TimesNewRomanPSMT" w:eastAsiaTheme="majorEastAsia" w:hAnsi="TimesNewRomanPSMT" w:cstheme="majorBidi"/>
      <w:b/>
      <w:color w:val="000000"/>
      <w:sz w:val="32"/>
      <w:szCs w:val="20"/>
    </w:rPr>
  </w:style>
  <w:style w:type="character" w:customStyle="1" w:styleId="Nadpis2Char">
    <w:name w:val="Nadpis 2 Char"/>
    <w:basedOn w:val="Standardnpsmoodstavce"/>
    <w:link w:val="Nadpis2"/>
    <w:uiPriority w:val="9"/>
    <w:rsid w:val="00CC7AE1"/>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71206C"/>
    <w:rPr>
      <w:rFonts w:ascii="Times New Roman" w:eastAsiaTheme="majorEastAsia" w:hAnsi="Times New Roman" w:cstheme="majorBidi"/>
      <w:b/>
      <w:sz w:val="24"/>
      <w:szCs w:val="24"/>
    </w:rPr>
  </w:style>
  <w:style w:type="paragraph" w:styleId="Textbubliny">
    <w:name w:val="Balloon Text"/>
    <w:basedOn w:val="Normln"/>
    <w:link w:val="TextbublinyChar"/>
    <w:uiPriority w:val="99"/>
    <w:semiHidden/>
    <w:unhideWhenUsed/>
    <w:rsid w:val="00117D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7DDC"/>
    <w:rPr>
      <w:rFonts w:ascii="Segoe UI" w:hAnsi="Segoe UI" w:cs="Segoe UI"/>
      <w:sz w:val="18"/>
      <w:szCs w:val="18"/>
    </w:rPr>
  </w:style>
  <w:style w:type="paragraph" w:styleId="Zhlav">
    <w:name w:val="header"/>
    <w:basedOn w:val="Normln"/>
    <w:link w:val="ZhlavChar"/>
    <w:uiPriority w:val="99"/>
    <w:unhideWhenUsed/>
    <w:rsid w:val="00426A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6AD6"/>
  </w:style>
  <w:style w:type="paragraph" w:styleId="Zpat">
    <w:name w:val="footer"/>
    <w:basedOn w:val="Normln"/>
    <w:link w:val="ZpatChar"/>
    <w:uiPriority w:val="99"/>
    <w:unhideWhenUsed/>
    <w:rsid w:val="00426AD6"/>
    <w:pPr>
      <w:tabs>
        <w:tab w:val="center" w:pos="4536"/>
        <w:tab w:val="right" w:pos="9072"/>
      </w:tabs>
      <w:spacing w:after="0" w:line="240" w:lineRule="auto"/>
    </w:pPr>
  </w:style>
  <w:style w:type="character" w:customStyle="1" w:styleId="ZpatChar">
    <w:name w:val="Zápatí Char"/>
    <w:basedOn w:val="Standardnpsmoodstavce"/>
    <w:link w:val="Zpat"/>
    <w:uiPriority w:val="99"/>
    <w:rsid w:val="00426AD6"/>
  </w:style>
  <w:style w:type="paragraph" w:styleId="Nadpisobsahu">
    <w:name w:val="TOC Heading"/>
    <w:basedOn w:val="Nadpis1"/>
    <w:next w:val="Normln"/>
    <w:uiPriority w:val="39"/>
    <w:unhideWhenUsed/>
    <w:qFormat/>
    <w:rsid w:val="0084351D"/>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84351D"/>
    <w:pPr>
      <w:spacing w:after="100"/>
    </w:pPr>
  </w:style>
  <w:style w:type="paragraph" w:styleId="Obsah2">
    <w:name w:val="toc 2"/>
    <w:basedOn w:val="Normln"/>
    <w:next w:val="Normln"/>
    <w:autoRedefine/>
    <w:uiPriority w:val="39"/>
    <w:unhideWhenUsed/>
    <w:rsid w:val="0084351D"/>
    <w:pPr>
      <w:spacing w:after="100"/>
      <w:ind w:left="220"/>
    </w:pPr>
  </w:style>
  <w:style w:type="paragraph" w:styleId="Obsah3">
    <w:name w:val="toc 3"/>
    <w:basedOn w:val="Normln"/>
    <w:next w:val="Normln"/>
    <w:autoRedefine/>
    <w:uiPriority w:val="39"/>
    <w:unhideWhenUsed/>
    <w:rsid w:val="0084351D"/>
    <w:pPr>
      <w:spacing w:after="100"/>
      <w:ind w:left="440"/>
    </w:pPr>
  </w:style>
  <w:style w:type="character" w:styleId="Sledovanodkaz">
    <w:name w:val="FollowedHyperlink"/>
    <w:basedOn w:val="Standardnpsmoodstavce"/>
    <w:uiPriority w:val="99"/>
    <w:semiHidden/>
    <w:unhideWhenUsed/>
    <w:rsid w:val="00F96914"/>
    <w:rPr>
      <w:color w:val="954F72" w:themeColor="followedHyperlink"/>
      <w:u w:val="single"/>
    </w:rPr>
  </w:style>
  <w:style w:type="character" w:customStyle="1" w:styleId="apple-converted-space">
    <w:name w:val="apple-converted-space"/>
    <w:basedOn w:val="Standardnpsmoodstavce"/>
    <w:rsid w:val="0039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95849">
      <w:bodyDiv w:val="1"/>
      <w:marLeft w:val="0"/>
      <w:marRight w:val="0"/>
      <w:marTop w:val="0"/>
      <w:marBottom w:val="0"/>
      <w:divBdr>
        <w:top w:val="none" w:sz="0" w:space="0" w:color="auto"/>
        <w:left w:val="none" w:sz="0" w:space="0" w:color="auto"/>
        <w:bottom w:val="none" w:sz="0" w:space="0" w:color="auto"/>
        <w:right w:val="none" w:sz="0" w:space="0" w:color="auto"/>
      </w:divBdr>
    </w:div>
    <w:div w:id="589392972">
      <w:bodyDiv w:val="1"/>
      <w:marLeft w:val="0"/>
      <w:marRight w:val="0"/>
      <w:marTop w:val="0"/>
      <w:marBottom w:val="0"/>
      <w:divBdr>
        <w:top w:val="none" w:sz="0" w:space="0" w:color="auto"/>
        <w:left w:val="none" w:sz="0" w:space="0" w:color="auto"/>
        <w:bottom w:val="none" w:sz="0" w:space="0" w:color="auto"/>
        <w:right w:val="none" w:sz="0" w:space="0" w:color="auto"/>
      </w:divBdr>
    </w:div>
    <w:div w:id="694425674">
      <w:bodyDiv w:val="1"/>
      <w:marLeft w:val="0"/>
      <w:marRight w:val="0"/>
      <w:marTop w:val="0"/>
      <w:marBottom w:val="0"/>
      <w:divBdr>
        <w:top w:val="none" w:sz="0" w:space="0" w:color="auto"/>
        <w:left w:val="none" w:sz="0" w:space="0" w:color="auto"/>
        <w:bottom w:val="none" w:sz="0" w:space="0" w:color="auto"/>
        <w:right w:val="none" w:sz="0" w:space="0" w:color="auto"/>
      </w:divBdr>
    </w:div>
    <w:div w:id="1164390713">
      <w:bodyDiv w:val="1"/>
      <w:marLeft w:val="0"/>
      <w:marRight w:val="0"/>
      <w:marTop w:val="0"/>
      <w:marBottom w:val="0"/>
      <w:divBdr>
        <w:top w:val="none" w:sz="0" w:space="0" w:color="auto"/>
        <w:left w:val="none" w:sz="0" w:space="0" w:color="auto"/>
        <w:bottom w:val="none" w:sz="0" w:space="0" w:color="auto"/>
        <w:right w:val="none" w:sz="0" w:space="0" w:color="auto"/>
      </w:divBdr>
    </w:div>
    <w:div w:id="1223326101">
      <w:bodyDiv w:val="1"/>
      <w:marLeft w:val="0"/>
      <w:marRight w:val="0"/>
      <w:marTop w:val="0"/>
      <w:marBottom w:val="0"/>
      <w:divBdr>
        <w:top w:val="none" w:sz="0" w:space="0" w:color="auto"/>
        <w:left w:val="none" w:sz="0" w:space="0" w:color="auto"/>
        <w:bottom w:val="none" w:sz="0" w:space="0" w:color="auto"/>
        <w:right w:val="none" w:sz="0" w:space="0" w:color="auto"/>
      </w:divBdr>
    </w:div>
    <w:div w:id="21384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activ.com/future-eu/national-parliaments-greatest-winners-lisbon-treaty-meps/article-168884" TargetMode="External"/><Relationship Id="rId1" Type="http://schemas.openxmlformats.org/officeDocument/2006/relationships/hyperlink" Target="http://www.obcinst.cz/problem-demokraticke-legitimity-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54D3-07D3-4E21-BE97-920A272D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66</Pages>
  <Words>16305</Words>
  <Characters>96205</Characters>
  <Application>Microsoft Office Word</Application>
  <DocSecurity>0</DocSecurity>
  <Lines>801</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Svoboda</dc:creator>
  <cp:keywords/>
  <dc:description/>
  <cp:lastModifiedBy>Honza</cp:lastModifiedBy>
  <cp:revision>10748</cp:revision>
  <cp:lastPrinted>2017-04-23T20:02:00Z</cp:lastPrinted>
  <dcterms:created xsi:type="dcterms:W3CDTF">2016-08-12T16:42:00Z</dcterms:created>
  <dcterms:modified xsi:type="dcterms:W3CDTF">2017-05-17T10:03:00Z</dcterms:modified>
</cp:coreProperties>
</file>