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71D33" w14:textId="735ACB30" w:rsidR="00C84A81" w:rsidRPr="004141CF" w:rsidRDefault="00F62894" w:rsidP="004141CF">
      <w:pPr>
        <w:pStyle w:val="Nzev"/>
        <w:ind w:firstLine="0"/>
        <w:rPr>
          <w:sz w:val="28"/>
          <w:szCs w:val="32"/>
        </w:rPr>
      </w:pPr>
      <w:r w:rsidRPr="004141CF">
        <w:rPr>
          <w:sz w:val="28"/>
          <w:szCs w:val="32"/>
        </w:rPr>
        <w:t>MORAVSKÁ VYSOKÁ ŠKOLA OLOMOUC</w:t>
      </w:r>
      <w:r w:rsidR="00863083" w:rsidRPr="004141CF">
        <w:rPr>
          <w:sz w:val="28"/>
          <w:szCs w:val="32"/>
        </w:rPr>
        <w:t xml:space="preserve"> </w:t>
      </w:r>
    </w:p>
    <w:p w14:paraId="056A5D54" w14:textId="77777777" w:rsidR="00863083" w:rsidRPr="004141CF" w:rsidRDefault="00F62894" w:rsidP="004141CF">
      <w:pPr>
        <w:pStyle w:val="Nzev"/>
        <w:tabs>
          <w:tab w:val="left" w:pos="3119"/>
        </w:tabs>
        <w:rPr>
          <w:sz w:val="24"/>
          <w:szCs w:val="32"/>
        </w:rPr>
      </w:pPr>
      <w:r w:rsidRPr="004141CF">
        <w:rPr>
          <w:sz w:val="24"/>
          <w:szCs w:val="32"/>
        </w:rPr>
        <w:t>Ústav ekonomie</w:t>
      </w:r>
    </w:p>
    <w:p w14:paraId="5C8B0368" w14:textId="77777777" w:rsidR="00863083" w:rsidRDefault="00863083" w:rsidP="00F62894">
      <w:pPr>
        <w:ind w:firstLine="0"/>
        <w:jc w:val="center"/>
      </w:pPr>
    </w:p>
    <w:p w14:paraId="5C0E86D8" w14:textId="77777777" w:rsidR="00863083" w:rsidRDefault="00863083" w:rsidP="00F62894">
      <w:pPr>
        <w:ind w:firstLine="0"/>
        <w:jc w:val="center"/>
      </w:pPr>
    </w:p>
    <w:p w14:paraId="6E940550" w14:textId="1F8BFF76" w:rsidR="00863083" w:rsidRDefault="00863083" w:rsidP="00F62894">
      <w:pPr>
        <w:ind w:firstLine="0"/>
        <w:jc w:val="center"/>
      </w:pPr>
    </w:p>
    <w:p w14:paraId="58D41C7F" w14:textId="5C560AAD" w:rsidR="004141CF" w:rsidRDefault="004141CF" w:rsidP="00F62894">
      <w:pPr>
        <w:ind w:firstLine="0"/>
        <w:jc w:val="center"/>
      </w:pPr>
    </w:p>
    <w:p w14:paraId="6BE4872E" w14:textId="3922E4F9" w:rsidR="004141CF" w:rsidRDefault="004141CF" w:rsidP="00F62894">
      <w:pPr>
        <w:ind w:firstLine="0"/>
        <w:jc w:val="center"/>
      </w:pPr>
    </w:p>
    <w:p w14:paraId="0AB708A4" w14:textId="2AD32970" w:rsidR="004141CF" w:rsidRDefault="004141CF" w:rsidP="00F62894">
      <w:pPr>
        <w:ind w:firstLine="0"/>
        <w:jc w:val="center"/>
      </w:pPr>
    </w:p>
    <w:p w14:paraId="3F9CB59D" w14:textId="496F5848" w:rsidR="00863083" w:rsidRPr="004141CF" w:rsidRDefault="00863083" w:rsidP="00F62894">
      <w:pPr>
        <w:ind w:firstLine="0"/>
        <w:jc w:val="center"/>
        <w:rPr>
          <w:bCs/>
        </w:rPr>
      </w:pPr>
      <w:r w:rsidRPr="004141CF">
        <w:rPr>
          <w:bCs/>
        </w:rPr>
        <w:t>Srovnání vývoje nezaměstnanosti a průměrného příjmu ve Středočeském</w:t>
      </w:r>
      <w:r w:rsidR="00374278" w:rsidRPr="004141CF">
        <w:rPr>
          <w:bCs/>
        </w:rPr>
        <w:br/>
      </w:r>
      <w:r w:rsidRPr="004141CF">
        <w:rPr>
          <w:bCs/>
        </w:rPr>
        <w:t xml:space="preserve">a Olomouckém kraji v období </w:t>
      </w:r>
      <w:r w:rsidR="00826E4D">
        <w:rPr>
          <w:bCs/>
        </w:rPr>
        <w:t>2013 -2017</w:t>
      </w:r>
      <w:r w:rsidRPr="004141CF">
        <w:rPr>
          <w:bCs/>
        </w:rPr>
        <w:t>.</w:t>
      </w:r>
    </w:p>
    <w:p w14:paraId="0C7E5DFB" w14:textId="336A75FD" w:rsidR="00F24766" w:rsidRDefault="004141CF" w:rsidP="004141CF">
      <w:pPr>
        <w:ind w:left="2835" w:firstLine="567"/>
        <w:jc w:val="left"/>
      </w:pPr>
      <w:r>
        <w:t>BAKALÁŘSKÁ PRÁCE</w:t>
      </w:r>
    </w:p>
    <w:p w14:paraId="66E82426" w14:textId="77777777" w:rsidR="00F24766" w:rsidRDefault="00F24766" w:rsidP="00F24766">
      <w:pPr>
        <w:ind w:firstLine="0"/>
      </w:pPr>
    </w:p>
    <w:p w14:paraId="72BFA7F5" w14:textId="77777777" w:rsidR="00F24766" w:rsidRDefault="00F24766" w:rsidP="00F24766">
      <w:pPr>
        <w:ind w:firstLine="0"/>
        <w:jc w:val="center"/>
      </w:pPr>
    </w:p>
    <w:p w14:paraId="3D9B6042" w14:textId="77777777" w:rsidR="00F24766" w:rsidRDefault="00F24766" w:rsidP="00F24766">
      <w:pPr>
        <w:ind w:firstLine="0"/>
        <w:jc w:val="center"/>
      </w:pPr>
    </w:p>
    <w:p w14:paraId="44DA0A12" w14:textId="77777777" w:rsidR="004141CF" w:rsidRDefault="004141CF" w:rsidP="00F24766">
      <w:pPr>
        <w:ind w:firstLine="0"/>
        <w:jc w:val="center"/>
      </w:pPr>
    </w:p>
    <w:p w14:paraId="3FAF534B" w14:textId="77777777" w:rsidR="004141CF" w:rsidRDefault="004141CF" w:rsidP="00F24766">
      <w:pPr>
        <w:ind w:firstLine="0"/>
        <w:jc w:val="center"/>
      </w:pPr>
    </w:p>
    <w:p w14:paraId="666889CC" w14:textId="77777777" w:rsidR="004141CF" w:rsidRDefault="004141CF" w:rsidP="00F24766">
      <w:pPr>
        <w:ind w:firstLine="0"/>
        <w:jc w:val="center"/>
      </w:pPr>
    </w:p>
    <w:p w14:paraId="3AF74A95" w14:textId="77777777" w:rsidR="004141CF" w:rsidRDefault="004141CF" w:rsidP="00F24766">
      <w:pPr>
        <w:ind w:firstLine="0"/>
        <w:jc w:val="center"/>
      </w:pPr>
    </w:p>
    <w:p w14:paraId="4504DCA9" w14:textId="77777777" w:rsidR="004141CF" w:rsidRDefault="004141CF" w:rsidP="00F24766">
      <w:pPr>
        <w:ind w:firstLine="0"/>
        <w:jc w:val="center"/>
      </w:pPr>
    </w:p>
    <w:p w14:paraId="0D9427D6" w14:textId="77777777" w:rsidR="004141CF" w:rsidRDefault="004141CF" w:rsidP="00F24766">
      <w:pPr>
        <w:ind w:firstLine="0"/>
        <w:jc w:val="center"/>
      </w:pPr>
    </w:p>
    <w:p w14:paraId="41727480" w14:textId="77777777" w:rsidR="004141CF" w:rsidRDefault="004141CF" w:rsidP="00F24766">
      <w:pPr>
        <w:ind w:firstLine="0"/>
        <w:jc w:val="center"/>
      </w:pPr>
    </w:p>
    <w:p w14:paraId="258A95FC" w14:textId="77777777" w:rsidR="004141CF" w:rsidRDefault="004141CF" w:rsidP="00F24766">
      <w:pPr>
        <w:ind w:firstLine="0"/>
        <w:jc w:val="center"/>
      </w:pPr>
    </w:p>
    <w:p w14:paraId="741E3353" w14:textId="2DB4D34E" w:rsidR="004141CF" w:rsidRDefault="004141CF" w:rsidP="00F24766">
      <w:pPr>
        <w:ind w:firstLine="0"/>
        <w:jc w:val="center"/>
      </w:pPr>
      <w:r>
        <w:t xml:space="preserve">Monika </w:t>
      </w:r>
      <w:proofErr w:type="spellStart"/>
      <w:r>
        <w:t>Huťová</w:t>
      </w:r>
      <w:proofErr w:type="spellEnd"/>
    </w:p>
    <w:p w14:paraId="0CC8A05E" w14:textId="51CE6968" w:rsidR="00F24766" w:rsidRDefault="00F24766" w:rsidP="00F24766">
      <w:pPr>
        <w:ind w:firstLine="0"/>
        <w:jc w:val="center"/>
      </w:pPr>
      <w:r>
        <w:t>Vedoucí práce: Ing. Eva Jílková, Ph.D.</w:t>
      </w:r>
    </w:p>
    <w:p w14:paraId="07BCE834" w14:textId="77777777" w:rsidR="00F24766" w:rsidRDefault="00F24766" w:rsidP="00F24766">
      <w:pPr>
        <w:ind w:firstLine="0"/>
        <w:jc w:val="center"/>
      </w:pPr>
    </w:p>
    <w:p w14:paraId="20C93F94" w14:textId="77777777" w:rsidR="00F24766" w:rsidRDefault="00F24766" w:rsidP="00116C55">
      <w:pPr>
        <w:ind w:firstLine="0"/>
        <w:rPr>
          <w:b/>
        </w:rPr>
      </w:pPr>
    </w:p>
    <w:p w14:paraId="3114DE76" w14:textId="77777777" w:rsidR="004141CF" w:rsidRDefault="004141CF" w:rsidP="00F62894">
      <w:pPr>
        <w:ind w:firstLine="0"/>
        <w:jc w:val="center"/>
      </w:pPr>
    </w:p>
    <w:p w14:paraId="10308D82" w14:textId="77777777" w:rsidR="004141CF" w:rsidRDefault="004141CF" w:rsidP="00F62894">
      <w:pPr>
        <w:ind w:firstLine="0"/>
        <w:jc w:val="center"/>
      </w:pPr>
    </w:p>
    <w:p w14:paraId="7E1AD39A" w14:textId="77777777" w:rsidR="004141CF" w:rsidRDefault="004141CF" w:rsidP="00F62894">
      <w:pPr>
        <w:ind w:firstLine="0"/>
        <w:jc w:val="center"/>
      </w:pPr>
    </w:p>
    <w:p w14:paraId="0FAED5F9" w14:textId="77777777" w:rsidR="004141CF" w:rsidRDefault="004141CF" w:rsidP="00F62894">
      <w:pPr>
        <w:ind w:firstLine="0"/>
        <w:jc w:val="center"/>
      </w:pPr>
    </w:p>
    <w:p w14:paraId="36B01DDE" w14:textId="77777777" w:rsidR="004141CF" w:rsidRDefault="004141CF" w:rsidP="00F62894">
      <w:pPr>
        <w:ind w:firstLine="0"/>
        <w:jc w:val="center"/>
      </w:pPr>
    </w:p>
    <w:p w14:paraId="6398D805" w14:textId="415360A9" w:rsidR="00863083" w:rsidRPr="00F24766" w:rsidRDefault="00F24766" w:rsidP="00F62894">
      <w:pPr>
        <w:ind w:firstLine="0"/>
        <w:jc w:val="center"/>
      </w:pPr>
      <w:r w:rsidRPr="00F24766">
        <w:t>Olomouc 2019</w:t>
      </w:r>
    </w:p>
    <w:p w14:paraId="05577523" w14:textId="77777777" w:rsidR="00AD4894" w:rsidRDefault="00AD4894" w:rsidP="00F62894">
      <w:pPr>
        <w:ind w:firstLine="0"/>
        <w:jc w:val="center"/>
        <w:rPr>
          <w:b/>
        </w:rPr>
      </w:pPr>
    </w:p>
    <w:p w14:paraId="0735602A" w14:textId="77777777" w:rsidR="00AD4894" w:rsidRDefault="00AD4894" w:rsidP="004141CF">
      <w:pPr>
        <w:ind w:firstLine="0"/>
        <w:rPr>
          <w:b/>
        </w:rPr>
        <w:sectPr w:rsidR="00AD4894" w:rsidSect="00CC4441">
          <w:footerReference w:type="default" r:id="rId9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B6ABEBB" w14:textId="77777777" w:rsidR="004141CF" w:rsidRPr="00A82E00" w:rsidRDefault="004141CF" w:rsidP="004141CF">
      <w:pPr>
        <w:ind w:firstLine="0"/>
        <w:rPr>
          <w:b/>
          <w:smallCaps/>
        </w:rPr>
      </w:pPr>
      <w:r w:rsidRPr="00A82E00">
        <w:rPr>
          <w:b/>
          <w:smallCaps/>
        </w:rPr>
        <w:lastRenderedPageBreak/>
        <w:t>Prohlášení</w:t>
      </w:r>
    </w:p>
    <w:p w14:paraId="2A879AB1" w14:textId="77777777" w:rsidR="00F62894" w:rsidRDefault="00F62894" w:rsidP="004141CF">
      <w:pPr>
        <w:ind w:firstLine="0"/>
        <w:jc w:val="left"/>
      </w:pPr>
    </w:p>
    <w:p w14:paraId="2F46366B" w14:textId="77777777" w:rsidR="00863083" w:rsidRDefault="00863083" w:rsidP="00F62894">
      <w:pPr>
        <w:ind w:firstLine="0"/>
        <w:jc w:val="center"/>
      </w:pPr>
    </w:p>
    <w:p w14:paraId="33A2709A" w14:textId="77777777" w:rsidR="00863083" w:rsidRDefault="00863083" w:rsidP="00F62894">
      <w:pPr>
        <w:ind w:firstLine="0"/>
        <w:jc w:val="center"/>
      </w:pPr>
    </w:p>
    <w:p w14:paraId="79C69397" w14:textId="77777777" w:rsidR="00863083" w:rsidRDefault="00863083" w:rsidP="00F62894">
      <w:pPr>
        <w:ind w:firstLine="0"/>
        <w:jc w:val="center"/>
      </w:pPr>
    </w:p>
    <w:p w14:paraId="52190B47" w14:textId="77777777" w:rsidR="00863083" w:rsidRDefault="00863083" w:rsidP="00F62894">
      <w:pPr>
        <w:ind w:firstLine="0"/>
        <w:jc w:val="center"/>
      </w:pPr>
    </w:p>
    <w:p w14:paraId="25D293B6" w14:textId="77777777" w:rsidR="00863083" w:rsidRDefault="00863083" w:rsidP="00F62894">
      <w:pPr>
        <w:ind w:firstLine="0"/>
        <w:jc w:val="center"/>
      </w:pPr>
    </w:p>
    <w:p w14:paraId="1A797CB2" w14:textId="77777777" w:rsidR="00863083" w:rsidRDefault="00863083" w:rsidP="00F62894">
      <w:pPr>
        <w:ind w:firstLine="0"/>
        <w:jc w:val="center"/>
      </w:pPr>
    </w:p>
    <w:p w14:paraId="41B16865" w14:textId="77777777" w:rsidR="00863083" w:rsidRDefault="00863083" w:rsidP="00F62894">
      <w:pPr>
        <w:ind w:firstLine="0"/>
        <w:jc w:val="center"/>
        <w:rPr>
          <w:b/>
        </w:rPr>
      </w:pPr>
    </w:p>
    <w:p w14:paraId="4DFEB937" w14:textId="77777777" w:rsidR="00433ED8" w:rsidRDefault="00433ED8" w:rsidP="00F62894">
      <w:pPr>
        <w:ind w:firstLine="0"/>
        <w:jc w:val="center"/>
        <w:rPr>
          <w:b/>
        </w:rPr>
      </w:pPr>
    </w:p>
    <w:p w14:paraId="40145A9B" w14:textId="77777777" w:rsidR="00433ED8" w:rsidRDefault="00433ED8" w:rsidP="00F62894">
      <w:pPr>
        <w:ind w:firstLine="0"/>
        <w:jc w:val="center"/>
        <w:rPr>
          <w:b/>
        </w:rPr>
      </w:pPr>
    </w:p>
    <w:p w14:paraId="67E4CE2A" w14:textId="77777777" w:rsidR="00433ED8" w:rsidRDefault="00433ED8" w:rsidP="00F62894">
      <w:pPr>
        <w:ind w:firstLine="0"/>
        <w:jc w:val="center"/>
        <w:rPr>
          <w:b/>
        </w:rPr>
      </w:pPr>
    </w:p>
    <w:p w14:paraId="4FC603A3" w14:textId="77777777" w:rsidR="00433ED8" w:rsidRDefault="00433ED8" w:rsidP="00F62894">
      <w:pPr>
        <w:ind w:firstLine="0"/>
        <w:jc w:val="center"/>
        <w:rPr>
          <w:b/>
        </w:rPr>
      </w:pPr>
    </w:p>
    <w:p w14:paraId="7A867102" w14:textId="77777777" w:rsidR="00433ED8" w:rsidRDefault="00433ED8" w:rsidP="00F62894">
      <w:pPr>
        <w:ind w:firstLine="0"/>
        <w:jc w:val="center"/>
        <w:rPr>
          <w:b/>
        </w:rPr>
      </w:pPr>
    </w:p>
    <w:p w14:paraId="12AA500B" w14:textId="77777777" w:rsidR="00433ED8" w:rsidRDefault="00433ED8" w:rsidP="00F62894">
      <w:pPr>
        <w:ind w:firstLine="0"/>
        <w:jc w:val="center"/>
        <w:rPr>
          <w:b/>
        </w:rPr>
      </w:pPr>
    </w:p>
    <w:p w14:paraId="2ACD6248" w14:textId="77777777" w:rsidR="00433ED8" w:rsidRDefault="00433ED8" w:rsidP="00F62894">
      <w:pPr>
        <w:ind w:firstLine="0"/>
        <w:jc w:val="center"/>
        <w:rPr>
          <w:b/>
        </w:rPr>
      </w:pPr>
    </w:p>
    <w:p w14:paraId="2440250C" w14:textId="77777777" w:rsidR="00433ED8" w:rsidRDefault="00433ED8" w:rsidP="00F62894">
      <w:pPr>
        <w:ind w:firstLine="0"/>
        <w:jc w:val="center"/>
        <w:rPr>
          <w:b/>
        </w:rPr>
      </w:pPr>
    </w:p>
    <w:p w14:paraId="4BD9FC60" w14:textId="77777777" w:rsidR="00433ED8" w:rsidRDefault="00433ED8" w:rsidP="00F62894">
      <w:pPr>
        <w:ind w:firstLine="0"/>
        <w:jc w:val="center"/>
        <w:rPr>
          <w:b/>
        </w:rPr>
      </w:pPr>
    </w:p>
    <w:p w14:paraId="04B3BF80" w14:textId="77777777" w:rsidR="00433ED8" w:rsidRDefault="00433ED8" w:rsidP="00F62894">
      <w:pPr>
        <w:ind w:firstLine="0"/>
        <w:jc w:val="center"/>
        <w:rPr>
          <w:b/>
        </w:rPr>
      </w:pPr>
    </w:p>
    <w:p w14:paraId="7EC6560E" w14:textId="77777777" w:rsidR="00433ED8" w:rsidRDefault="00433ED8" w:rsidP="00F62894">
      <w:pPr>
        <w:ind w:firstLine="0"/>
        <w:jc w:val="center"/>
        <w:rPr>
          <w:b/>
        </w:rPr>
      </w:pPr>
    </w:p>
    <w:p w14:paraId="19E05F02" w14:textId="77777777" w:rsidR="00433ED8" w:rsidRDefault="00433ED8" w:rsidP="00F62894">
      <w:pPr>
        <w:ind w:firstLine="0"/>
        <w:jc w:val="center"/>
        <w:rPr>
          <w:b/>
        </w:rPr>
      </w:pPr>
    </w:p>
    <w:p w14:paraId="4FA99662" w14:textId="77777777" w:rsidR="00433ED8" w:rsidRDefault="00433ED8" w:rsidP="00F62894">
      <w:pPr>
        <w:ind w:firstLine="0"/>
        <w:jc w:val="center"/>
        <w:rPr>
          <w:b/>
        </w:rPr>
      </w:pPr>
    </w:p>
    <w:p w14:paraId="37FB1275" w14:textId="77777777" w:rsidR="00433ED8" w:rsidRDefault="00433ED8" w:rsidP="00F62894">
      <w:pPr>
        <w:ind w:firstLine="0"/>
        <w:jc w:val="center"/>
        <w:rPr>
          <w:b/>
        </w:rPr>
      </w:pPr>
    </w:p>
    <w:p w14:paraId="35FFD8B6" w14:textId="77777777" w:rsidR="00433ED8" w:rsidRDefault="00433ED8" w:rsidP="00F62894">
      <w:pPr>
        <w:ind w:firstLine="0"/>
        <w:jc w:val="center"/>
        <w:rPr>
          <w:b/>
        </w:rPr>
      </w:pPr>
    </w:p>
    <w:p w14:paraId="33299F86" w14:textId="77777777" w:rsidR="00433ED8" w:rsidRDefault="00433ED8" w:rsidP="00F62894">
      <w:pPr>
        <w:ind w:firstLine="0"/>
        <w:jc w:val="center"/>
        <w:rPr>
          <w:b/>
        </w:rPr>
      </w:pPr>
    </w:p>
    <w:p w14:paraId="3001E8FD" w14:textId="77777777" w:rsidR="00C84A81" w:rsidRDefault="00F24766" w:rsidP="004141CF">
      <w:pPr>
        <w:ind w:firstLine="0"/>
      </w:pPr>
      <w:r w:rsidRPr="00F24766">
        <w:t xml:space="preserve">Prohlašuji, že jsem bakalářskou práci vypracovala samostatně a použila jsem uvedené informační zdroje. </w:t>
      </w:r>
    </w:p>
    <w:p w14:paraId="5453F45F" w14:textId="15E59C61" w:rsidR="00433ED8" w:rsidRDefault="00621498" w:rsidP="00621498">
      <w:pPr>
        <w:ind w:firstLine="0"/>
      </w:pPr>
      <w:r>
        <w:t>Tištěná verze textu práce je shodná s textem práce na CD nosiči</w:t>
      </w:r>
      <w:r w:rsidR="00AD4894">
        <w:t xml:space="preserve"> a elektronickou verzí vloženou do studijního systému IS/STAG. </w:t>
      </w:r>
    </w:p>
    <w:p w14:paraId="33D2BEC6" w14:textId="77777777" w:rsidR="00433ED8" w:rsidRDefault="00433ED8" w:rsidP="00260A31">
      <w:pPr>
        <w:ind w:firstLine="0"/>
      </w:pPr>
    </w:p>
    <w:p w14:paraId="36ED78BD" w14:textId="0CA3C7BF" w:rsidR="004876A6" w:rsidRPr="00B71FC9" w:rsidRDefault="000219D1" w:rsidP="00AD4894">
      <w:pPr>
        <w:ind w:firstLine="0"/>
        <w:rPr>
          <w:color w:val="000000" w:themeColor="text1"/>
        </w:rPr>
      </w:pPr>
      <w:r w:rsidRPr="00B71FC9">
        <w:rPr>
          <w:color w:val="000000" w:themeColor="text1"/>
        </w:rPr>
        <w:t xml:space="preserve">V Olomouci </w:t>
      </w:r>
      <w:r w:rsidR="00485DCF">
        <w:rPr>
          <w:color w:val="000000" w:themeColor="text1"/>
        </w:rPr>
        <w:t>dne 9. 8</w:t>
      </w:r>
      <w:r w:rsidRPr="00485DCF">
        <w:rPr>
          <w:color w:val="000000" w:themeColor="text1"/>
        </w:rPr>
        <w:t>. 2019</w:t>
      </w:r>
      <w:r w:rsidRPr="00B71FC9">
        <w:rPr>
          <w:color w:val="000000" w:themeColor="text1"/>
        </w:rPr>
        <w:tab/>
      </w:r>
      <w:r w:rsidRPr="00B71FC9">
        <w:rPr>
          <w:color w:val="000000" w:themeColor="text1"/>
        </w:rPr>
        <w:tab/>
      </w:r>
      <w:r w:rsidRPr="00B71FC9">
        <w:rPr>
          <w:color w:val="000000" w:themeColor="text1"/>
        </w:rPr>
        <w:tab/>
      </w:r>
      <w:r w:rsidRPr="00B71FC9">
        <w:rPr>
          <w:color w:val="000000" w:themeColor="text1"/>
        </w:rPr>
        <w:tab/>
      </w:r>
      <w:r w:rsidRPr="00B71FC9">
        <w:rPr>
          <w:color w:val="000000" w:themeColor="text1"/>
        </w:rPr>
        <w:tab/>
      </w:r>
      <w:r w:rsidRPr="00B71FC9">
        <w:rPr>
          <w:color w:val="000000" w:themeColor="text1"/>
        </w:rPr>
        <w:tab/>
      </w:r>
      <w:r w:rsidR="004141CF" w:rsidRPr="00B71FC9">
        <w:rPr>
          <w:color w:val="000000" w:themeColor="text1"/>
        </w:rPr>
        <w:t>____________________________</w:t>
      </w:r>
      <w:r w:rsidR="004876A6" w:rsidRPr="00B71FC9">
        <w:rPr>
          <w:color w:val="000000" w:themeColor="text1"/>
        </w:rPr>
        <w:t xml:space="preserve"> </w:t>
      </w:r>
    </w:p>
    <w:p w14:paraId="6CA4F17D" w14:textId="6C0025A7" w:rsidR="00CC48E8" w:rsidRPr="00CC48E8" w:rsidRDefault="004141CF" w:rsidP="00CC48E8">
      <w:pPr>
        <w:tabs>
          <w:tab w:val="left" w:pos="6663"/>
        </w:tabs>
        <w:spacing w:after="200" w:line="276" w:lineRule="auto"/>
        <w:ind w:firstLine="0"/>
        <w:jc w:val="left"/>
      </w:pPr>
      <w:r w:rsidRPr="00B71FC9">
        <w:rPr>
          <w:color w:val="000000" w:themeColor="text1"/>
        </w:rPr>
        <w:tab/>
        <w:t xml:space="preserve">Monika </w:t>
      </w:r>
      <w:proofErr w:type="spellStart"/>
      <w:r w:rsidRPr="00B71FC9">
        <w:rPr>
          <w:color w:val="000000" w:themeColor="text1"/>
        </w:rPr>
        <w:t>Huťová</w:t>
      </w:r>
      <w:proofErr w:type="spellEnd"/>
      <w:r w:rsidR="004876A6">
        <w:br w:type="page"/>
      </w:r>
      <w:r w:rsidR="00CC48E8" w:rsidRPr="00A82E00">
        <w:rPr>
          <w:b/>
          <w:smallCaps/>
        </w:rPr>
        <w:lastRenderedPageBreak/>
        <w:t>P</w:t>
      </w:r>
      <w:r w:rsidR="00CC48E8">
        <w:rPr>
          <w:b/>
          <w:smallCaps/>
        </w:rPr>
        <w:t>oděkování</w:t>
      </w:r>
    </w:p>
    <w:p w14:paraId="0DA5AB53" w14:textId="77777777" w:rsidR="00433ED8" w:rsidRPr="00F24766" w:rsidRDefault="00433ED8" w:rsidP="001870DA">
      <w:pPr>
        <w:ind w:firstLine="0"/>
      </w:pPr>
    </w:p>
    <w:p w14:paraId="27AA4AF2" w14:textId="77777777" w:rsidR="004876A6" w:rsidRDefault="004876A6" w:rsidP="001870DA">
      <w:pPr>
        <w:ind w:firstLine="0"/>
      </w:pPr>
    </w:p>
    <w:p w14:paraId="4B09FDCE" w14:textId="77777777" w:rsidR="004876A6" w:rsidRDefault="004876A6" w:rsidP="001870DA">
      <w:pPr>
        <w:ind w:firstLine="0"/>
      </w:pPr>
    </w:p>
    <w:p w14:paraId="595AA425" w14:textId="77777777" w:rsidR="004876A6" w:rsidRDefault="004876A6" w:rsidP="001870DA">
      <w:pPr>
        <w:ind w:firstLine="0"/>
      </w:pPr>
    </w:p>
    <w:p w14:paraId="05581741" w14:textId="77777777" w:rsidR="004876A6" w:rsidRDefault="004876A6" w:rsidP="001870DA">
      <w:pPr>
        <w:ind w:firstLine="0"/>
      </w:pPr>
    </w:p>
    <w:p w14:paraId="1F80DD1A" w14:textId="77777777" w:rsidR="004876A6" w:rsidRDefault="004876A6" w:rsidP="001870DA">
      <w:pPr>
        <w:ind w:firstLine="0"/>
      </w:pPr>
    </w:p>
    <w:p w14:paraId="2DAEE2AC" w14:textId="77777777" w:rsidR="004876A6" w:rsidRDefault="004876A6" w:rsidP="001870DA">
      <w:pPr>
        <w:ind w:firstLine="0"/>
      </w:pPr>
    </w:p>
    <w:p w14:paraId="293AAB1D" w14:textId="77777777" w:rsidR="004876A6" w:rsidRDefault="004876A6" w:rsidP="001870DA">
      <w:pPr>
        <w:ind w:firstLine="0"/>
      </w:pPr>
    </w:p>
    <w:p w14:paraId="4AC34E14" w14:textId="77777777" w:rsidR="004876A6" w:rsidRDefault="004876A6" w:rsidP="001870DA">
      <w:pPr>
        <w:ind w:firstLine="0"/>
      </w:pPr>
    </w:p>
    <w:p w14:paraId="4197273D" w14:textId="77777777" w:rsidR="004876A6" w:rsidRDefault="004876A6" w:rsidP="001870DA">
      <w:pPr>
        <w:ind w:firstLine="0"/>
      </w:pPr>
    </w:p>
    <w:p w14:paraId="5EC91E0F" w14:textId="77777777" w:rsidR="004876A6" w:rsidRDefault="004876A6" w:rsidP="001870DA">
      <w:pPr>
        <w:ind w:firstLine="0"/>
      </w:pPr>
    </w:p>
    <w:p w14:paraId="6493098D" w14:textId="77777777" w:rsidR="004876A6" w:rsidRDefault="004876A6" w:rsidP="001870DA">
      <w:pPr>
        <w:ind w:firstLine="0"/>
      </w:pPr>
    </w:p>
    <w:p w14:paraId="77E259D5" w14:textId="77777777" w:rsidR="004876A6" w:rsidRDefault="004876A6" w:rsidP="001870DA">
      <w:pPr>
        <w:ind w:firstLine="0"/>
      </w:pPr>
    </w:p>
    <w:p w14:paraId="419D4AFF" w14:textId="77777777" w:rsidR="004876A6" w:rsidRDefault="004876A6" w:rsidP="001870DA">
      <w:pPr>
        <w:ind w:firstLine="0"/>
      </w:pPr>
    </w:p>
    <w:p w14:paraId="4A52F3F9" w14:textId="77777777" w:rsidR="004876A6" w:rsidRDefault="004876A6" w:rsidP="001870DA">
      <w:pPr>
        <w:ind w:firstLine="0"/>
      </w:pPr>
    </w:p>
    <w:p w14:paraId="6B668167" w14:textId="77777777" w:rsidR="004876A6" w:rsidRDefault="004876A6" w:rsidP="001870DA">
      <w:pPr>
        <w:ind w:firstLine="0"/>
      </w:pPr>
    </w:p>
    <w:p w14:paraId="567F467A" w14:textId="77777777" w:rsidR="004876A6" w:rsidRDefault="004876A6" w:rsidP="001870DA">
      <w:pPr>
        <w:ind w:firstLine="0"/>
      </w:pPr>
    </w:p>
    <w:p w14:paraId="6BBF8C1C" w14:textId="77777777" w:rsidR="004876A6" w:rsidRDefault="004876A6" w:rsidP="001870DA">
      <w:pPr>
        <w:ind w:firstLine="0"/>
      </w:pPr>
    </w:p>
    <w:p w14:paraId="2E6F0D8D" w14:textId="77777777" w:rsidR="004876A6" w:rsidRDefault="004876A6" w:rsidP="001870DA">
      <w:pPr>
        <w:ind w:firstLine="0"/>
      </w:pPr>
    </w:p>
    <w:p w14:paraId="7567ABF7" w14:textId="77777777" w:rsidR="004876A6" w:rsidRDefault="004876A6" w:rsidP="001870DA">
      <w:pPr>
        <w:ind w:firstLine="0"/>
      </w:pPr>
    </w:p>
    <w:p w14:paraId="253D2974" w14:textId="77777777" w:rsidR="004876A6" w:rsidRDefault="004876A6" w:rsidP="001870DA">
      <w:pPr>
        <w:ind w:firstLine="0"/>
      </w:pPr>
    </w:p>
    <w:p w14:paraId="366C1165" w14:textId="77777777" w:rsidR="004876A6" w:rsidRDefault="004876A6" w:rsidP="001870DA">
      <w:pPr>
        <w:ind w:firstLine="0"/>
      </w:pPr>
    </w:p>
    <w:p w14:paraId="6AE429C1" w14:textId="77777777" w:rsidR="004876A6" w:rsidRDefault="004876A6" w:rsidP="001870DA">
      <w:pPr>
        <w:ind w:firstLine="0"/>
      </w:pPr>
    </w:p>
    <w:p w14:paraId="4E22B7B1" w14:textId="77777777" w:rsidR="004876A6" w:rsidRDefault="004876A6" w:rsidP="001870DA">
      <w:pPr>
        <w:ind w:firstLine="0"/>
      </w:pPr>
    </w:p>
    <w:p w14:paraId="6878DEB9" w14:textId="77777777" w:rsidR="004876A6" w:rsidRDefault="004876A6" w:rsidP="004876A6">
      <w:pPr>
        <w:ind w:firstLine="0"/>
      </w:pPr>
    </w:p>
    <w:p w14:paraId="000560D6" w14:textId="77777777" w:rsidR="004876A6" w:rsidRDefault="004876A6" w:rsidP="004876A6">
      <w:pPr>
        <w:ind w:firstLine="0"/>
      </w:pPr>
    </w:p>
    <w:p w14:paraId="1D0EB1D5" w14:textId="77777777" w:rsidR="00CC48E8" w:rsidRDefault="00CC48E8" w:rsidP="0061446B">
      <w:pPr>
        <w:ind w:firstLine="0"/>
      </w:pPr>
    </w:p>
    <w:p w14:paraId="51B9A5FB" w14:textId="77777777" w:rsidR="00CC48E8" w:rsidRDefault="00CC48E8" w:rsidP="0061446B">
      <w:pPr>
        <w:ind w:firstLine="0"/>
      </w:pPr>
    </w:p>
    <w:p w14:paraId="4F38D8FF" w14:textId="77777777" w:rsidR="00CC48E8" w:rsidRDefault="00CC48E8" w:rsidP="0061446B">
      <w:pPr>
        <w:ind w:firstLine="0"/>
      </w:pPr>
    </w:p>
    <w:p w14:paraId="2711A2BC" w14:textId="5A216BFE" w:rsidR="001870DA" w:rsidRDefault="004876A6" w:rsidP="0061446B">
      <w:pPr>
        <w:ind w:firstLine="0"/>
      </w:pPr>
      <w:r>
        <w:t xml:space="preserve">Děkuji své vedoucí práce </w:t>
      </w:r>
      <w:r w:rsidR="002C7AD1">
        <w:t xml:space="preserve">Ing. Evě Jílkové, Ph.D. </w:t>
      </w:r>
      <w:r w:rsidR="00783F80">
        <w:t>za její cenn</w:t>
      </w:r>
      <w:r w:rsidR="009F29A2">
        <w:t>é připomínky, rady a trpělivost</w:t>
      </w:r>
      <w:r w:rsidR="00783F80">
        <w:t xml:space="preserve"> </w:t>
      </w:r>
      <w:r w:rsidR="001870DA">
        <w:t>při vedení mé bakalářské práce.</w:t>
      </w:r>
    </w:p>
    <w:p w14:paraId="088F9C9B" w14:textId="77777777" w:rsidR="001870DA" w:rsidRDefault="001870DA" w:rsidP="0061446B">
      <w:pPr>
        <w:ind w:firstLine="0"/>
      </w:pPr>
    </w:p>
    <w:p w14:paraId="6F8D031A" w14:textId="77777777" w:rsidR="001870DA" w:rsidRDefault="001870DA" w:rsidP="0061446B">
      <w:pPr>
        <w:ind w:firstLine="0"/>
        <w:sectPr w:rsidR="001870DA" w:rsidSect="00FF5B1D"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416563034"/>
        <w:docPartObj>
          <w:docPartGallery w:val="Table of Contents"/>
          <w:docPartUnique/>
        </w:docPartObj>
      </w:sdtPr>
      <w:sdtContent>
        <w:p w14:paraId="47BE3682" w14:textId="52E993CA" w:rsidR="00C84A81" w:rsidRPr="007412F7" w:rsidRDefault="00C84A81" w:rsidP="00DC2557">
          <w:pPr>
            <w:pStyle w:val="Nadpisobsahu"/>
            <w:rPr>
              <w:color w:val="auto"/>
            </w:rPr>
          </w:pPr>
          <w:r w:rsidRPr="007412F7">
            <w:rPr>
              <w:color w:val="auto"/>
            </w:rPr>
            <w:t>Obsah</w:t>
          </w:r>
          <w:r w:rsidR="00CC48E8" w:rsidRPr="00AD125C">
            <w:rPr>
              <w:color w:val="FF0000"/>
            </w:rPr>
            <w:tab/>
          </w:r>
        </w:p>
        <w:p w14:paraId="401B55E2" w14:textId="77777777" w:rsidR="00A613C0" w:rsidRDefault="00C84A81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89375" w:history="1">
            <w:r w:rsidR="00A613C0" w:rsidRPr="0046666F">
              <w:rPr>
                <w:rStyle w:val="Hypertextovodkaz"/>
              </w:rPr>
              <w:t>Úvod</w:t>
            </w:r>
            <w:bookmarkStart w:id="0" w:name="_GoBack"/>
            <w:bookmarkEnd w:id="0"/>
            <w:r w:rsidR="00A613C0">
              <w:rPr>
                <w:webHidden/>
              </w:rPr>
              <w:tab/>
            </w:r>
            <w:r w:rsidR="00A613C0">
              <w:rPr>
                <w:webHidden/>
              </w:rPr>
              <w:fldChar w:fldCharType="begin"/>
            </w:r>
            <w:r w:rsidR="00A613C0">
              <w:rPr>
                <w:webHidden/>
              </w:rPr>
              <w:instrText xml:space="preserve"> PAGEREF _Toc15889375 \h </w:instrText>
            </w:r>
            <w:r w:rsidR="00A613C0">
              <w:rPr>
                <w:webHidden/>
              </w:rPr>
            </w:r>
            <w:r w:rsidR="00A613C0"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6</w:t>
            </w:r>
            <w:r w:rsidR="00A613C0">
              <w:rPr>
                <w:webHidden/>
              </w:rPr>
              <w:fldChar w:fldCharType="end"/>
            </w:r>
          </w:hyperlink>
        </w:p>
        <w:p w14:paraId="73BA8455" w14:textId="77777777" w:rsidR="00A613C0" w:rsidRDefault="00A613C0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76" w:history="1">
            <w:r w:rsidRPr="0046666F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Teoretická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3AAC9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377" w:history="1">
            <w:r w:rsidRPr="0046666F">
              <w:rPr>
                <w:rStyle w:val="Hypertextovodkaz"/>
              </w:rPr>
              <w:t>1.1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Trh práce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_Toc15889377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16BCF3D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78" w:history="1">
            <w:r w:rsidRPr="0046666F">
              <w:rPr>
                <w:rStyle w:val="Hypertextovodkaz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Rovnováha na trhu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A386B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79" w:history="1">
            <w:r w:rsidRPr="0046666F">
              <w:rPr>
                <w:rStyle w:val="Hypertextovodkaz"/>
                <w:noProof/>
              </w:rPr>
              <w:t>1.1.2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Členění osob na trhu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331DF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0" w:history="1">
            <w:r w:rsidRPr="0046666F">
              <w:rPr>
                <w:rStyle w:val="Hypertextovodkaz"/>
                <w:noProof/>
              </w:rPr>
              <w:t>1.1.3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Ukazatelé trhu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CF90C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381" w:history="1">
            <w:r w:rsidRPr="0046666F">
              <w:rPr>
                <w:rStyle w:val="Hypertextovodkaz"/>
              </w:rPr>
              <w:t>1.2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Nezaměstnanost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_Toc15889381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5DB34AC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2" w:history="1">
            <w:r w:rsidRPr="0046666F">
              <w:rPr>
                <w:rStyle w:val="Hypertextovodkaz"/>
                <w:noProof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Hlavní důvody nezaměstnanosti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0994E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3" w:history="1">
            <w:r w:rsidRPr="0046666F">
              <w:rPr>
                <w:rStyle w:val="Hypertextovodkaz"/>
                <w:noProof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Druhy nezaměstnanosti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6119D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4" w:history="1">
            <w:r w:rsidRPr="0046666F">
              <w:rPr>
                <w:rStyle w:val="Hypertextovodkaz"/>
                <w:noProof/>
              </w:rPr>
              <w:t>1.2.3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Dynamika na trhu práce – Beveridgeova křivka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E8A6E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5" w:history="1">
            <w:r w:rsidRPr="0046666F">
              <w:rPr>
                <w:rStyle w:val="Hypertextovodkaz"/>
                <w:noProof/>
              </w:rPr>
              <w:t>1.2.4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Negativní důsledky nezaměstnanosti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16200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6" w:history="1">
            <w:r w:rsidRPr="0046666F">
              <w:rPr>
                <w:rStyle w:val="Hypertextovodkaz"/>
                <w:noProof/>
              </w:rPr>
              <w:t>1.2.5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Spojitost nezaměstnanosti a produktu – Okunův zákon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94AC8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7" w:history="1">
            <w:r w:rsidRPr="0046666F">
              <w:rPr>
                <w:rStyle w:val="Hypertextovodkaz"/>
                <w:noProof/>
              </w:rPr>
              <w:t>1.2.6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Pozitiva nezaměstnanosti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697A6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8" w:history="1">
            <w:r w:rsidRPr="0046666F">
              <w:rPr>
                <w:rStyle w:val="Hypertextovodkaz"/>
                <w:noProof/>
              </w:rPr>
              <w:t>1.2.7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Snižování nezaměstnanosti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48F99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89" w:history="1">
            <w:r w:rsidRPr="0046666F">
              <w:rPr>
                <w:rStyle w:val="Hypertextovodkaz"/>
                <w:noProof/>
              </w:rPr>
              <w:t>1.2.8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Podpora nezaměstnaných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5C7AF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90" w:history="1">
            <w:r w:rsidRPr="0046666F">
              <w:rPr>
                <w:rStyle w:val="Hypertextovodkaz"/>
                <w:noProof/>
              </w:rPr>
              <w:t>1.2.9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Phillipsova křivka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A5C04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91" w:history="1">
            <w:r w:rsidRPr="0046666F">
              <w:rPr>
                <w:rStyle w:val="Hypertextovodkaz"/>
                <w:noProof/>
              </w:rPr>
              <w:t>1.2.10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Vzorec Phillipsovy křivky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8DE51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392" w:history="1">
            <w:r w:rsidRPr="0046666F">
              <w:rPr>
                <w:rStyle w:val="Hypertextovodkaz"/>
              </w:rPr>
              <w:t>1.3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Plná zaměstnanost na trhu práce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0265B39A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93" w:history="1">
            <w:r w:rsidRPr="0046666F">
              <w:rPr>
                <w:rStyle w:val="Hypertextovodkaz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Důsledky plné zaměstnanosti v 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7DD43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394" w:history="1">
            <w:r w:rsidRPr="0046666F">
              <w:rPr>
                <w:rStyle w:val="Hypertextovodkaz"/>
              </w:rPr>
              <w:t>1.4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Výpočet příjmu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4CDFFD4D" w14:textId="77777777" w:rsidR="00A613C0" w:rsidRDefault="00A613C0">
          <w:pPr>
            <w:pStyle w:val="Obsah3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95" w:history="1">
            <w:r w:rsidRPr="0046666F">
              <w:rPr>
                <w:rStyle w:val="Hypertextovodkaz"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Medián mezd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55906" w14:textId="77777777" w:rsidR="00A613C0" w:rsidRDefault="00A613C0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9396" w:history="1">
            <w:r w:rsidRPr="0046666F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6666F">
              <w:rPr>
                <w:rStyle w:val="Hypertextovodkaz"/>
                <w:noProof/>
              </w:rPr>
              <w:t>Praktická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_Toc15889396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33C9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52428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397" w:history="1">
            <w:r w:rsidRPr="0046666F">
              <w:rPr>
                <w:rStyle w:val="Hypertextovodkaz"/>
              </w:rPr>
              <w:t>2.1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Charakteristika Olomouckého kraje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61B8D85D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398" w:history="1">
            <w:r w:rsidRPr="0046666F">
              <w:rPr>
                <w:rStyle w:val="Hypertextovodkaz"/>
              </w:rPr>
              <w:t>2.2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Charakteristika Středočeského kraje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0B514CB8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399" w:history="1">
            <w:r w:rsidRPr="0046666F">
              <w:rPr>
                <w:rStyle w:val="Hypertextovodkaz"/>
              </w:rPr>
              <w:t>2.3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Vývoj obecné míry nezaměstnanosti v Olomouckém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48F8D5A8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0" w:history="1">
            <w:r w:rsidRPr="0046666F">
              <w:rPr>
                <w:rStyle w:val="Hypertextovodkaz"/>
              </w:rPr>
              <w:t>2.4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Vývoj míry nezaměstnanosti ve Středočeském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0D296B52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1" w:history="1">
            <w:r w:rsidRPr="0046666F">
              <w:rPr>
                <w:rStyle w:val="Hypertextovodkaz"/>
              </w:rPr>
              <w:t>2.5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Vývoj průměrných mezd v Olomouckém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0906E1BD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2" w:history="1">
            <w:r w:rsidRPr="0046666F">
              <w:rPr>
                <w:rStyle w:val="Hypertextovodkaz"/>
              </w:rPr>
              <w:t>2.6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Vývoj průměrných mezd ve Středočeském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680EC4EF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3" w:history="1">
            <w:r w:rsidRPr="0046666F">
              <w:rPr>
                <w:rStyle w:val="Hypertextovodkaz"/>
              </w:rPr>
              <w:t>2.7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Vývoj mediánu mezd v Olomouckém a Středočeském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19A5E449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4" w:history="1">
            <w:r w:rsidRPr="0046666F">
              <w:rPr>
                <w:rStyle w:val="Hypertextovodkaz"/>
              </w:rPr>
              <w:t>2.8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Počet evidovaných uchazečů na úřadě práce podle věku v Olomouckém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0C3387BC" w14:textId="77777777" w:rsidR="00A613C0" w:rsidRDefault="00A613C0">
          <w:pPr>
            <w:pStyle w:val="Obsah2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5" w:history="1">
            <w:r w:rsidRPr="0046666F">
              <w:rPr>
                <w:rStyle w:val="Hypertextovodkaz"/>
              </w:rPr>
              <w:t>2.9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Počet evidovaných uchazečů na úřadě práce ve Středočeském kraji v období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2FEAE827" w14:textId="77777777" w:rsidR="00A613C0" w:rsidRDefault="00A613C0">
          <w:pPr>
            <w:pStyle w:val="Obsah2"/>
            <w:tabs>
              <w:tab w:val="left" w:pos="154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6" w:history="1">
            <w:r w:rsidRPr="0046666F">
              <w:rPr>
                <w:rStyle w:val="Hypertextovodkaz"/>
              </w:rPr>
              <w:t>2.10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Míra ekonomicky aktivních obyvatel v Olomouckém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61D8E420" w14:textId="77777777" w:rsidR="00A613C0" w:rsidRDefault="00A613C0">
          <w:pPr>
            <w:pStyle w:val="Obsah2"/>
            <w:tabs>
              <w:tab w:val="left" w:pos="154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7" w:history="1">
            <w:r w:rsidRPr="0046666F">
              <w:rPr>
                <w:rStyle w:val="Hypertextovodkaz"/>
              </w:rPr>
              <w:t>2.11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Míra ekonomicky aktivních obyvatel ve Středočeském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58B49629" w14:textId="77777777" w:rsidR="00A613C0" w:rsidRDefault="00A613C0">
          <w:pPr>
            <w:pStyle w:val="Obsah2"/>
            <w:tabs>
              <w:tab w:val="left" w:pos="154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8" w:history="1">
            <w:r w:rsidRPr="0046666F">
              <w:rPr>
                <w:rStyle w:val="Hypertextovodkaz"/>
              </w:rPr>
              <w:t>2.12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Komparace obecné míry nezaměstnanosti v Olomouckém a Středočeském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22F18A5F" w14:textId="77777777" w:rsidR="00A613C0" w:rsidRDefault="00A613C0">
          <w:pPr>
            <w:pStyle w:val="Obsah2"/>
            <w:tabs>
              <w:tab w:val="left" w:pos="154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09" w:history="1">
            <w:r w:rsidRPr="0046666F">
              <w:rPr>
                <w:rStyle w:val="Hypertextovodkaz"/>
              </w:rPr>
              <w:t>2.13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Komparace obou krajů při průměrných mzdách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14:paraId="2756326F" w14:textId="77777777" w:rsidR="00A613C0" w:rsidRDefault="00A613C0">
          <w:pPr>
            <w:pStyle w:val="Obsah2"/>
            <w:tabs>
              <w:tab w:val="left" w:pos="154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0" w:history="1">
            <w:r w:rsidRPr="0046666F">
              <w:rPr>
                <w:rStyle w:val="Hypertextovodkaz"/>
              </w:rPr>
              <w:t>2.14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Komparace vybraných krajů při mediánu mezd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30D99096" w14:textId="77777777" w:rsidR="00A613C0" w:rsidRDefault="00A613C0">
          <w:pPr>
            <w:pStyle w:val="Obsah2"/>
            <w:tabs>
              <w:tab w:val="left" w:pos="154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1" w:history="1">
            <w:r w:rsidRPr="0046666F">
              <w:rPr>
                <w:rStyle w:val="Hypertextovodkaz"/>
              </w:rPr>
              <w:t>2.15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Komparace obou krajů ve vývoji uchazečů o zaměstnání na úřadu práce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14:paraId="258C902D" w14:textId="77777777" w:rsidR="00A613C0" w:rsidRDefault="00A613C0">
          <w:pPr>
            <w:pStyle w:val="Obsah2"/>
            <w:tabs>
              <w:tab w:val="left" w:pos="154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2" w:history="1">
            <w:r w:rsidRPr="0046666F">
              <w:rPr>
                <w:rStyle w:val="Hypertextovodkaz"/>
              </w:rPr>
              <w:t>2.16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46666F">
              <w:rPr>
                <w:rStyle w:val="Hypertextovodkaz"/>
              </w:rPr>
              <w:t>Komparace míry ekonomické aktivity obyvatelstva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14:paraId="1C83E558" w14:textId="77777777" w:rsidR="00A613C0" w:rsidRDefault="00A613C0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3" w:history="1">
            <w:r w:rsidRPr="0046666F">
              <w:rPr>
                <w:rStyle w:val="Hypertextovodkaz"/>
              </w:rPr>
              <w:t>Závěr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14:paraId="0B021007" w14:textId="77777777" w:rsidR="00A613C0" w:rsidRDefault="00A613C0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4" w:history="1">
            <w:r w:rsidRPr="0046666F">
              <w:rPr>
                <w:rStyle w:val="Hypertextovodkaz"/>
              </w:rPr>
              <w:t>Knižní zdroje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14:paraId="692D92B7" w14:textId="77777777" w:rsidR="00A613C0" w:rsidRDefault="00A613C0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5" w:history="1">
            <w:r w:rsidRPr="0046666F">
              <w:rPr>
                <w:rStyle w:val="Hypertextovodkaz"/>
              </w:rPr>
              <w:t>Internetové zdroje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14:paraId="14625CD6" w14:textId="77777777" w:rsidR="00A613C0" w:rsidRDefault="00A613C0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6" w:history="1">
            <w:r w:rsidRPr="0046666F">
              <w:rPr>
                <w:rStyle w:val="Hypertextovodkaz"/>
              </w:rPr>
              <w:t>Seznam obrázků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1C9035DE" w14:textId="77777777" w:rsidR="00A613C0" w:rsidRDefault="00A613C0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7" w:history="1">
            <w:r w:rsidRPr="0046666F">
              <w:rPr>
                <w:rStyle w:val="Hypertextovodkaz"/>
              </w:rPr>
              <w:t>Seznam tabulek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636F3AFF" w14:textId="77777777" w:rsidR="00A613C0" w:rsidRDefault="00A613C0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8" w:history="1">
            <w:r w:rsidRPr="0046666F">
              <w:rPr>
                <w:rStyle w:val="Hypertextovodkaz"/>
              </w:rPr>
              <w:t>Seznam grafů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3D372F10" w14:textId="77777777" w:rsidR="00A613C0" w:rsidRDefault="00A613C0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19" w:history="1">
            <w:r w:rsidRPr="0046666F">
              <w:rPr>
                <w:rStyle w:val="Hypertextovodkaz"/>
              </w:rPr>
              <w:t>Seznam vzorců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14:paraId="09155E45" w14:textId="77777777" w:rsidR="00A613C0" w:rsidRDefault="00A613C0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889420" w:history="1">
            <w:r w:rsidRPr="0046666F">
              <w:rPr>
                <w:rStyle w:val="Hypertextovodkaz"/>
              </w:rPr>
              <w:t>Anotace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433C9"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14:paraId="7FBE4EE8" w14:textId="34826146" w:rsidR="00C84A81" w:rsidRDefault="00C84A81" w:rsidP="00B93299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42E61DEE" w14:textId="77777777" w:rsidR="009E5899" w:rsidRDefault="009E5899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111712D9" w14:textId="1725D3CD" w:rsidR="00C84A81" w:rsidRPr="0023220E" w:rsidRDefault="0023220E" w:rsidP="00DC2557">
      <w:pPr>
        <w:pStyle w:val="Nadpis2"/>
        <w:numPr>
          <w:ilvl w:val="0"/>
          <w:numId w:val="0"/>
        </w:numPr>
        <w:ind w:left="360"/>
      </w:pPr>
      <w:bookmarkStart w:id="1" w:name="_Toc15889375"/>
      <w:r w:rsidRPr="003462C7">
        <w:lastRenderedPageBreak/>
        <w:t>Úvod</w:t>
      </w:r>
      <w:bookmarkEnd w:id="1"/>
    </w:p>
    <w:p w14:paraId="2DEEAD7A" w14:textId="0008918C" w:rsidR="003462C7" w:rsidRDefault="0023220E" w:rsidP="003462C7">
      <w:pPr>
        <w:spacing w:after="160"/>
      </w:pPr>
      <w:r w:rsidRPr="00BE236D">
        <w:t>Téma</w:t>
      </w:r>
      <w:r>
        <w:t xml:space="preserve"> bakalářské práce</w:t>
      </w:r>
      <w:r w:rsidR="00D94855">
        <w:t xml:space="preserve"> </w:t>
      </w:r>
      <w:r w:rsidR="00D94855" w:rsidRPr="0038669D">
        <w:t>zaměřené na souvislosti mezi nezaměstnaností, průměrnými příjmy a lokalitami v rámci České republiky</w:t>
      </w:r>
      <w:r w:rsidR="00FE6B40">
        <w:t xml:space="preserve"> jsem si vybrala z</w:t>
      </w:r>
      <w:r w:rsidR="004C5145" w:rsidRPr="00AD125C">
        <w:rPr>
          <w:color w:val="FF0000"/>
        </w:rPr>
        <w:t xml:space="preserve"> </w:t>
      </w:r>
      <w:r w:rsidR="004C5145">
        <w:t xml:space="preserve">důvodu, že mě zajímá věda </w:t>
      </w:r>
      <w:r w:rsidR="001D5A14">
        <w:t>ekonomie</w:t>
      </w:r>
      <w:r w:rsidR="00D94855">
        <w:t>,</w:t>
      </w:r>
      <w:r>
        <w:t xml:space="preserve"> a to hlavně s</w:t>
      </w:r>
      <w:r w:rsidR="004C5145">
        <w:t>amotný vývoj trhu práce</w:t>
      </w:r>
      <w:r w:rsidR="001D5A14">
        <w:t xml:space="preserve">, který patří do </w:t>
      </w:r>
      <w:r w:rsidR="00AD125C" w:rsidRPr="00FE6B40">
        <w:rPr>
          <w:color w:val="000000" w:themeColor="text1"/>
        </w:rPr>
        <w:t xml:space="preserve">oboru </w:t>
      </w:r>
      <w:r w:rsidR="001D5A14">
        <w:t>makroekonomie</w:t>
      </w:r>
      <w:r w:rsidR="00485DCF">
        <w:t xml:space="preserve">. </w:t>
      </w:r>
      <w:r w:rsidR="000B20FB">
        <w:t>V e</w:t>
      </w:r>
      <w:r w:rsidR="008219A4">
        <w:t>konomii</w:t>
      </w:r>
      <w:r>
        <w:t xml:space="preserve"> je vývoj trhu práce nesmírně živý</w:t>
      </w:r>
      <w:r w:rsidR="00AD125C">
        <w:t xml:space="preserve">, </w:t>
      </w:r>
      <w:r w:rsidR="00AD125C" w:rsidRPr="00FE6B40">
        <w:rPr>
          <w:color w:val="000000" w:themeColor="text1"/>
        </w:rPr>
        <w:t>jelikož se</w:t>
      </w:r>
      <w:r w:rsidR="00165583" w:rsidRPr="00FE6B40">
        <w:rPr>
          <w:color w:val="000000" w:themeColor="text1"/>
        </w:rPr>
        <w:t xml:space="preserve"> </w:t>
      </w:r>
      <w:r w:rsidR="00165583">
        <w:t>dokáže</w:t>
      </w:r>
      <w:r w:rsidR="00D94855" w:rsidRPr="0038669D">
        <w:t xml:space="preserve"> </w:t>
      </w:r>
      <w:r w:rsidR="00AD125C">
        <w:t xml:space="preserve">změnit </w:t>
      </w:r>
      <w:r w:rsidR="000B20FB">
        <w:t xml:space="preserve">během </w:t>
      </w:r>
      <w:r w:rsidR="00085D17">
        <w:t>týdne</w:t>
      </w:r>
      <w:r w:rsidR="000B20FB">
        <w:t>.</w:t>
      </w:r>
    </w:p>
    <w:p w14:paraId="183CFA84" w14:textId="3F26E585" w:rsidR="003462C7" w:rsidRDefault="003462C7" w:rsidP="003462C7">
      <w:pPr>
        <w:spacing w:after="160"/>
      </w:pPr>
      <w:r w:rsidRPr="003A3EA0">
        <w:t xml:space="preserve">Hlavním cílem bakalářské práce je porovnat vývoj nezaměstnanosti a vývoj průměrného přijmu v Olomouckém a Středočeském kraji za období </w:t>
      </w:r>
      <w:r w:rsidR="00826E4D">
        <w:t>2013</w:t>
      </w:r>
      <w:r w:rsidRPr="003A3EA0">
        <w:t xml:space="preserve">–2017. V bakalářské práci </w:t>
      </w:r>
      <w:r w:rsidR="00FE6B40">
        <w:t xml:space="preserve">nejprve </w:t>
      </w:r>
      <w:r w:rsidR="005B2784" w:rsidRPr="00FE6B40">
        <w:rPr>
          <w:color w:val="000000" w:themeColor="text1"/>
        </w:rPr>
        <w:t>zmíním zjištěné</w:t>
      </w:r>
      <w:r w:rsidRPr="00FE6B40">
        <w:rPr>
          <w:color w:val="000000" w:themeColor="text1"/>
        </w:rPr>
        <w:t xml:space="preserve"> </w:t>
      </w:r>
      <w:r w:rsidRPr="003A3EA0">
        <w:t xml:space="preserve">informace o </w:t>
      </w:r>
      <w:r>
        <w:t xml:space="preserve">zvolených </w:t>
      </w:r>
      <w:r w:rsidRPr="003A3EA0">
        <w:t xml:space="preserve">krajích. Veškerá data </w:t>
      </w:r>
      <w:r w:rsidR="00BB46EC" w:rsidRPr="00485DCF">
        <w:t>jsou</w:t>
      </w:r>
      <w:r w:rsidRPr="003A3EA0">
        <w:t xml:space="preserve"> čerp</w:t>
      </w:r>
      <w:r>
        <w:t xml:space="preserve">ána </w:t>
      </w:r>
      <w:r w:rsidRPr="003A3EA0">
        <w:t>z veřejných statistik. Informace, které zjistím o Olomouckém kraji, porovnám se získanými informacemi o Středočeském kraji. D</w:t>
      </w:r>
      <w:r>
        <w:t>ílčím</w:t>
      </w:r>
      <w:r w:rsidRPr="003A3EA0">
        <w:t xml:space="preserve"> cílem bude vymezit pojmy spjaté</w:t>
      </w:r>
      <w:r>
        <w:t xml:space="preserve"> </w:t>
      </w:r>
      <w:r w:rsidRPr="003A3EA0">
        <w:t>s nezaměstnaností a průměrným příjmem.</w:t>
      </w:r>
    </w:p>
    <w:p w14:paraId="5D44A81C" w14:textId="523FFD80" w:rsidR="003462C7" w:rsidRDefault="00D94855" w:rsidP="00107F4E">
      <w:pPr>
        <w:spacing w:after="160"/>
      </w:pPr>
      <w:r w:rsidRPr="0038669D">
        <w:t>V</w:t>
      </w:r>
      <w:r w:rsidR="003462C7">
        <w:t> teoretické části na základě prostudované literatury</w:t>
      </w:r>
      <w:r w:rsidR="00497A36">
        <w:t xml:space="preserve"> se </w:t>
      </w:r>
      <w:r w:rsidR="00485DCF">
        <w:t>zabývám</w:t>
      </w:r>
      <w:r w:rsidR="008219A4">
        <w:t xml:space="preserve"> trh</w:t>
      </w:r>
      <w:r w:rsidR="00FE6B40">
        <w:t>em</w:t>
      </w:r>
      <w:r w:rsidR="00EE345D">
        <w:t xml:space="preserve"> práce </w:t>
      </w:r>
      <w:r w:rsidR="00EE345D">
        <w:br/>
      </w:r>
      <w:r w:rsidR="008219A4">
        <w:t xml:space="preserve">a </w:t>
      </w:r>
      <w:r w:rsidR="00724C71">
        <w:t>nezaměstnanost</w:t>
      </w:r>
      <w:r w:rsidR="00FE6B40">
        <w:t>í</w:t>
      </w:r>
      <w:r w:rsidR="00724C71">
        <w:t xml:space="preserve">. </w:t>
      </w:r>
      <w:r w:rsidR="00EE345D">
        <w:t>Nejprve rozčlením</w:t>
      </w:r>
      <w:r w:rsidR="00481026">
        <w:t xml:space="preserve"> problémy, které vznikají </w:t>
      </w:r>
      <w:r w:rsidRPr="0038669D">
        <w:t>v</w:t>
      </w:r>
      <w:r w:rsidR="003462C7">
        <w:t> </w:t>
      </w:r>
      <w:r w:rsidRPr="0038669D">
        <w:t>souvislosti</w:t>
      </w:r>
      <w:r w:rsidR="003462C7">
        <w:t xml:space="preserve"> </w:t>
      </w:r>
      <w:r w:rsidR="00481026">
        <w:t>s</w:t>
      </w:r>
      <w:r>
        <w:t> </w:t>
      </w:r>
      <w:r w:rsidR="00481026">
        <w:t>nezaměstnaností</w:t>
      </w:r>
      <w:r>
        <w:t xml:space="preserve">, </w:t>
      </w:r>
      <w:r w:rsidRPr="0038669D">
        <w:t>a popíš</w:t>
      </w:r>
      <w:r w:rsidR="00FE6B40" w:rsidRPr="00FE6B40">
        <w:rPr>
          <w:color w:val="000000" w:themeColor="text1"/>
        </w:rPr>
        <w:t>u</w:t>
      </w:r>
      <w:r w:rsidRPr="0038669D">
        <w:t xml:space="preserve"> důsledky nezaměstnanosti</w:t>
      </w:r>
      <w:r w:rsidR="00481026">
        <w:t xml:space="preserve">. </w:t>
      </w:r>
      <w:r w:rsidR="00485DCF" w:rsidRPr="00485DCF">
        <w:t>V další</w:t>
      </w:r>
      <w:r w:rsidR="001E62F9" w:rsidRPr="00485DCF">
        <w:t xml:space="preserve"> </w:t>
      </w:r>
      <w:r w:rsidR="00FE6B40" w:rsidRPr="00485DCF">
        <w:rPr>
          <w:color w:val="000000" w:themeColor="text1"/>
        </w:rPr>
        <w:t>části</w:t>
      </w:r>
      <w:r w:rsidR="00497A36" w:rsidRPr="001E62F9">
        <w:rPr>
          <w:color w:val="FF0000"/>
        </w:rPr>
        <w:t xml:space="preserve"> </w:t>
      </w:r>
      <w:r w:rsidRPr="0038669D">
        <w:t xml:space="preserve">se budu věnovat </w:t>
      </w:r>
      <w:r w:rsidR="00497A36" w:rsidRPr="0038669D">
        <w:t>druh</w:t>
      </w:r>
      <w:r w:rsidR="009841C1" w:rsidRPr="0038669D">
        <w:t>ům</w:t>
      </w:r>
      <w:r w:rsidR="00497A36">
        <w:t xml:space="preserve"> nezaměstnanosti,</w:t>
      </w:r>
      <w:r w:rsidR="00EF7569">
        <w:t xml:space="preserve"> </w:t>
      </w:r>
      <w:r w:rsidR="00EF7569" w:rsidRPr="0038669D">
        <w:t>dynami</w:t>
      </w:r>
      <w:r w:rsidR="009841C1" w:rsidRPr="0038669D">
        <w:t>ce</w:t>
      </w:r>
      <w:r w:rsidR="0038669D">
        <w:t xml:space="preserve"> na trhu práce </w:t>
      </w:r>
      <w:r w:rsidR="009841C1" w:rsidRPr="0038669D">
        <w:t>podle</w:t>
      </w:r>
      <w:r w:rsidR="009841C1">
        <w:t xml:space="preserve"> </w:t>
      </w:r>
      <w:proofErr w:type="spellStart"/>
      <w:r w:rsidR="00EF7569">
        <w:t>B</w:t>
      </w:r>
      <w:r w:rsidR="00497A36">
        <w:t>everidgeovy</w:t>
      </w:r>
      <w:proofErr w:type="spellEnd"/>
      <w:r w:rsidR="00497A36">
        <w:t xml:space="preserve"> křivky. </w:t>
      </w:r>
      <w:r w:rsidR="00481026">
        <w:t xml:space="preserve">Ve své </w:t>
      </w:r>
      <w:r w:rsidR="00485DCF">
        <w:t>práci se dále zaměřuji</w:t>
      </w:r>
      <w:r w:rsidR="00CF7394">
        <w:t xml:space="preserve"> na </w:t>
      </w:r>
      <w:proofErr w:type="spellStart"/>
      <w:r w:rsidR="00CF7394">
        <w:t>Phill</w:t>
      </w:r>
      <w:r w:rsidR="00422A73">
        <w:t>ips</w:t>
      </w:r>
      <w:r w:rsidR="00481026">
        <w:t>ovu</w:t>
      </w:r>
      <w:proofErr w:type="spellEnd"/>
      <w:r w:rsidR="00481026">
        <w:t xml:space="preserve"> křivku, důsledky zaměstnanosti, snižování zaměstnanosti </w:t>
      </w:r>
      <w:r w:rsidR="00D328E0">
        <w:br/>
      </w:r>
      <w:r w:rsidR="00481026">
        <w:t>a</w:t>
      </w:r>
      <w:r w:rsidR="003462C7">
        <w:t xml:space="preserve"> </w:t>
      </w:r>
      <w:r w:rsidR="00481026">
        <w:t xml:space="preserve">výpočet příjmů. </w:t>
      </w:r>
      <w:r w:rsidR="0023220E">
        <w:t xml:space="preserve">Olomoucký kraj jsem si vybrala </w:t>
      </w:r>
      <w:r w:rsidR="009841C1">
        <w:t>zejména proto</w:t>
      </w:r>
      <w:r w:rsidR="0023220E">
        <w:t xml:space="preserve">, že zde žiji </w:t>
      </w:r>
      <w:r w:rsidR="001E62F9">
        <w:br/>
      </w:r>
      <w:r w:rsidR="0023220E">
        <w:t xml:space="preserve">a chci si rozšířit </w:t>
      </w:r>
      <w:r w:rsidR="009841C1" w:rsidRPr="0038669D">
        <w:t>přehled o tom</w:t>
      </w:r>
      <w:r w:rsidR="00230AF3">
        <w:t xml:space="preserve">, </w:t>
      </w:r>
      <w:r w:rsidR="0023220E" w:rsidRPr="00230AF3">
        <w:t>jak</w:t>
      </w:r>
      <w:r w:rsidR="00230AF3" w:rsidRPr="00230AF3">
        <w:t>é</w:t>
      </w:r>
      <w:r w:rsidR="0023220E" w:rsidRPr="00230AF3">
        <w:t xml:space="preserve"> mám možnost</w:t>
      </w:r>
      <w:r w:rsidR="009841C1" w:rsidRPr="00230AF3">
        <w:t>i</w:t>
      </w:r>
      <w:r w:rsidR="0023220E">
        <w:t xml:space="preserve"> </w:t>
      </w:r>
      <w:r w:rsidR="00230AF3">
        <w:t xml:space="preserve">sehnat </w:t>
      </w:r>
      <w:r w:rsidR="0023220E">
        <w:t xml:space="preserve">práci po absolvování školy. Dalším krajem, který jsem </w:t>
      </w:r>
      <w:r w:rsidR="00937F85" w:rsidRPr="00230AF3">
        <w:t>zvolila</w:t>
      </w:r>
      <w:r w:rsidR="00937F85">
        <w:t xml:space="preserve"> </w:t>
      </w:r>
      <w:r w:rsidR="0023220E">
        <w:t>pro komparac</w:t>
      </w:r>
      <w:r w:rsidR="0023220E" w:rsidRPr="00230AF3">
        <w:t>i</w:t>
      </w:r>
      <w:r w:rsidR="00937F85" w:rsidRPr="00230AF3">
        <w:t>,</w:t>
      </w:r>
      <w:r w:rsidR="0023220E">
        <w:t xml:space="preserve"> je Středočeský</w:t>
      </w:r>
      <w:r w:rsidR="0023220E" w:rsidRPr="00A01FA2">
        <w:t xml:space="preserve"> </w:t>
      </w:r>
      <w:r w:rsidR="0023220E">
        <w:t>kraj,</w:t>
      </w:r>
      <w:r w:rsidR="00937F85">
        <w:t xml:space="preserve"> </w:t>
      </w:r>
      <w:r w:rsidR="00937F85" w:rsidRPr="00230AF3">
        <w:t>neboť</w:t>
      </w:r>
      <w:r w:rsidR="0023220E">
        <w:t xml:space="preserve"> je nesmírně bohatý na pracovní pozic</w:t>
      </w:r>
      <w:r w:rsidR="004D1396">
        <w:t>e</w:t>
      </w:r>
      <w:r w:rsidR="00AE1D5F">
        <w:t>. Sídlí zde</w:t>
      </w:r>
      <w:r w:rsidR="004D1396">
        <w:t xml:space="preserve"> mnoho firem</w:t>
      </w:r>
      <w:r w:rsidR="00AE1D5F">
        <w:t>, a také</w:t>
      </w:r>
      <w:r w:rsidR="00937F85" w:rsidRPr="00230AF3">
        <w:t xml:space="preserve"> obklopuje hlavní město České republiky</w:t>
      </w:r>
      <w:r w:rsidR="004D1396" w:rsidRPr="00230AF3">
        <w:t>.</w:t>
      </w:r>
    </w:p>
    <w:p w14:paraId="7A7CB581" w14:textId="57189441" w:rsidR="003E77EE" w:rsidRDefault="00085D17" w:rsidP="001E62F9">
      <w:pPr>
        <w:ind w:firstLine="432"/>
      </w:pPr>
      <w:r>
        <w:t>D</w:t>
      </w:r>
      <w:r w:rsidR="00831DDF">
        <w:t xml:space="preserve">alšími </w:t>
      </w:r>
      <w:r w:rsidR="00EE345D" w:rsidRPr="00EE345D">
        <w:t>odlišnými</w:t>
      </w:r>
      <w:r w:rsidR="002A3F5D" w:rsidRPr="00EE345D">
        <w:t xml:space="preserve"> znaky</w:t>
      </w:r>
      <w:r w:rsidR="002A3F5D">
        <w:t xml:space="preserve"> při komparaci bude</w:t>
      </w:r>
      <w:r w:rsidR="00831DDF">
        <w:t xml:space="preserve"> rozloha, hustota zalidnění</w:t>
      </w:r>
      <w:r w:rsidR="00E456BE">
        <w:t xml:space="preserve">, výše </w:t>
      </w:r>
      <w:r w:rsidR="00170747">
        <w:t xml:space="preserve">mzdy </w:t>
      </w:r>
      <w:r w:rsidR="00D328E0">
        <w:br/>
      </w:r>
      <w:r w:rsidR="00170747">
        <w:t>a</w:t>
      </w:r>
      <w:r w:rsidR="00E456BE">
        <w:t xml:space="preserve"> vývoj evidence obyvatel na úřadu práce.</w:t>
      </w:r>
      <w:r w:rsidR="003462C7">
        <w:t xml:space="preserve"> </w:t>
      </w:r>
      <w:r w:rsidR="005A6B15" w:rsidRPr="00230AF3">
        <w:t>V bakalářské</w:t>
      </w:r>
      <w:r w:rsidR="005A6B15">
        <w:t xml:space="preserve"> </w:t>
      </w:r>
      <w:r w:rsidR="006974AB">
        <w:t xml:space="preserve">práci </w:t>
      </w:r>
      <w:r w:rsidR="005A6B15" w:rsidRPr="00230AF3">
        <w:t xml:space="preserve">sleduji rozdíly ve </w:t>
      </w:r>
      <w:r w:rsidR="006974AB" w:rsidRPr="00230AF3">
        <w:t>výši</w:t>
      </w:r>
      <w:r w:rsidR="006974AB">
        <w:t xml:space="preserve"> průměrné mzdy. </w:t>
      </w:r>
      <w:r w:rsidR="00EE345D">
        <w:t>Porovnám</w:t>
      </w:r>
      <w:r w:rsidR="006974AB">
        <w:t xml:space="preserve"> mediánem mezd, průměrem </w:t>
      </w:r>
      <w:r w:rsidR="00170747">
        <w:t>měsíční mzdy za zaměstnance a za fyzické osoby.</w:t>
      </w:r>
      <w:r w:rsidR="003462C7">
        <w:t xml:space="preserve"> </w:t>
      </w:r>
      <w:r w:rsidR="006625BE">
        <w:t xml:space="preserve">Vývoj evidovaných uchazečů na úřadě práce </w:t>
      </w:r>
      <w:r w:rsidR="005A6B15" w:rsidRPr="00230AF3">
        <w:t>v bakalářské</w:t>
      </w:r>
      <w:r w:rsidR="005A6B15">
        <w:t xml:space="preserve"> </w:t>
      </w:r>
      <w:r w:rsidR="006625BE">
        <w:t xml:space="preserve">práci </w:t>
      </w:r>
      <w:r w:rsidR="005A6B15" w:rsidRPr="00230AF3">
        <w:t>posuzuji</w:t>
      </w:r>
      <w:r w:rsidR="005A6B15">
        <w:t xml:space="preserve"> </w:t>
      </w:r>
      <w:r w:rsidR="006625BE">
        <w:t xml:space="preserve">podle </w:t>
      </w:r>
      <w:r w:rsidR="006A5D77">
        <w:t xml:space="preserve">věku. </w:t>
      </w:r>
      <w:r w:rsidR="006A5D77" w:rsidRPr="00E77F2E">
        <w:t>V obou krajích porovnávám vývoj míry ekonomicky aktivního obyvatelstva.</w:t>
      </w:r>
      <w:r w:rsidR="00A87D90" w:rsidRPr="00E77F2E">
        <w:t xml:space="preserve"> </w:t>
      </w:r>
      <w:r w:rsidR="00A87D90">
        <w:t xml:space="preserve">Myslím si, že v porovnávaných krajích </w:t>
      </w:r>
      <w:r w:rsidR="006974AB">
        <w:t>jsou</w:t>
      </w:r>
      <w:r w:rsidR="00A87D90">
        <w:t xml:space="preserve"> velké </w:t>
      </w:r>
      <w:r w:rsidR="00A87D90" w:rsidRPr="00230AF3">
        <w:t>rozdíly</w:t>
      </w:r>
      <w:r w:rsidR="005657F8" w:rsidRPr="00230AF3">
        <w:t xml:space="preserve"> ve</w:t>
      </w:r>
      <w:r w:rsidR="003E27DE">
        <w:t xml:space="preserve"> </w:t>
      </w:r>
      <w:r w:rsidR="005657F8" w:rsidRPr="00230AF3">
        <w:t>všech sledovaných kategoriích.</w:t>
      </w:r>
      <w:r w:rsidR="003462C7">
        <w:t xml:space="preserve"> </w:t>
      </w:r>
      <w:r w:rsidR="00AF44B9">
        <w:t xml:space="preserve">Vývoj na trhu </w:t>
      </w:r>
      <w:r w:rsidR="006974AB">
        <w:t>práce porovnávám</w:t>
      </w:r>
      <w:r w:rsidR="00F93AA3">
        <w:t xml:space="preserve"> podle obecné míry nezaměstnanosti. </w:t>
      </w:r>
      <w:r w:rsidR="006974AB">
        <w:t>Makroekonomové řeší s </w:t>
      </w:r>
      <w:r w:rsidR="00F93AA3">
        <w:t>nezaměst</w:t>
      </w:r>
      <w:r w:rsidR="006974AB">
        <w:t xml:space="preserve">naností </w:t>
      </w:r>
      <w:r w:rsidR="00F93AA3">
        <w:t xml:space="preserve">mnoho problémů, </w:t>
      </w:r>
      <w:r w:rsidR="005657F8" w:rsidRPr="00230AF3">
        <w:t xml:space="preserve">ale </w:t>
      </w:r>
      <w:r w:rsidR="008C4451" w:rsidRPr="00230AF3">
        <w:t>podobný</w:t>
      </w:r>
      <w:r w:rsidR="008C4451">
        <w:t xml:space="preserve"> </w:t>
      </w:r>
      <w:r w:rsidR="00EC2A03">
        <w:t xml:space="preserve">problém řeší i </w:t>
      </w:r>
      <w:r w:rsidR="00F93AA3">
        <w:t xml:space="preserve">jedinci, kteří nemají práci. </w:t>
      </w:r>
      <w:r w:rsidR="008C4451" w:rsidRPr="00230AF3">
        <w:t xml:space="preserve">Komplikace </w:t>
      </w:r>
      <w:r w:rsidR="00F93AA3" w:rsidRPr="00230AF3">
        <w:t>s nezaměstnaností musí řešit i</w:t>
      </w:r>
      <w:r w:rsidR="003E27DE">
        <w:t> </w:t>
      </w:r>
      <w:r w:rsidR="00F93AA3" w:rsidRPr="00230AF3">
        <w:t>hospodářská politika státu.</w:t>
      </w:r>
      <w:r w:rsidR="00EC2A03" w:rsidRPr="00230AF3">
        <w:t xml:space="preserve"> Podle </w:t>
      </w:r>
      <w:r w:rsidR="008C4451" w:rsidRPr="00230AF3">
        <w:t xml:space="preserve">nedávných </w:t>
      </w:r>
      <w:r w:rsidR="00EC2A03" w:rsidRPr="00230AF3">
        <w:t>průzkum</w:t>
      </w:r>
      <w:r w:rsidR="008C4451" w:rsidRPr="00230AF3">
        <w:t>ů</w:t>
      </w:r>
      <w:r w:rsidR="00EC2A03" w:rsidRPr="00230AF3">
        <w:t xml:space="preserve"> není </w:t>
      </w:r>
      <w:r w:rsidR="008C4451" w:rsidRPr="00230AF3">
        <w:t xml:space="preserve">s nezaměstnaností </w:t>
      </w:r>
      <w:r w:rsidR="00EC2A03" w:rsidRPr="00230AF3">
        <w:t xml:space="preserve">aktuální problém, </w:t>
      </w:r>
      <w:r w:rsidR="008C4451" w:rsidRPr="00230AF3">
        <w:t>naopak</w:t>
      </w:r>
      <w:r w:rsidR="008C4451">
        <w:t xml:space="preserve"> </w:t>
      </w:r>
      <w:r w:rsidR="008C4451" w:rsidRPr="00230AF3">
        <w:t>se začínají projevovat důsledky vysoké zaměstnanosti</w:t>
      </w:r>
      <w:r w:rsidR="00EC2A03">
        <w:t>.</w:t>
      </w:r>
      <w:r w:rsidR="003462C7">
        <w:t xml:space="preserve"> </w:t>
      </w:r>
      <w:r w:rsidR="00EC2A03" w:rsidRPr="00230AF3">
        <w:t>Ze získané komparace jsem vytvořila vhodn</w:t>
      </w:r>
      <w:r w:rsidR="008C4451" w:rsidRPr="00230AF3">
        <w:t>á</w:t>
      </w:r>
      <w:r w:rsidR="00EC2A03" w:rsidRPr="00230AF3">
        <w:t xml:space="preserve"> řešení, které by mohl</w:t>
      </w:r>
      <w:r w:rsidR="008C4451" w:rsidRPr="00230AF3">
        <w:t>a</w:t>
      </w:r>
      <w:r w:rsidR="00EC2A03" w:rsidRPr="00230AF3">
        <w:t xml:space="preserve"> aktuální situaci na trhu práce změnit.</w:t>
      </w:r>
    </w:p>
    <w:p w14:paraId="5EDDD232" w14:textId="665238BB" w:rsidR="00DC2140" w:rsidRDefault="00DC2140" w:rsidP="001E62F9">
      <w:pPr>
        <w:ind w:firstLine="432"/>
      </w:pPr>
      <w:r>
        <w:lastRenderedPageBreak/>
        <w:t>Metody, které jsou v práci využité: komparace, deskripce, analýza statis</w:t>
      </w:r>
      <w:r w:rsidR="008F78BD">
        <w:t>tických dat, syntéza a dedukce.</w:t>
      </w:r>
    </w:p>
    <w:p w14:paraId="1CB2EEA1" w14:textId="1D4C0AD4" w:rsidR="0023220E" w:rsidRDefault="00DF7013" w:rsidP="001E62F9">
      <w:pPr>
        <w:ind w:firstLine="432"/>
      </w:pPr>
      <w:r>
        <w:br w:type="page"/>
      </w:r>
    </w:p>
    <w:p w14:paraId="09482F53" w14:textId="29206B34" w:rsidR="003E77EE" w:rsidRPr="0023220E" w:rsidRDefault="003E77EE" w:rsidP="00DC2557">
      <w:pPr>
        <w:pStyle w:val="Nadpis1"/>
      </w:pPr>
      <w:bookmarkStart w:id="2" w:name="_Toc15889376"/>
      <w:r>
        <w:lastRenderedPageBreak/>
        <w:t>Teoretická část</w:t>
      </w:r>
      <w:bookmarkEnd w:id="2"/>
    </w:p>
    <w:p w14:paraId="633CB1DF" w14:textId="5BBD7D22" w:rsidR="00583D78" w:rsidRDefault="006775F6" w:rsidP="00DC2557">
      <w:pPr>
        <w:pStyle w:val="Nadpis2"/>
      </w:pPr>
      <w:bookmarkStart w:id="3" w:name="_Toc15889377"/>
      <w:r>
        <w:t>Trh p</w:t>
      </w:r>
      <w:r w:rsidR="00583D78" w:rsidRPr="00564488">
        <w:t>ráce</w:t>
      </w:r>
      <w:bookmarkEnd w:id="3"/>
    </w:p>
    <w:p w14:paraId="232CC79B" w14:textId="1E655403" w:rsidR="002E3AC2" w:rsidRDefault="00E041EB" w:rsidP="00B623DC">
      <w:pPr>
        <w:spacing w:after="120"/>
        <w:rPr>
          <w:color w:val="000000" w:themeColor="text1"/>
        </w:rPr>
      </w:pPr>
      <w:r w:rsidRPr="003A3EA0">
        <w:rPr>
          <w:rStyle w:val="ilfuvd"/>
        </w:rPr>
        <w:t>„</w:t>
      </w:r>
      <w:r w:rsidR="0047611E" w:rsidRPr="003A3EA0">
        <w:rPr>
          <w:i/>
        </w:rPr>
        <w:t>Práce je vědomé vynaklád</w:t>
      </w:r>
      <w:r w:rsidR="00200583" w:rsidRPr="003A3EA0">
        <w:rPr>
          <w:i/>
        </w:rPr>
        <w:t>á</w:t>
      </w:r>
      <w:r w:rsidR="0047611E" w:rsidRPr="003A3EA0">
        <w:rPr>
          <w:i/>
        </w:rPr>
        <w:t>ní duševní a svalové energie lidí zaměřené k uspokojování jejich potřeb.</w:t>
      </w:r>
      <w:r w:rsidRPr="003A3EA0">
        <w:rPr>
          <w:rStyle w:val="Nadpis1Char"/>
        </w:rPr>
        <w:t xml:space="preserve"> </w:t>
      </w:r>
      <w:r w:rsidRPr="003A3EA0">
        <w:rPr>
          <w:rStyle w:val="ilfuvd"/>
        </w:rPr>
        <w:t>“</w:t>
      </w:r>
      <w:r w:rsidR="00DF1109">
        <w:rPr>
          <w:i/>
        </w:rPr>
        <w:t xml:space="preserve"> </w:t>
      </w:r>
      <w:r w:rsidRPr="003A3EA0">
        <w:t>Po</w:t>
      </w:r>
      <w:r w:rsidR="00805BA9">
        <w:t>j</w:t>
      </w:r>
      <w:r w:rsidRPr="003A3EA0">
        <w:t>em p</w:t>
      </w:r>
      <w:r w:rsidR="0047611E" w:rsidRPr="003A3EA0">
        <w:t>r</w:t>
      </w:r>
      <w:r w:rsidRPr="003A3EA0">
        <w:t>áce</w:t>
      </w:r>
      <w:r w:rsidR="0047611E" w:rsidRPr="003A3EA0">
        <w:t xml:space="preserve"> </w:t>
      </w:r>
      <w:r w:rsidR="00B623DC">
        <w:t>se</w:t>
      </w:r>
      <w:r w:rsidRPr="003A3EA0">
        <w:t xml:space="preserve"> </w:t>
      </w:r>
      <w:r w:rsidR="00B623DC">
        <w:t>řadí</w:t>
      </w:r>
      <w:r w:rsidRPr="003A3EA0">
        <w:t xml:space="preserve"> </w:t>
      </w:r>
      <w:r w:rsidR="0047611E" w:rsidRPr="003A3EA0">
        <w:t xml:space="preserve">do </w:t>
      </w:r>
      <w:r w:rsidR="00B623DC">
        <w:t xml:space="preserve">primárních </w:t>
      </w:r>
      <w:r w:rsidR="0047611E" w:rsidRPr="003A3EA0">
        <w:t xml:space="preserve">výrobních faktorů. Mezi výrobní faktory dále </w:t>
      </w:r>
      <w:r w:rsidR="00FE6B40" w:rsidRPr="00FE6B40">
        <w:rPr>
          <w:color w:val="000000" w:themeColor="text1"/>
        </w:rPr>
        <w:t>patří</w:t>
      </w:r>
      <w:r w:rsidR="0047611E" w:rsidRPr="00FE6B40">
        <w:rPr>
          <w:color w:val="000000" w:themeColor="text1"/>
        </w:rPr>
        <w:t xml:space="preserve"> půd</w:t>
      </w:r>
      <w:r w:rsidR="00FE6B40" w:rsidRPr="00FE6B40">
        <w:rPr>
          <w:color w:val="000000" w:themeColor="text1"/>
        </w:rPr>
        <w:t>a</w:t>
      </w:r>
      <w:r w:rsidR="00682F4D">
        <w:rPr>
          <w:color w:val="000000" w:themeColor="text1"/>
        </w:rPr>
        <w:t xml:space="preserve"> (přírodní zdroje) a </w:t>
      </w:r>
      <w:r w:rsidR="002E3AC2">
        <w:rPr>
          <w:color w:val="000000" w:themeColor="text1"/>
        </w:rPr>
        <w:t>kapitál.</w:t>
      </w:r>
      <w:r w:rsidR="002E3AC2">
        <w:rPr>
          <w:rStyle w:val="Znakapoznpodarou"/>
          <w:color w:val="000000" w:themeColor="text1"/>
        </w:rPr>
        <w:footnoteReference w:id="1"/>
      </w:r>
    </w:p>
    <w:p w14:paraId="4D0350A9" w14:textId="7BECFDB3" w:rsidR="00F47EFC" w:rsidRPr="00B623DC" w:rsidRDefault="00616A29" w:rsidP="00B623DC">
      <w:pPr>
        <w:spacing w:after="120"/>
        <w:rPr>
          <w:i/>
        </w:rPr>
      </w:pPr>
      <w:r>
        <w:t xml:space="preserve">Miroslav </w:t>
      </w:r>
      <w:proofErr w:type="spellStart"/>
      <w:r>
        <w:t>Keřkovský</w:t>
      </w:r>
      <w:proofErr w:type="spellEnd"/>
      <w:r>
        <w:t xml:space="preserve"> přidává do základního rozdělení výrobních faktorů informace.</w:t>
      </w:r>
      <w:r w:rsidR="00B776C6">
        <w:rPr>
          <w:rStyle w:val="Znakapoznpodarou"/>
        </w:rPr>
        <w:footnoteReference w:id="2"/>
      </w:r>
      <w:r w:rsidR="00E041EB" w:rsidRPr="003A3EA0">
        <w:t xml:space="preserve">Ze všech výrobních faktorů </w:t>
      </w:r>
      <w:r w:rsidR="00200583" w:rsidRPr="003A3EA0">
        <w:t xml:space="preserve">je </w:t>
      </w:r>
      <w:r w:rsidR="00E041EB" w:rsidRPr="003A3EA0">
        <w:t>pro člověka nejdůležitější výrobní faktor</w:t>
      </w:r>
      <w:r w:rsidR="00B623DC">
        <w:t xml:space="preserve"> </w:t>
      </w:r>
      <w:r w:rsidR="00E041EB" w:rsidRPr="003A3EA0">
        <w:t>práce.</w:t>
      </w:r>
      <w:r w:rsidR="006B2F3C" w:rsidRPr="003A3EA0">
        <w:t xml:space="preserve"> Lidé nabízejí svoji vlastní p</w:t>
      </w:r>
      <w:r w:rsidR="009774A4">
        <w:t>ráci, za účelem získání příjmů -</w:t>
      </w:r>
      <w:r w:rsidR="006B2F3C" w:rsidRPr="003A3EA0">
        <w:t xml:space="preserve"> mzdy.</w:t>
      </w:r>
      <w:r w:rsidR="00CA0D47">
        <w:rPr>
          <w:rStyle w:val="Znakapoznpodarou"/>
        </w:rPr>
        <w:footnoteReference w:id="3"/>
      </w:r>
    </w:p>
    <w:p w14:paraId="107D5CCA" w14:textId="2EF10526" w:rsidR="005160D1" w:rsidRDefault="006B2F3C" w:rsidP="000218CE">
      <w:pPr>
        <w:spacing w:after="120"/>
      </w:pPr>
      <w:r>
        <w:t>Na trhu práce dochází k </w:t>
      </w:r>
      <w:r w:rsidR="00943691">
        <w:t>utváření</w:t>
      </w:r>
      <w:r w:rsidR="00A56557">
        <w:t xml:space="preserve"> poptávky a nabídky</w:t>
      </w:r>
      <w:r w:rsidR="00EC1453">
        <w:t xml:space="preserve">. Transakcemi na trhu výrobků, lze chápat prodej </w:t>
      </w:r>
      <w:r w:rsidR="00A56557">
        <w:t>výrobků</w:t>
      </w:r>
      <w:r w:rsidR="008B4907">
        <w:t>,</w:t>
      </w:r>
      <w:r w:rsidR="00EC1453">
        <w:t xml:space="preserve"> u kterého prodejci nezáleží</w:t>
      </w:r>
      <w:r w:rsidR="008B4907">
        <w:t xml:space="preserve"> na budoucím použití, kdežto na trhu práce, vlastníkovi práce záleží na budoucí pra</w:t>
      </w:r>
      <w:r w:rsidR="00CA0D47">
        <w:t>covní pozici.</w:t>
      </w:r>
      <w:r w:rsidR="00CA0D47">
        <w:rPr>
          <w:rStyle w:val="Znakapoznpodarou"/>
        </w:rPr>
        <w:footnoteReference w:id="4"/>
      </w:r>
    </w:p>
    <w:p w14:paraId="7CCDEAC8" w14:textId="54D5ECD1" w:rsidR="009D03C2" w:rsidRDefault="00772A81" w:rsidP="000218CE">
      <w:pPr>
        <w:spacing w:after="120"/>
      </w:pPr>
      <w:r>
        <w:rPr>
          <w:b/>
        </w:rPr>
        <w:t xml:space="preserve">Nabídka </w:t>
      </w:r>
      <w:r w:rsidR="00200583">
        <w:t xml:space="preserve">je </w:t>
      </w:r>
      <w:r>
        <w:t>na trhu práce tvořená souhrnem individuálních nabídek. In</w:t>
      </w:r>
      <w:r w:rsidR="000F0046">
        <w:t xml:space="preserve">dividuální nabídky na trhu práce </w:t>
      </w:r>
      <w:r w:rsidR="00200583" w:rsidRPr="003A3EA0">
        <w:t>zahrnují</w:t>
      </w:r>
      <w:r w:rsidR="00200583">
        <w:t xml:space="preserve"> </w:t>
      </w:r>
      <w:r w:rsidR="000F0046">
        <w:t>domácnostmi, které nabízejí svoji pracovní sílu.</w:t>
      </w:r>
      <w:r w:rsidR="00CA0D47">
        <w:rPr>
          <w:rStyle w:val="Znakapoznpodarou"/>
        </w:rPr>
        <w:footnoteReference w:id="5"/>
      </w:r>
    </w:p>
    <w:p w14:paraId="57D94E86" w14:textId="6705FA0F" w:rsidR="004C72C7" w:rsidRDefault="00722076" w:rsidP="006A5D77">
      <w:r>
        <w:t xml:space="preserve">Na trhu práce je </w:t>
      </w:r>
      <w:r w:rsidRPr="00632C38">
        <w:rPr>
          <w:b/>
        </w:rPr>
        <w:t>poptávka</w:t>
      </w:r>
      <w:r>
        <w:t xml:space="preserve"> </w:t>
      </w:r>
      <w:r w:rsidR="00200583" w:rsidRPr="00200583">
        <w:t xml:space="preserve">tvořená </w:t>
      </w:r>
      <w:r>
        <w:t xml:space="preserve">firmami, které poptávají pracovníky. </w:t>
      </w:r>
      <w:r w:rsidR="005F259B">
        <w:t>Poptávka po pracovnících je závislá na poptávce</w:t>
      </w:r>
      <w:r w:rsidR="0013669D">
        <w:t xml:space="preserve"> po stat</w:t>
      </w:r>
      <w:r w:rsidR="00AA4D51">
        <w:t>c</w:t>
      </w:r>
      <w:r w:rsidR="0013669D">
        <w:t>ích</w:t>
      </w:r>
      <w:r w:rsidR="005F259B">
        <w:t>. Pod pojmem statek si lze představit</w:t>
      </w:r>
      <w:r w:rsidR="00FD4831">
        <w:t xml:space="preserve"> služby </w:t>
      </w:r>
      <w:r w:rsidR="004C72C7">
        <w:br/>
      </w:r>
      <w:r w:rsidR="00FD4831">
        <w:t>a výrobky, které firmy poskytují či vyrábějí zákazníkům. Když vzn</w:t>
      </w:r>
      <w:r w:rsidR="003A3EA0">
        <w:t xml:space="preserve">ikne poptávka po novém nábytku, </w:t>
      </w:r>
      <w:r w:rsidR="00FD4831">
        <w:t xml:space="preserve">vznikne poptávka na trhu práce po </w:t>
      </w:r>
      <w:r w:rsidR="003325ED" w:rsidRPr="003A3EA0">
        <w:t>truhlářích</w:t>
      </w:r>
      <w:r w:rsidR="00FD4831">
        <w:t xml:space="preserve">, kteří nábytek vyrábějí. </w:t>
      </w:r>
      <w:r w:rsidR="003325ED" w:rsidRPr="003A3EA0">
        <w:t>Je-li</w:t>
      </w:r>
      <w:r w:rsidR="003325ED">
        <w:t xml:space="preserve"> </w:t>
      </w:r>
      <w:r w:rsidR="007640B4">
        <w:t xml:space="preserve">vysoká poptávka po novém nábytku, dochází i k vysoké poptávce po </w:t>
      </w:r>
      <w:r w:rsidR="003325ED" w:rsidRPr="003A3EA0">
        <w:t>truhlářích</w:t>
      </w:r>
      <w:r w:rsidR="007640B4" w:rsidRPr="003A3EA0">
        <w:t xml:space="preserve">. </w:t>
      </w:r>
      <w:r w:rsidR="003325ED" w:rsidRPr="003A3EA0">
        <w:t xml:space="preserve">Jestliže </w:t>
      </w:r>
      <w:r w:rsidR="003325ED" w:rsidRPr="00F575B0">
        <w:t>je ale</w:t>
      </w:r>
      <w:r w:rsidR="003325ED" w:rsidRPr="003A3EA0">
        <w:t xml:space="preserve"> poptávka po novém nábytku nízká,</w:t>
      </w:r>
      <w:r w:rsidR="007640B4">
        <w:t xml:space="preserve"> dochází i k nízké poptávce po </w:t>
      </w:r>
      <w:r w:rsidR="003325ED" w:rsidRPr="003A3EA0">
        <w:t>truhlářích</w:t>
      </w:r>
      <w:r w:rsidR="007640B4">
        <w:t xml:space="preserve">. </w:t>
      </w:r>
      <w:r w:rsidR="0079105B">
        <w:t xml:space="preserve">Poptávka podniku vzniká při volných pracovních místech. </w:t>
      </w:r>
      <w:r w:rsidR="00F5222D">
        <w:t>Velikost p</w:t>
      </w:r>
      <w:r w:rsidR="00632C38">
        <w:t>op</w:t>
      </w:r>
      <w:r w:rsidR="00F5222D">
        <w:t>távky</w:t>
      </w:r>
      <w:r w:rsidR="00632C38">
        <w:t xml:space="preserve"> jednotlivých firem po p</w:t>
      </w:r>
      <w:r w:rsidR="0005477B">
        <w:t xml:space="preserve">racovnících se odvíjí od produktu práce, který </w:t>
      </w:r>
      <w:r w:rsidR="00041B4C" w:rsidRPr="00041B4C">
        <w:rPr>
          <w:color w:val="000000" w:themeColor="text1"/>
        </w:rPr>
        <w:t>se značí</w:t>
      </w:r>
      <w:r w:rsidR="005D050E" w:rsidRPr="00041B4C">
        <w:rPr>
          <w:color w:val="000000" w:themeColor="text1"/>
        </w:rPr>
        <w:t>,</w:t>
      </w:r>
      <w:r w:rsidR="0005477B" w:rsidRPr="00041B4C">
        <w:rPr>
          <w:color w:val="000000" w:themeColor="text1"/>
        </w:rPr>
        <w:t xml:space="preserve"> jako </w:t>
      </w:r>
      <w:r w:rsidR="0005477B">
        <w:t>MPP</w:t>
      </w:r>
      <w:r w:rsidR="0005477B" w:rsidRPr="003A3EA0">
        <w:rPr>
          <w:vertAlign w:val="subscript"/>
        </w:rPr>
        <w:t>L</w:t>
      </w:r>
      <w:r w:rsidR="003325ED" w:rsidRPr="003A3EA0">
        <w:rPr>
          <w:vertAlign w:val="subscript"/>
        </w:rPr>
        <w:t>,</w:t>
      </w:r>
      <w:r w:rsidR="00612DAA">
        <w:t xml:space="preserve"> </w:t>
      </w:r>
      <w:r w:rsidR="0005477B">
        <w:t xml:space="preserve">a důchodu z mezního výrobku, který </w:t>
      </w:r>
      <w:r w:rsidR="0005477B" w:rsidRPr="003A3EA0">
        <w:t>označujeme</w:t>
      </w:r>
      <w:r w:rsidR="00AA4D51">
        <w:t xml:space="preserve"> </w:t>
      </w:r>
      <w:r w:rsidR="0005477B" w:rsidRPr="003A3EA0">
        <w:t>jako</w:t>
      </w:r>
      <w:r w:rsidR="0005477B">
        <w:t xml:space="preserve"> </w:t>
      </w:r>
      <w:r w:rsidR="0005477B" w:rsidRPr="00916168">
        <w:rPr>
          <w:i/>
        </w:rPr>
        <w:t>MRP</w:t>
      </w:r>
      <w:r w:rsidR="0005477B" w:rsidRPr="00916168">
        <w:rPr>
          <w:i/>
          <w:vertAlign w:val="subscript"/>
        </w:rPr>
        <w:t>L</w:t>
      </w:r>
      <w:r w:rsidR="00CA0D47" w:rsidRPr="00916168">
        <w:rPr>
          <w:i/>
          <w:vertAlign w:val="subscript"/>
        </w:rPr>
        <w:t>.</w:t>
      </w:r>
      <w:r w:rsidR="00CA0D47" w:rsidRPr="00916168">
        <w:rPr>
          <w:rStyle w:val="Znakapoznpodarou"/>
          <w:i/>
        </w:rPr>
        <w:footnoteReference w:id="6"/>
      </w:r>
    </w:p>
    <w:p w14:paraId="1E1FD709" w14:textId="00F7A2C6" w:rsidR="00944ADF" w:rsidRPr="00CA0D47" w:rsidRDefault="00724C71" w:rsidP="006A5D77">
      <w:r w:rsidRPr="0079105B">
        <w:t>V mikroekonomii</w:t>
      </w:r>
      <w:r w:rsidR="006F2FC1" w:rsidRPr="0079105B">
        <w:t xml:space="preserve"> je MPPL označení pro mezní fyzický produkt práce</w:t>
      </w:r>
      <w:r w:rsidR="00CF0DB1" w:rsidRPr="0079105B">
        <w:t>.</w:t>
      </w:r>
      <w:r w:rsidR="00E25E2B" w:rsidRPr="0079105B">
        <w:t xml:space="preserve"> „</w:t>
      </w:r>
      <w:r w:rsidR="00E25E2B" w:rsidRPr="0079105B">
        <w:rPr>
          <w:i/>
        </w:rPr>
        <w:t>Mezní fyzický produkt práce zaujímá v procesu utváření poptávky firmy po práci ústřední místo, neboť právě tato veličina vypovídá o přínosu dodatečné jednotky práce k již vyráběné produkci</w:t>
      </w:r>
      <w:r w:rsidR="0079105B" w:rsidRPr="0079105B">
        <w:rPr>
          <w:i/>
        </w:rPr>
        <w:t>.</w:t>
      </w:r>
      <w:r w:rsidR="00E25E2B" w:rsidRPr="0079105B">
        <w:rPr>
          <w:i/>
        </w:rPr>
        <w:t>“</w:t>
      </w:r>
      <w:r w:rsidR="00CA0D47" w:rsidRPr="0079105B">
        <w:rPr>
          <w:i/>
          <w:vertAlign w:val="superscript"/>
        </w:rPr>
        <w:footnoteReference w:id="7"/>
      </w:r>
    </w:p>
    <w:p w14:paraId="663DB810" w14:textId="65C6FD5B" w:rsidR="00816CBA" w:rsidRPr="00185F4D" w:rsidRDefault="00944ADF" w:rsidP="00185F4D">
      <w:pPr>
        <w:spacing w:after="200" w:line="276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14:paraId="4CCAC392" w14:textId="0741ABA6" w:rsidR="006A2EA8" w:rsidRPr="003E77EE" w:rsidRDefault="00510E7E" w:rsidP="003E77EE">
      <w:pPr>
        <w:rPr>
          <w:i/>
        </w:rPr>
      </w:pPr>
      <w:r w:rsidRPr="0002109D">
        <w:rPr>
          <w:color w:val="000000" w:themeColor="text1"/>
        </w:rPr>
        <w:lastRenderedPageBreak/>
        <w:t>Trh práce je sled</w:t>
      </w:r>
      <w:r w:rsidR="00F44711" w:rsidRPr="0002109D">
        <w:rPr>
          <w:color w:val="000000" w:themeColor="text1"/>
        </w:rPr>
        <w:t xml:space="preserve">ován různými skupinami ekonomů. Příkladem mohou být </w:t>
      </w:r>
      <w:r w:rsidR="001B2395" w:rsidRPr="0002109D">
        <w:rPr>
          <w:color w:val="000000" w:themeColor="text1"/>
        </w:rPr>
        <w:t xml:space="preserve">neoklasičtí </w:t>
      </w:r>
      <w:r w:rsidR="00374278" w:rsidRPr="0002109D">
        <w:rPr>
          <w:color w:val="000000" w:themeColor="text1"/>
        </w:rPr>
        <w:br/>
      </w:r>
      <w:r w:rsidR="001B2395" w:rsidRPr="0002109D">
        <w:rPr>
          <w:color w:val="000000" w:themeColor="text1"/>
        </w:rPr>
        <w:t>a</w:t>
      </w:r>
      <w:r w:rsidR="00A84D07" w:rsidRPr="0002109D">
        <w:rPr>
          <w:color w:val="000000" w:themeColor="text1"/>
        </w:rPr>
        <w:t xml:space="preserve"> keynes</w:t>
      </w:r>
      <w:r w:rsidR="004764C9" w:rsidRPr="0002109D">
        <w:rPr>
          <w:color w:val="000000" w:themeColor="text1"/>
        </w:rPr>
        <w:t>iánští</w:t>
      </w:r>
      <w:r w:rsidR="00A84D07" w:rsidRPr="0002109D">
        <w:rPr>
          <w:color w:val="000000" w:themeColor="text1"/>
        </w:rPr>
        <w:t xml:space="preserve"> ekonomové. </w:t>
      </w:r>
      <w:r w:rsidR="004764C9" w:rsidRPr="0002109D">
        <w:rPr>
          <w:color w:val="000000" w:themeColor="text1"/>
        </w:rPr>
        <w:t>Z</w:t>
      </w:r>
      <w:r w:rsidR="00A84D07" w:rsidRPr="0002109D">
        <w:rPr>
          <w:color w:val="000000" w:themeColor="text1"/>
        </w:rPr>
        <w:t xml:space="preserve"> pohledu neoklasických ekonomů dochází </w:t>
      </w:r>
      <w:r w:rsidR="004764C9" w:rsidRPr="0002109D">
        <w:rPr>
          <w:color w:val="000000" w:themeColor="text1"/>
        </w:rPr>
        <w:t xml:space="preserve">na trhu práce </w:t>
      </w:r>
      <w:r w:rsidR="00A84D07" w:rsidRPr="0002109D">
        <w:rPr>
          <w:color w:val="000000" w:themeColor="text1"/>
        </w:rPr>
        <w:t xml:space="preserve">k pružnosti </w:t>
      </w:r>
      <w:r w:rsidR="006E3F92" w:rsidRPr="0002109D">
        <w:rPr>
          <w:color w:val="000000" w:themeColor="text1"/>
        </w:rPr>
        <w:t>mezd, ceny a vývoj obecné míry nezaměstnanosti poukazuj</w:t>
      </w:r>
      <w:r w:rsidR="00586CDD" w:rsidRPr="0002109D">
        <w:rPr>
          <w:color w:val="000000" w:themeColor="text1"/>
        </w:rPr>
        <w:t>e</w:t>
      </w:r>
      <w:r w:rsidR="006E3F92" w:rsidRPr="0002109D">
        <w:rPr>
          <w:color w:val="000000" w:themeColor="text1"/>
        </w:rPr>
        <w:t xml:space="preserve"> na plnou zaměstnanost na trhu práce. </w:t>
      </w:r>
      <w:r w:rsidR="004764C9" w:rsidRPr="0002109D">
        <w:rPr>
          <w:color w:val="000000" w:themeColor="text1"/>
        </w:rPr>
        <w:t>Ve srovnání s neoklasickými ekonomy je p</w:t>
      </w:r>
      <w:r w:rsidR="00586CDD" w:rsidRPr="0002109D">
        <w:rPr>
          <w:color w:val="000000" w:themeColor="text1"/>
        </w:rPr>
        <w:t xml:space="preserve">ohled keynesiánských ekonomů </w:t>
      </w:r>
      <w:r w:rsidR="00BE4D1C" w:rsidRPr="0002109D">
        <w:rPr>
          <w:color w:val="000000" w:themeColor="text1"/>
        </w:rPr>
        <w:t>opačný. Keynesiánští ekonomové očekávají na trhu práce</w:t>
      </w:r>
      <w:r w:rsidR="008F5A0F" w:rsidRPr="0002109D">
        <w:rPr>
          <w:color w:val="000000" w:themeColor="text1"/>
        </w:rPr>
        <w:t xml:space="preserve"> neelastický vývoj mezd </w:t>
      </w:r>
      <w:r w:rsidR="0002109D">
        <w:rPr>
          <w:color w:val="000000" w:themeColor="text1"/>
        </w:rPr>
        <w:br/>
      </w:r>
      <w:r w:rsidR="008F5A0F" w:rsidRPr="0002109D">
        <w:rPr>
          <w:color w:val="000000" w:themeColor="text1"/>
        </w:rPr>
        <w:t>a ceny.</w:t>
      </w:r>
      <w:r w:rsidR="009125FC">
        <w:rPr>
          <w:rStyle w:val="Znakapoznpodarou"/>
          <w:color w:val="000000" w:themeColor="text1"/>
        </w:rPr>
        <w:footnoteReference w:id="8"/>
      </w:r>
    </w:p>
    <w:p w14:paraId="1F1F836B" w14:textId="7AF1F3E2" w:rsidR="00924390" w:rsidRPr="00924390" w:rsidRDefault="00FF4F8C" w:rsidP="00DC2557">
      <w:pPr>
        <w:pStyle w:val="Nadpis3"/>
      </w:pPr>
      <w:bookmarkStart w:id="4" w:name="_Toc15889378"/>
      <w:r>
        <w:t>Rovnováha na trhu prác</w:t>
      </w:r>
      <w:r w:rsidR="00924390">
        <w:t>e</w:t>
      </w:r>
      <w:bookmarkEnd w:id="4"/>
    </w:p>
    <w:p w14:paraId="6B43B5E8" w14:textId="5D83BB0D" w:rsidR="0082181D" w:rsidRPr="0025536B" w:rsidRDefault="00D301B9" w:rsidP="0025536B">
      <w:pPr>
        <w:spacing w:before="120" w:after="720"/>
        <w:rPr>
          <w:color w:val="000000" w:themeColor="text1"/>
        </w:rPr>
      </w:pPr>
      <w:r w:rsidRPr="003A3EA0">
        <w:t>N</w:t>
      </w:r>
      <w:r w:rsidR="00441CEE" w:rsidRPr="003A3EA0">
        <w:t xml:space="preserve">a trhu práce může </w:t>
      </w:r>
      <w:r w:rsidR="00AB4E8C" w:rsidRPr="00AB4E8C">
        <w:rPr>
          <w:color w:val="000000" w:themeColor="text1"/>
        </w:rPr>
        <w:t xml:space="preserve">vzniknout </w:t>
      </w:r>
      <w:r w:rsidR="005D050E" w:rsidRPr="00041B4C">
        <w:rPr>
          <w:color w:val="000000" w:themeColor="text1"/>
        </w:rPr>
        <w:t xml:space="preserve">v určitých případech </w:t>
      </w:r>
      <w:r w:rsidR="00651C4F" w:rsidRPr="00AB4E8C">
        <w:rPr>
          <w:color w:val="000000" w:themeColor="text1"/>
        </w:rPr>
        <w:t>rovnováh</w:t>
      </w:r>
      <w:r w:rsidR="00651C4F" w:rsidRPr="00041B4C">
        <w:rPr>
          <w:color w:val="000000" w:themeColor="text1"/>
        </w:rPr>
        <w:t>a</w:t>
      </w:r>
      <w:r w:rsidR="00041B4C" w:rsidRPr="00041B4C">
        <w:rPr>
          <w:color w:val="000000" w:themeColor="text1"/>
        </w:rPr>
        <w:t>.</w:t>
      </w:r>
      <w:r w:rsidR="00041B4C">
        <w:t xml:space="preserve"> </w:t>
      </w:r>
      <w:r w:rsidRPr="003A3EA0">
        <w:t xml:space="preserve">Tento jev </w:t>
      </w:r>
      <w:r w:rsidR="00651C4F" w:rsidRPr="003A3EA0">
        <w:t xml:space="preserve">vzniká, </w:t>
      </w:r>
      <w:r w:rsidR="00651C4F" w:rsidRPr="00707257">
        <w:t>když</w:t>
      </w:r>
      <w:r w:rsidR="009F2645" w:rsidRPr="00707257">
        <w:t xml:space="preserve"> se</w:t>
      </w:r>
      <w:r w:rsidR="00386970" w:rsidRPr="00707257">
        <w:t xml:space="preserve"> </w:t>
      </w:r>
      <w:r w:rsidR="00651C4F" w:rsidRPr="003A3EA0">
        <w:t xml:space="preserve">nabídka a poptávka </w:t>
      </w:r>
      <w:r w:rsidR="009F2645" w:rsidRPr="00707257">
        <w:t>nachází v </w:t>
      </w:r>
      <w:r w:rsidR="003A3EA0" w:rsidRPr="00707257">
        <w:t>rovnová</w:t>
      </w:r>
      <w:r w:rsidR="009F2645" w:rsidRPr="00707257">
        <w:t>žném stavu</w:t>
      </w:r>
      <w:r w:rsidR="003A3EA0">
        <w:t xml:space="preserve">. </w:t>
      </w:r>
      <w:r w:rsidR="0013669D">
        <w:t>Nabídka</w:t>
      </w:r>
      <w:r w:rsidR="00651C4F" w:rsidRPr="003A3EA0">
        <w:t xml:space="preserve"> práce </w:t>
      </w:r>
      <w:proofErr w:type="gramStart"/>
      <w:r w:rsidR="00651C4F" w:rsidRPr="003A3EA0">
        <w:t>je</w:t>
      </w:r>
      <w:proofErr w:type="gramEnd"/>
      <w:r w:rsidR="00651C4F" w:rsidRPr="003A3EA0">
        <w:t xml:space="preserve"> </w:t>
      </w:r>
      <w:r w:rsidR="00386970" w:rsidRPr="003A3EA0">
        <w:t xml:space="preserve">na obrázku č. 1 </w:t>
      </w:r>
      <w:r w:rsidR="00651C4F" w:rsidRPr="003A3EA0">
        <w:t>zná</w:t>
      </w:r>
      <w:r w:rsidR="00E225DC" w:rsidRPr="003A3EA0">
        <w:t>zorn</w:t>
      </w:r>
      <w:r w:rsidR="00E225DC" w:rsidRPr="00041B4C">
        <w:rPr>
          <w:color w:val="000000" w:themeColor="text1"/>
        </w:rPr>
        <w:t xml:space="preserve">ěná </w:t>
      </w:r>
      <w:r w:rsidR="00E225DC" w:rsidRPr="003A3EA0">
        <w:t xml:space="preserve">přímkou </w:t>
      </w:r>
      <w:r w:rsidR="00651C4F" w:rsidRPr="003A3EA0">
        <w:t>S</w:t>
      </w:r>
      <w:r w:rsidR="00651C4F" w:rsidRPr="003A3EA0">
        <w:rPr>
          <w:vertAlign w:val="subscript"/>
        </w:rPr>
        <w:t>L</w:t>
      </w:r>
      <w:r w:rsidR="00651C4F" w:rsidRPr="00924390">
        <w:rPr>
          <w:color w:val="FF0000"/>
          <w:vertAlign w:val="subscript"/>
        </w:rPr>
        <w:t>.</w:t>
      </w:r>
      <w:r w:rsidR="00924390">
        <w:rPr>
          <w:color w:val="FF0000"/>
          <w:vertAlign w:val="subscript"/>
        </w:rPr>
        <w:t xml:space="preserve"> </w:t>
      </w:r>
      <w:r w:rsidR="00B20625">
        <w:rPr>
          <w:color w:val="000000" w:themeColor="text1"/>
        </w:rPr>
        <w:t>Nabídka je tvořena jedinci (domácnostmi).</w:t>
      </w:r>
      <w:r w:rsidR="0025536B">
        <w:rPr>
          <w:color w:val="000000" w:themeColor="text1"/>
        </w:rPr>
        <w:t xml:space="preserve"> Poptávka na trhu práce je tvořená podniky, které nabízejí volné pracovní místa.</w:t>
      </w:r>
      <w:r w:rsidR="00E225DC" w:rsidRPr="003A3EA0">
        <w:t xml:space="preserve"> </w:t>
      </w:r>
      <w:r w:rsidR="002C0B88" w:rsidRPr="003A3EA0">
        <w:t>Poptávku firem</w:t>
      </w:r>
      <w:r w:rsidR="00045047" w:rsidRPr="003A3EA0">
        <w:t xml:space="preserve"> </w:t>
      </w:r>
      <w:r w:rsidR="00041B4C">
        <w:rPr>
          <w:color w:val="000000" w:themeColor="text1"/>
        </w:rPr>
        <w:t>lze označit</w:t>
      </w:r>
      <w:r w:rsidR="00045047" w:rsidRPr="003A3EA0">
        <w:t xml:space="preserve"> ukazatelem </w:t>
      </w:r>
      <w:r w:rsidR="00045047" w:rsidRPr="00F51160">
        <w:rPr>
          <w:i/>
        </w:rPr>
        <w:t>D</w:t>
      </w:r>
      <w:r w:rsidR="00045047" w:rsidRPr="00F51160">
        <w:rPr>
          <w:i/>
          <w:vertAlign w:val="subscript"/>
        </w:rPr>
        <w:t>L</w:t>
      </w:r>
      <w:r w:rsidR="00045047" w:rsidRPr="00F51160">
        <w:rPr>
          <w:i/>
        </w:rPr>
        <w:t>.</w:t>
      </w:r>
      <w:r w:rsidR="00045047" w:rsidRPr="003A3EA0">
        <w:t xml:space="preserve"> </w:t>
      </w:r>
      <w:r w:rsidR="00E225DC" w:rsidRPr="003A3EA0">
        <w:t xml:space="preserve">Průsečík, který vznikl protnutím přímek </w:t>
      </w:r>
      <w:r w:rsidR="00E225DC" w:rsidRPr="00F51160">
        <w:rPr>
          <w:i/>
        </w:rPr>
        <w:t>S</w:t>
      </w:r>
      <w:r w:rsidR="00E225DC" w:rsidRPr="00F51160">
        <w:rPr>
          <w:i/>
          <w:vertAlign w:val="subscript"/>
        </w:rPr>
        <w:t>L</w:t>
      </w:r>
      <w:r w:rsidR="00E225DC" w:rsidRPr="00F51160">
        <w:rPr>
          <w:i/>
        </w:rPr>
        <w:t xml:space="preserve"> </w:t>
      </w:r>
      <w:r w:rsidR="00E225DC" w:rsidRPr="003A3EA0">
        <w:t xml:space="preserve">a </w:t>
      </w:r>
      <w:r w:rsidR="00E225DC" w:rsidRPr="00F51160">
        <w:rPr>
          <w:i/>
        </w:rPr>
        <w:t>D</w:t>
      </w:r>
      <w:r w:rsidR="00E225DC" w:rsidRPr="00F51160">
        <w:rPr>
          <w:i/>
          <w:vertAlign w:val="subscript"/>
        </w:rPr>
        <w:t>L</w:t>
      </w:r>
      <w:r w:rsidR="00441CEE" w:rsidRPr="003A3EA0">
        <w:t>, je označen</w:t>
      </w:r>
      <w:r w:rsidR="00E225DC" w:rsidRPr="003A3EA0">
        <w:t xml:space="preserve"> písmenem</w:t>
      </w:r>
      <w:r w:rsidR="00045047" w:rsidRPr="003A3EA0">
        <w:t xml:space="preserve"> </w:t>
      </w:r>
      <w:r w:rsidR="00045047" w:rsidRPr="00F51160">
        <w:rPr>
          <w:i/>
        </w:rPr>
        <w:t>E</w:t>
      </w:r>
      <w:r w:rsidR="00E225DC" w:rsidRPr="003A3EA0">
        <w:t xml:space="preserve">. </w:t>
      </w:r>
      <w:r w:rsidR="003A3EA0" w:rsidRPr="003A3EA0">
        <w:t xml:space="preserve">Průsečík </w:t>
      </w:r>
      <w:r w:rsidR="00441CEE" w:rsidRPr="003A3EA0">
        <w:t xml:space="preserve">vzniká při rovnováze na trhu práce. Ukazatelem </w:t>
      </w:r>
      <w:r w:rsidR="00441CEE" w:rsidRPr="00F51160">
        <w:rPr>
          <w:i/>
        </w:rPr>
        <w:t>L</w:t>
      </w:r>
      <w:r w:rsidR="00441CEE" w:rsidRPr="003A3EA0">
        <w:t xml:space="preserve"> je vyjádřen</w:t>
      </w:r>
      <w:r w:rsidR="004D25E4">
        <w:t>a</w:t>
      </w:r>
      <w:r w:rsidR="00441CEE" w:rsidRPr="003A3EA0">
        <w:t xml:space="preserve"> práce</w:t>
      </w:r>
      <w:r w:rsidR="004C72C7" w:rsidRPr="003A3EA0">
        <w:t>, kterou firmy nabízejí.</w:t>
      </w:r>
      <w:r w:rsidR="00B9257B" w:rsidRPr="003A3EA0">
        <w:t xml:space="preserve"> </w:t>
      </w:r>
      <w:r w:rsidR="004C72C7" w:rsidRPr="003A3EA0">
        <w:rPr>
          <w:rStyle w:val="ilfuvd"/>
        </w:rPr>
        <w:t>„</w:t>
      </w:r>
      <w:r w:rsidR="007D5D3F" w:rsidRPr="003A3EA0">
        <w:rPr>
          <w:i/>
        </w:rPr>
        <w:t>Vyjadřuje skutečnost, že při mzdě W</w:t>
      </w:r>
      <w:r w:rsidR="007D5D3F" w:rsidRPr="003A3EA0">
        <w:rPr>
          <w:i/>
          <w:vertAlign w:val="subscript"/>
        </w:rPr>
        <w:t>E</w:t>
      </w:r>
      <w:r w:rsidR="007D5D3F" w:rsidRPr="003A3EA0">
        <w:rPr>
          <w:i/>
        </w:rPr>
        <w:t xml:space="preserve"> se množství nabízené práce rovná množství práce poptávané.</w:t>
      </w:r>
      <w:r w:rsidR="00BB0CC5" w:rsidRPr="003A3EA0">
        <w:rPr>
          <w:rStyle w:val="ilfuvd"/>
        </w:rPr>
        <w:t>“</w:t>
      </w:r>
      <w:r w:rsidR="00041B4C">
        <w:rPr>
          <w:rStyle w:val="Znakapoznpodarou"/>
        </w:rPr>
        <w:footnoteReference w:id="9"/>
      </w:r>
      <w:r w:rsidR="00DC2140">
        <w:rPr>
          <w:rStyle w:val="ilfuvd"/>
          <w:color w:val="FF0000"/>
        </w:rPr>
        <w:t xml:space="preserve"> </w:t>
      </w:r>
      <w:r w:rsidR="00441CEE" w:rsidRPr="003A3EA0">
        <w:t>Písmenem</w:t>
      </w:r>
      <w:r w:rsidR="00BB31F5" w:rsidRPr="003A3EA0">
        <w:t xml:space="preserve"> </w:t>
      </w:r>
      <w:r w:rsidR="00BB31F5" w:rsidRPr="00F51160">
        <w:rPr>
          <w:i/>
        </w:rPr>
        <w:t>W</w:t>
      </w:r>
      <w:r w:rsidR="00041B4C">
        <w:rPr>
          <w:color w:val="FF0000"/>
        </w:rPr>
        <w:t xml:space="preserve"> </w:t>
      </w:r>
      <w:r w:rsidR="00041B4C" w:rsidRPr="00041B4C">
        <w:rPr>
          <w:color w:val="000000" w:themeColor="text1"/>
        </w:rPr>
        <w:t>lze označit</w:t>
      </w:r>
      <w:r w:rsidR="00BB31F5" w:rsidRPr="00041B4C">
        <w:rPr>
          <w:color w:val="000000" w:themeColor="text1"/>
        </w:rPr>
        <w:t xml:space="preserve"> </w:t>
      </w:r>
      <w:r w:rsidR="00BB31F5" w:rsidRPr="003A3EA0">
        <w:t>mzdovou sazbu, která vzniká za hodinu</w:t>
      </w:r>
      <w:r w:rsidR="00386970" w:rsidRPr="003A3EA0">
        <w:t>,</w:t>
      </w:r>
      <w:r w:rsidR="00BB31F5" w:rsidRPr="003A3EA0">
        <w:t xml:space="preserve"> </w:t>
      </w:r>
      <w:r w:rsidR="008713A1">
        <w:br/>
      </w:r>
      <w:r w:rsidR="00BB31F5" w:rsidRPr="003A3EA0">
        <w:t xml:space="preserve">a koeficientem </w:t>
      </w:r>
      <w:r w:rsidR="00BB31F5" w:rsidRPr="00F51160">
        <w:rPr>
          <w:i/>
        </w:rPr>
        <w:t>L</w:t>
      </w:r>
      <w:r w:rsidR="00BB31F5" w:rsidRPr="003A3EA0">
        <w:t xml:space="preserve"> označujeme velikost práce,</w:t>
      </w:r>
      <w:r w:rsidR="004C72C7" w:rsidRPr="003A3EA0">
        <w:t xml:space="preserve"> která je vykonaná</w:t>
      </w:r>
      <w:r w:rsidR="00441CEE" w:rsidRPr="003A3EA0">
        <w:t xml:space="preserve"> pracovníkem</w:t>
      </w:r>
      <w:r w:rsidR="009125FC">
        <w:t xml:space="preserve"> za 60 minut.</w:t>
      </w:r>
      <w:r w:rsidR="009125FC">
        <w:rPr>
          <w:rStyle w:val="Znakapoznpodarou"/>
        </w:rPr>
        <w:footnoteReference w:id="10"/>
      </w:r>
    </w:p>
    <w:p w14:paraId="1FA683C3" w14:textId="28196756" w:rsidR="00FB0076" w:rsidRPr="004C72C7" w:rsidRDefault="00B503A5" w:rsidP="007D5D3F">
      <w:pPr>
        <w:ind w:firstLine="0"/>
        <w:rPr>
          <w:color w:val="262626" w:themeColor="text1" w:themeTint="D9"/>
        </w:rPr>
      </w:pPr>
      <w:r>
        <w:rPr>
          <w:noProof/>
        </w:rPr>
        <w:drawing>
          <wp:inline distT="0" distB="0" distL="0" distR="0" wp14:anchorId="6A220B5F" wp14:editId="5A100F56">
            <wp:extent cx="2460396" cy="177755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4966" cy="178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9AB1" w14:textId="719E1ECA" w:rsidR="00E31536" w:rsidRDefault="00D05E7A" w:rsidP="007640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6629D" wp14:editId="35293C12">
                <wp:simplePos x="0" y="0"/>
                <wp:positionH relativeFrom="column">
                  <wp:posOffset>-80645</wp:posOffset>
                </wp:positionH>
                <wp:positionV relativeFrom="paragraph">
                  <wp:posOffset>-3175</wp:posOffset>
                </wp:positionV>
                <wp:extent cx="4326890" cy="635"/>
                <wp:effectExtent l="0" t="0" r="0" b="635"/>
                <wp:wrapNone/>
                <wp:docPr id="89" name="Textové po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8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46887" w14:textId="650D3F09" w:rsidR="00A613C0" w:rsidRPr="00F25112" w:rsidRDefault="00A613C0" w:rsidP="009125FC">
                            <w:pPr>
                              <w:pStyle w:val="Titulek"/>
                              <w:spacing w:after="0"/>
                              <w:ind w:firstLine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5" w:name="_Toc15639637"/>
                            <w:r w:rsidRPr="00F25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Obrázek </w:t>
                            </w:r>
                            <w:r w:rsidRPr="00F25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25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Obrázek \* ARABIC </w:instrText>
                            </w:r>
                            <w:r w:rsidRPr="00F25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F25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251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Rovnováha na trhu</w:t>
                            </w:r>
                            <w:bookmarkEnd w:id="5"/>
                          </w:p>
                          <w:p w14:paraId="48383B93" w14:textId="5E2233D1" w:rsidR="00A613C0" w:rsidRPr="0025536B" w:rsidRDefault="00A613C0" w:rsidP="0025536B">
                            <w:pPr>
                              <w:spacing w:before="120"/>
                              <w:ind w:firstLine="0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5112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Zdroj: Mikroekonomie, Václav Jurečka, 2017, s. 269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9" o:spid="_x0000_s1026" type="#_x0000_t202" style="position:absolute;left:0;text-align:left;margin-left:-6.35pt;margin-top:-.25pt;width:340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xpNgIAAGQEAAAOAAAAZHJzL2Uyb0RvYy54bWysVMGO0zAQvSPxD5bvNG0Xqm7UdFW6KkKq&#10;dldq0Z5dx2ks2R5ju03KH/Ed/BhjJ+nCwglxccYz42e/eTNZ3LVakbNwXoIp6GQ0pkQYDqU0x4J+&#10;2W/ezSnxgZmSKTCioBfh6d3y7ZtFY3MxhRpUKRxBEOPzxha0DsHmWeZ5LTTzI7DCYLACp1nArTtm&#10;pWMNomuVTcfjWdaAK60DLrxH730XpMuEX1WCh8eq8iIQVVB8W0irS+shrtlywfKjY7aWvH8G+4dX&#10;aCYNXnqFumeBkZOTf0BpyR14qMKIg86gqiQXiQOymYxfsdnVzIrEBYvj7bVM/v/B8ofzkyOyLOj8&#10;lhLDNGq0F22A84/vxIISBP1YpMb6HHN3FrND+xFaFHvwe3RG7m3ldPwiK4JxLPflWmKEJByd72+m&#10;s/kthjjGZjcfIkb2ctQ6Hz4J0CQaBXWoXyorO2996FKHlHiTByXLjVQqbmJgrRw5M9S6qWUQPfhv&#10;WcrEXAPxVAcYPVnk1/GIVmgPbU/6AOUFOTvoWsdbvpF40Zb58MQc9gpywf4Pj7hUCpqCQm9RUoP7&#10;9jd/zEcJMUpJg71XUP/1xJygRH02KG5s1MFwg3EYDHPSa0CKE5wsy5OJB1xQg1k50M84Fqt4C4aY&#10;4XhXQcNgrkM3AThWXKxWKQnb0bKwNTvLI/RQ0H37zJzt5Qio4gMMXcnyV6p0uUkXuzoFLHGSLBa0&#10;q2JfZ2zlJHo/dnFWft2nrJefw/InAAAA//8DAFBLAwQUAAYACAAAACEAx00jrN0AAAAHAQAADwAA&#10;AGRycy9kb3ducmV2LnhtbEyOMU/DMBCFdyT+g3VILKh1WkKoQpyqqmCApSJ0YXPjaxyIz1HstOHf&#10;c0xlu0/v6d1XrCfXiRMOofWkYDFPQCDV3rTUKNh/vMxWIELUZHTnCRX8YIB1eX1V6Nz4M73jqYqN&#10;4BEKuVZgY+xzKUNt0ekw9z0SZ0c/OB0Zh0aaQZ953HVymSSZdLol/mB1j1uL9Xc1OgW79HNn78bj&#10;89smvR9e9+M2+2oqpW5vps0TiIhTvJThT5/VoWSngx/JBNEpmC2Wj1zl4wEE51m2Yj4wpyDLQv73&#10;L38BAAD//wMAUEsBAi0AFAAGAAgAAAAhALaDOJL+AAAA4QEAABMAAAAAAAAAAAAAAAAAAAAAAFtD&#10;b250ZW50X1R5cGVzXS54bWxQSwECLQAUAAYACAAAACEAOP0h/9YAAACUAQAACwAAAAAAAAAAAAAA&#10;AAAvAQAAX3JlbHMvLnJlbHNQSwECLQAUAAYACAAAACEABF6saTYCAABkBAAADgAAAAAAAAAAAAAA&#10;AAAuAgAAZHJzL2Uyb0RvYy54bWxQSwECLQAUAAYACAAAACEAx00jrN0AAAAHAQAADwAAAAAAAAAA&#10;AAAAAACQBAAAZHJzL2Rvd25yZXYueG1sUEsFBgAAAAAEAAQA8wAAAJoFAAAAAA==&#10;" stroked="f">
                <v:textbox style="mso-fit-shape-to-text:t" inset="0,0,0,0">
                  <w:txbxContent>
                    <w:p w14:paraId="6F046887" w14:textId="650D3F09" w:rsidR="00A613C0" w:rsidRPr="00F25112" w:rsidRDefault="00A613C0" w:rsidP="009125FC">
                      <w:pPr>
                        <w:pStyle w:val="Titulek"/>
                        <w:spacing w:after="0"/>
                        <w:ind w:firstLine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6" w:name="_Toc15639637"/>
                      <w:r w:rsidRPr="00F251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Obrázek </w:t>
                      </w:r>
                      <w:r w:rsidRPr="00F25112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F25112">
                        <w:rPr>
                          <w:color w:val="000000" w:themeColor="text1"/>
                          <w:sz w:val="20"/>
                          <w:szCs w:val="20"/>
                        </w:rPr>
                        <w:instrText xml:space="preserve"> SEQ Obrázek \* ARABIC </w:instrText>
                      </w:r>
                      <w:r w:rsidRPr="00F25112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F25112">
                        <w:rPr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F25112">
                        <w:rPr>
                          <w:color w:val="000000" w:themeColor="text1"/>
                          <w:sz w:val="20"/>
                          <w:szCs w:val="20"/>
                        </w:rPr>
                        <w:t>Rovnováha na trhu</w:t>
                      </w:r>
                      <w:bookmarkEnd w:id="6"/>
                    </w:p>
                    <w:p w14:paraId="48383B93" w14:textId="5E2233D1" w:rsidR="00A613C0" w:rsidRPr="0025536B" w:rsidRDefault="00A613C0" w:rsidP="0025536B">
                      <w:pPr>
                        <w:spacing w:before="120"/>
                        <w:ind w:firstLine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25112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Zdroj: Mikroekonomie, Václav Jurečka, 2017, s. 269</w:t>
                      </w: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14:paraId="3741FBE5" w14:textId="7969620C" w:rsidR="0025536B" w:rsidRDefault="00465E07" w:rsidP="007640B4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C1A00" wp14:editId="4B93EEB1">
                <wp:simplePos x="0" y="0"/>
                <wp:positionH relativeFrom="column">
                  <wp:posOffset>2793365</wp:posOffset>
                </wp:positionH>
                <wp:positionV relativeFrom="paragraph">
                  <wp:posOffset>97155</wp:posOffset>
                </wp:positionV>
                <wp:extent cx="985520" cy="568960"/>
                <wp:effectExtent l="0" t="0" r="0" b="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AEEF2E" id="Obdélník 28" o:spid="_x0000_s1026" style="position:absolute;margin-left:219.95pt;margin-top:7.65pt;width:77.6pt;height:4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MGjQIAAF4FAAAOAAAAZHJzL2Uyb0RvYy54bWysVM1OGzEQvlfqO1i+l00iQknEBkUgqkoI&#10;UKHi7HhtdlXb446dbNI36qFPwYt17N0sFFAPVXPY2PPzzcw3Mz453VrDNgpDA67k44MRZ8pJqBr3&#10;UPKvdxcfjjkLUbhKGHCq5DsV+Oni/buT1s/VBGowlUJGIC7MW1/yOkY/L4oga2VFOACvHCk1oBWR&#10;rvhQVChaQremmIxGR0ULWHkEqUIg6Xmn5IuMr7WS8VrroCIzJafcYv5i/q7St1iciPkDCl83sk9D&#10;/EMWVjSOgg5Q5yIKtsbmFZRtJEIAHQ8k2AK0bqTKNVA149GLam5r4VWuhcgJfqAp/D9YebW5QdZU&#10;JZ9Qp5yw1KPrVfX407jHX98YCYmh1oc5Gd76G+xvgY6p3K1Gm/6pELbNrO4GVtU2MknC2fF0OiHu&#10;JammR8ezo8x68eTsMcRPCixLh5IjNS1zKTaXIVJAMt2bpFgOLhpjcuOM+0NAhklSpHy7DPMp7oxK&#10;dsZ9UZpqpZwmOUCeMnVmkG0EzYeQUrk47lS1qFQnno7ol2gg+MEj3zJgQtaU0IDdA6QJfo3dwfT2&#10;yVXlIR2cR39LrHMePHJkcHFwto0DfAvAUFV95M5+T1JHTWJpBdWOJgGhW5Hg5UVD7bgUId4IpJ2g&#10;DtKex2v6aANtyaE/cVYD/nhLnuxpVEnLWUs7VvLwfS1QcWY+Oxri2fjwMC1lvhxOP6Ypweea1XON&#10;W9szoDaN6UXxMh+TfTT7o0aw9/QcLFNUUgknKXbJZcT95Sx2u08PilTLZTajRfQiXrpbLxN4YjWN&#10;2932XqDvZzLSMF/Bfh/F/MVodrbJ08FyHUE3eW6feO35piXOg9M/OOmVeH7PVk/P4uI3AAAA//8D&#10;AFBLAwQUAAYACAAAACEAXEIJIt4AAAAKAQAADwAAAGRycy9kb3ducmV2LnhtbEyPwU6DQBCG7ya+&#10;w2ZMvNmlFowgS0OMmvTYYmK8LewIKDtL2C2lb+94qseZ/8s/3+TbxQ5ixsn3jhSsVxEIpMaZnloF&#10;79Xr3SMIHzQZPThCBWf0sC2ur3KdGXeiPc6H0AouIZ9pBV0IYyalbzq02q/ciMTZl5usDjxOrTST&#10;PnG5HeR9FD1Iq3viC50e8bnD5udwtAp8Pe+q81h+fH/6pi5fyFbx7k2p25ulfAIRcAkXGP70WR0K&#10;dqrdkYwXg4J4k6aMcpBsQDCQpMkaRM2LKE5BFrn8/0LxCwAA//8DAFBLAQItABQABgAIAAAAIQC2&#10;gziS/gAAAOEBAAATAAAAAAAAAAAAAAAAAAAAAABbQ29udGVudF9UeXBlc10ueG1sUEsBAi0AFAAG&#10;AAgAAAAhADj9If/WAAAAlAEAAAsAAAAAAAAAAAAAAAAALwEAAF9yZWxzLy5yZWxzUEsBAi0AFAAG&#10;AAgAAAAhAOV+AwaNAgAAXgUAAA4AAAAAAAAAAAAAAAAALgIAAGRycy9lMm9Eb2MueG1sUEsBAi0A&#10;FAAGAAgAAAAhAFxCCSLeAAAACgEAAA8AAAAAAAAAAAAAAAAA5wQAAGRycy9kb3ducmV2LnhtbFBL&#10;BQYAAAAABAAEAPMAAADyBQAAAAA=&#10;" filled="f" stroked="f" strokeweight="2pt"/>
            </w:pict>
          </mc:Fallback>
        </mc:AlternateContent>
      </w:r>
    </w:p>
    <w:p w14:paraId="0A774EFB" w14:textId="77777777" w:rsidR="0025536B" w:rsidRDefault="0025536B">
      <w:pPr>
        <w:spacing w:after="200" w:line="276" w:lineRule="auto"/>
        <w:ind w:firstLine="0"/>
        <w:jc w:val="left"/>
      </w:pPr>
      <w:r>
        <w:br w:type="page"/>
      </w:r>
    </w:p>
    <w:p w14:paraId="0684D2D0" w14:textId="12204934" w:rsidR="006E4EBC" w:rsidRDefault="00AA4D51" w:rsidP="009516AD">
      <w:pPr>
        <w:spacing w:after="200"/>
      </w:pPr>
      <w:r>
        <w:lastRenderedPageBreak/>
        <w:t>Na trhu práce vznikají problémy s nezaměstnaností, ale také s obsazením</w:t>
      </w:r>
      <w:r w:rsidR="0036283A">
        <w:t xml:space="preserve"> pracovních pozic </w:t>
      </w:r>
      <w:r w:rsidR="00F84627">
        <w:t>mla</w:t>
      </w:r>
      <w:r w:rsidR="009F29A2">
        <w:t>dými pracovníky</w:t>
      </w:r>
      <w:r w:rsidR="00F84627">
        <w:t xml:space="preserve"> bez pracovních zkušeností. </w:t>
      </w:r>
      <w:r w:rsidR="00386970" w:rsidRPr="00E938F1">
        <w:t>Pojem trh práce v sobě zahrnuje také počet volných pracovních pozic</w:t>
      </w:r>
      <w:r w:rsidR="00386970">
        <w:t>,</w:t>
      </w:r>
      <w:r w:rsidR="00583D78">
        <w:t xml:space="preserve"> které se v jednotlivých firmách vyskytují. </w:t>
      </w:r>
      <w:r w:rsidR="00BB0CC5">
        <w:t xml:space="preserve">Do základní skupiny trhu lze zahrnout </w:t>
      </w:r>
      <w:r w:rsidR="00D94C34">
        <w:t>množství aktivního obyvatelstva.</w:t>
      </w:r>
      <w:r w:rsidR="009125FC">
        <w:rPr>
          <w:rStyle w:val="Znakapoznpodarou"/>
        </w:rPr>
        <w:footnoteReference w:id="11"/>
      </w:r>
    </w:p>
    <w:p w14:paraId="58A76979" w14:textId="0FF1620A" w:rsidR="009516AD" w:rsidRPr="009516AD" w:rsidRDefault="00D94C34" w:rsidP="00DC2557">
      <w:pPr>
        <w:pStyle w:val="Nadpis3"/>
      </w:pPr>
      <w:bookmarkStart w:id="7" w:name="_Toc15889379"/>
      <w:r>
        <w:t>Členění osob na trhu práce</w:t>
      </w:r>
      <w:bookmarkEnd w:id="7"/>
    </w:p>
    <w:p w14:paraId="72793A5B" w14:textId="6F91B3F5" w:rsidR="00D94C34" w:rsidRPr="00ED6D88" w:rsidRDefault="008F5A0F" w:rsidP="00ED6D88">
      <w:pPr>
        <w:rPr>
          <w:vertAlign w:val="superscript"/>
        </w:rPr>
      </w:pPr>
      <w:r>
        <w:t xml:space="preserve">Pod pojmem aktivní obyvatelstvo si lze představit osoby, které jsou starší 15 let </w:t>
      </w:r>
      <w:r w:rsidR="00374278">
        <w:br/>
      </w:r>
      <w:r>
        <w:t xml:space="preserve">a </w:t>
      </w:r>
      <w:r w:rsidR="007E30D4" w:rsidRPr="007E30D4">
        <w:t>vy</w:t>
      </w:r>
      <w:r w:rsidR="007E30D4">
        <w:t>tvořili do pracovního poměru</w:t>
      </w:r>
      <w:r>
        <w:t xml:space="preserve">. Do aktivního obyvatelstva nepatří osoby, které jsou starší 65 let, protože patří do skupiny seniorů, kteří pobírají důchod. Každá země může mít jinou definici pro aktivní obyvatelstvo. </w:t>
      </w:r>
      <w:r w:rsidRPr="00E938F1">
        <w:t>V rámci</w:t>
      </w:r>
      <w:r>
        <w:t xml:space="preserve"> České republiky je pro aktivní obyvatelstvo definovaný věk </w:t>
      </w:r>
      <w:r w:rsidR="00ED6D88">
        <w:t>15–65</w:t>
      </w:r>
      <w:r w:rsidR="00F155A6">
        <w:t xml:space="preserve"> let.</w:t>
      </w:r>
      <w:r w:rsidR="00375F3A">
        <w:rPr>
          <w:rStyle w:val="Znakapoznpodarou"/>
        </w:rPr>
        <w:footnoteReference w:id="12"/>
      </w:r>
    </w:p>
    <w:p w14:paraId="192844EE" w14:textId="6D0F072A" w:rsidR="0043518D" w:rsidRPr="00F51160" w:rsidRDefault="005D0F52" w:rsidP="00ED6D88">
      <w:pPr>
        <w:spacing w:before="120"/>
        <w:rPr>
          <w:color w:val="000000" w:themeColor="text1"/>
        </w:rPr>
      </w:pPr>
      <w:r>
        <w:t>Na trhu práce se lze setkat s několika skupina</w:t>
      </w:r>
      <w:r w:rsidR="00885A20">
        <w:t>mi</w:t>
      </w:r>
      <w:r>
        <w:t xml:space="preserve"> osob. Každá skupina určitým způsobem ovlivňuje dění na trhu práce.</w:t>
      </w:r>
      <w:r w:rsidR="009516AD">
        <w:t xml:space="preserve"> </w:t>
      </w:r>
      <w:r w:rsidR="009516AD" w:rsidRPr="009370A3">
        <w:rPr>
          <w:color w:val="000000" w:themeColor="text1"/>
        </w:rPr>
        <w:t>Tyto osoby lze rozdělit do několika skupin</w:t>
      </w:r>
      <w:r w:rsidR="00B20625" w:rsidRPr="00F51160">
        <w:rPr>
          <w:color w:val="000000" w:themeColor="text1"/>
        </w:rPr>
        <w:t>:</w:t>
      </w:r>
    </w:p>
    <w:p w14:paraId="6F6D08DB" w14:textId="7F7F352D" w:rsidR="009370A3" w:rsidRPr="003F4937" w:rsidRDefault="009370A3" w:rsidP="00375F3A">
      <w:pPr>
        <w:pStyle w:val="Odstavecseseznamem"/>
        <w:numPr>
          <w:ilvl w:val="0"/>
          <w:numId w:val="10"/>
        </w:numPr>
        <w:rPr>
          <w:b/>
          <w:bCs/>
          <w:color w:val="000000" w:themeColor="text1"/>
        </w:rPr>
      </w:pPr>
      <w:r w:rsidRPr="003F4937">
        <w:rPr>
          <w:b/>
          <w:bCs/>
          <w:color w:val="000000" w:themeColor="text1"/>
        </w:rPr>
        <w:t>Osoby, které jsou zaměstnané</w:t>
      </w:r>
      <w:r w:rsidR="00375F3A" w:rsidRPr="003F4937">
        <w:rPr>
          <w:b/>
          <w:bCs/>
          <w:color w:val="000000" w:themeColor="text1"/>
        </w:rPr>
        <w:t>.</w:t>
      </w:r>
    </w:p>
    <w:p w14:paraId="4860F29C" w14:textId="2185AB97" w:rsidR="009370A3" w:rsidRPr="003F4937" w:rsidRDefault="00375F3A" w:rsidP="00F139D1">
      <w:pPr>
        <w:pStyle w:val="Odstavecseseznamem"/>
        <w:numPr>
          <w:ilvl w:val="1"/>
          <w:numId w:val="10"/>
        </w:numPr>
        <w:rPr>
          <w:b/>
          <w:bCs/>
          <w:color w:val="000000" w:themeColor="text1"/>
        </w:rPr>
      </w:pPr>
      <w:proofErr w:type="spellStart"/>
      <w:r w:rsidRPr="003F4937">
        <w:rPr>
          <w:b/>
          <w:bCs/>
          <w:color w:val="000000" w:themeColor="text1"/>
        </w:rPr>
        <w:t>Sebezaměstnání</w:t>
      </w:r>
      <w:proofErr w:type="spellEnd"/>
      <w:r w:rsidRPr="003F4937">
        <w:rPr>
          <w:b/>
          <w:bCs/>
          <w:color w:val="000000" w:themeColor="text1"/>
        </w:rPr>
        <w:t>.</w:t>
      </w:r>
    </w:p>
    <w:p w14:paraId="753A3289" w14:textId="71D50451" w:rsidR="00F86EA3" w:rsidRPr="003F4937" w:rsidRDefault="00375F3A" w:rsidP="00F139D1">
      <w:pPr>
        <w:pStyle w:val="Odstavecseseznamem"/>
        <w:numPr>
          <w:ilvl w:val="1"/>
          <w:numId w:val="10"/>
        </w:numPr>
        <w:rPr>
          <w:b/>
          <w:bCs/>
          <w:color w:val="000000" w:themeColor="text1"/>
        </w:rPr>
      </w:pPr>
      <w:r w:rsidRPr="003F4937">
        <w:rPr>
          <w:b/>
          <w:bCs/>
          <w:color w:val="000000" w:themeColor="text1"/>
        </w:rPr>
        <w:t>Zaměstnanci.</w:t>
      </w:r>
    </w:p>
    <w:p w14:paraId="3CD513EF" w14:textId="14138580" w:rsidR="00F86EA3" w:rsidRPr="00675B02" w:rsidRDefault="00F86EA3" w:rsidP="00375F3A">
      <w:pPr>
        <w:pStyle w:val="Odstavecseseznamem"/>
        <w:numPr>
          <w:ilvl w:val="0"/>
          <w:numId w:val="10"/>
        </w:numPr>
        <w:rPr>
          <w:b/>
          <w:bCs/>
          <w:color w:val="000000" w:themeColor="text1"/>
        </w:rPr>
      </w:pPr>
      <w:r w:rsidRPr="00675B02">
        <w:rPr>
          <w:b/>
          <w:bCs/>
          <w:color w:val="000000" w:themeColor="text1"/>
        </w:rPr>
        <w:t>Nezaměstnané osoby</w:t>
      </w:r>
      <w:r w:rsidR="00375F3A" w:rsidRPr="00675B02">
        <w:rPr>
          <w:b/>
          <w:bCs/>
          <w:color w:val="000000" w:themeColor="text1"/>
        </w:rPr>
        <w:t>.</w:t>
      </w:r>
    </w:p>
    <w:p w14:paraId="2148E258" w14:textId="6FE14944" w:rsidR="00A348D9" w:rsidRDefault="00513A4E" w:rsidP="00A348D9">
      <w:pPr>
        <w:pStyle w:val="Odstavecseseznamem"/>
        <w:numPr>
          <w:ilvl w:val="0"/>
          <w:numId w:val="10"/>
        </w:numPr>
        <w:spacing w:after="480"/>
        <w:ind w:left="811" w:hanging="357"/>
        <w:rPr>
          <w:color w:val="000000" w:themeColor="text1"/>
        </w:rPr>
      </w:pPr>
      <w:r w:rsidRPr="00675B02">
        <w:rPr>
          <w:b/>
          <w:bCs/>
          <w:color w:val="000000" w:themeColor="text1"/>
        </w:rPr>
        <w:t>Ekonomicky neaktivní obyvatelstvo</w:t>
      </w:r>
      <w:r w:rsidR="00375F3A">
        <w:rPr>
          <w:color w:val="000000" w:themeColor="text1"/>
        </w:rPr>
        <w:t>.</w:t>
      </w:r>
      <w:r w:rsidR="00375F3A">
        <w:rPr>
          <w:rStyle w:val="Znakapoznpodarou"/>
          <w:color w:val="000000" w:themeColor="text1"/>
        </w:rPr>
        <w:footnoteReference w:id="13"/>
      </w:r>
    </w:p>
    <w:p w14:paraId="501DAEE0" w14:textId="77777777" w:rsidR="00A348D9" w:rsidRPr="00A348D9" w:rsidRDefault="00A348D9" w:rsidP="00A348D9">
      <w:pPr>
        <w:pStyle w:val="Odstavecseseznamem"/>
        <w:spacing w:after="480"/>
        <w:ind w:left="811" w:firstLine="0"/>
        <w:rPr>
          <w:color w:val="000000" w:themeColor="text1"/>
        </w:rPr>
      </w:pPr>
    </w:p>
    <w:p w14:paraId="040CFF57" w14:textId="1F352AD5" w:rsidR="005D0F52" w:rsidRPr="00C23F0B" w:rsidRDefault="005D0F52" w:rsidP="00C23F0B">
      <w:pPr>
        <w:pStyle w:val="Odstavecseseznamem"/>
        <w:numPr>
          <w:ilvl w:val="0"/>
          <w:numId w:val="23"/>
        </w:numPr>
        <w:rPr>
          <w:b/>
          <w:color w:val="000000" w:themeColor="text1"/>
        </w:rPr>
      </w:pPr>
      <w:r w:rsidRPr="00C23F0B">
        <w:rPr>
          <w:b/>
        </w:rPr>
        <w:t>Osoby, které jsou zaměstnané</w:t>
      </w:r>
    </w:p>
    <w:p w14:paraId="2D745284" w14:textId="18B79DA5" w:rsidR="008F78BD" w:rsidRDefault="00041B4C" w:rsidP="00167DE7">
      <w:pPr>
        <w:rPr>
          <w:rStyle w:val="st"/>
          <w:color w:val="000000" w:themeColor="text1"/>
        </w:rPr>
      </w:pPr>
      <w:r>
        <w:rPr>
          <w:color w:val="000000" w:themeColor="text1"/>
        </w:rPr>
        <w:t xml:space="preserve">V této kategorii jsou </w:t>
      </w:r>
      <w:r w:rsidR="00E50B45" w:rsidRPr="00F86EA3">
        <w:rPr>
          <w:color w:val="000000" w:themeColor="text1"/>
        </w:rPr>
        <w:t xml:space="preserve">osoby, které jsou starší 15 let a mají svého </w:t>
      </w:r>
      <w:r w:rsidR="0021046D" w:rsidRPr="00F86EA3">
        <w:rPr>
          <w:color w:val="000000" w:themeColor="text1"/>
        </w:rPr>
        <w:t xml:space="preserve">zaměstnavatele, případně </w:t>
      </w:r>
      <w:r w:rsidR="001E0022" w:rsidRPr="00F86EA3">
        <w:rPr>
          <w:color w:val="000000" w:themeColor="text1"/>
        </w:rPr>
        <w:t xml:space="preserve">osoby </w:t>
      </w:r>
      <w:r w:rsidR="0021046D" w:rsidRPr="00F86EA3">
        <w:rPr>
          <w:color w:val="000000" w:themeColor="text1"/>
        </w:rPr>
        <w:t>pracují na živnost. Zaměstnanou osobou lze rozumět jedince, který odp</w:t>
      </w:r>
      <w:r w:rsidR="001E0022" w:rsidRPr="00F86EA3">
        <w:rPr>
          <w:color w:val="000000" w:themeColor="text1"/>
        </w:rPr>
        <w:t>raco</w:t>
      </w:r>
      <w:r w:rsidR="0021046D" w:rsidRPr="00F86EA3">
        <w:rPr>
          <w:color w:val="000000" w:themeColor="text1"/>
        </w:rPr>
        <w:t xml:space="preserve">val </w:t>
      </w:r>
      <w:r w:rsidR="00F86EA3" w:rsidRPr="00F86EA3">
        <w:rPr>
          <w:color w:val="000000" w:themeColor="text1"/>
        </w:rPr>
        <w:t xml:space="preserve">v podniku </w:t>
      </w:r>
      <w:r w:rsidR="0021046D" w:rsidRPr="008F78BD">
        <w:rPr>
          <w:rStyle w:val="st"/>
          <w:i/>
          <w:color w:val="000000" w:themeColor="text1"/>
        </w:rPr>
        <w:t>„</w:t>
      </w:r>
      <w:r w:rsidR="0021046D" w:rsidRPr="008F78BD">
        <w:rPr>
          <w:i/>
          <w:color w:val="000000" w:themeColor="text1"/>
        </w:rPr>
        <w:t>alespoň jednu hodinu v referenčním týdnu</w:t>
      </w:r>
      <w:r w:rsidR="0021046D" w:rsidRPr="008F78BD">
        <w:rPr>
          <w:rStyle w:val="st"/>
          <w:i/>
          <w:color w:val="000000" w:themeColor="text1"/>
        </w:rPr>
        <w:t>“</w:t>
      </w:r>
      <w:r w:rsidR="008F78BD">
        <w:rPr>
          <w:rStyle w:val="Znakapoznpodarou"/>
          <w:i/>
          <w:color w:val="000000" w:themeColor="text1"/>
        </w:rPr>
        <w:footnoteReference w:id="14"/>
      </w:r>
      <w:r w:rsidR="0021046D" w:rsidRPr="008C1802">
        <w:rPr>
          <w:rStyle w:val="st"/>
          <w:color w:val="000000" w:themeColor="text1"/>
        </w:rPr>
        <w:t xml:space="preserve"> </w:t>
      </w:r>
      <w:r w:rsidR="00C40DE2" w:rsidRPr="008C1802">
        <w:rPr>
          <w:rStyle w:val="st"/>
          <w:color w:val="000000" w:themeColor="text1"/>
        </w:rPr>
        <w:t xml:space="preserve">v dané jednotce. </w:t>
      </w:r>
      <w:r w:rsidR="0021046D" w:rsidRPr="008C1802">
        <w:rPr>
          <w:rStyle w:val="st"/>
          <w:color w:val="000000" w:themeColor="text1"/>
        </w:rPr>
        <w:t xml:space="preserve">Do zaměstnaných </w:t>
      </w:r>
      <w:r w:rsidR="0021046D" w:rsidRPr="00041B4C">
        <w:rPr>
          <w:rStyle w:val="st"/>
          <w:color w:val="000000" w:themeColor="text1"/>
        </w:rPr>
        <w:t xml:space="preserve">osob </w:t>
      </w:r>
      <w:r w:rsidRPr="00041B4C">
        <w:rPr>
          <w:rStyle w:val="st"/>
          <w:color w:val="000000" w:themeColor="text1"/>
        </w:rPr>
        <w:t>lze řadit</w:t>
      </w:r>
      <w:r w:rsidR="0021046D" w:rsidRPr="00041B4C">
        <w:rPr>
          <w:rStyle w:val="st"/>
          <w:color w:val="000000" w:themeColor="text1"/>
        </w:rPr>
        <w:t xml:space="preserve"> </w:t>
      </w:r>
      <w:r w:rsidR="0021046D" w:rsidRPr="008C1802">
        <w:rPr>
          <w:rStyle w:val="st"/>
          <w:color w:val="000000" w:themeColor="text1"/>
        </w:rPr>
        <w:t>i jedince, kteří jsou krátk</w:t>
      </w:r>
      <w:r w:rsidR="00600354">
        <w:rPr>
          <w:rStyle w:val="st"/>
          <w:color w:val="000000" w:themeColor="text1"/>
        </w:rPr>
        <w:t xml:space="preserve">odobě nepřítomní v zaměstnání. </w:t>
      </w:r>
      <w:r w:rsidR="00C40DE2" w:rsidRPr="008C1802">
        <w:rPr>
          <w:rStyle w:val="st"/>
          <w:color w:val="000000" w:themeColor="text1"/>
        </w:rPr>
        <w:t xml:space="preserve">Důvodem nepřítomnosti v zaměstnání je nemoc, nebo dovolená. Do této skupiny </w:t>
      </w:r>
      <w:r w:rsidR="00F86EA3" w:rsidRPr="007E30D4">
        <w:rPr>
          <w:rStyle w:val="st"/>
        </w:rPr>
        <w:t>patří</w:t>
      </w:r>
      <w:r w:rsidR="00C40DE2" w:rsidRPr="007E30D4">
        <w:rPr>
          <w:rStyle w:val="st"/>
        </w:rPr>
        <w:t xml:space="preserve"> </w:t>
      </w:r>
      <w:r w:rsidR="00C40DE2" w:rsidRPr="008C1802">
        <w:rPr>
          <w:rStyle w:val="st"/>
          <w:color w:val="000000" w:themeColor="text1"/>
        </w:rPr>
        <w:t>i osoby, které nepracují na plný úvazek.</w:t>
      </w:r>
      <w:r w:rsidR="008F78BD">
        <w:rPr>
          <w:rStyle w:val="Znakapoznpodarou"/>
          <w:color w:val="000000" w:themeColor="text1"/>
        </w:rPr>
        <w:footnoteReference w:id="15"/>
      </w:r>
    </w:p>
    <w:p w14:paraId="0D0F1951" w14:textId="77777777" w:rsidR="008F78BD" w:rsidRDefault="008F78BD">
      <w:pPr>
        <w:spacing w:after="200" w:line="276" w:lineRule="auto"/>
        <w:ind w:firstLine="0"/>
        <w:jc w:val="left"/>
        <w:rPr>
          <w:rStyle w:val="st"/>
          <w:color w:val="000000" w:themeColor="text1"/>
        </w:rPr>
      </w:pPr>
      <w:r>
        <w:rPr>
          <w:rStyle w:val="st"/>
          <w:color w:val="000000" w:themeColor="text1"/>
        </w:rPr>
        <w:br w:type="page"/>
      </w:r>
    </w:p>
    <w:p w14:paraId="340A5247" w14:textId="2FE41B31" w:rsidR="00CA41F5" w:rsidRPr="00CA41F5" w:rsidRDefault="00CF2E21" w:rsidP="008754FD">
      <w:pPr>
        <w:rPr>
          <w:rStyle w:val="st"/>
        </w:rPr>
      </w:pPr>
      <w:proofErr w:type="spellStart"/>
      <w:r w:rsidRPr="00CF2E21">
        <w:lastRenderedPageBreak/>
        <w:t>Sebezaměstnaní</w:t>
      </w:r>
      <w:proofErr w:type="spellEnd"/>
      <w:r w:rsidRPr="00CF2E21">
        <w:t xml:space="preserve">: </w:t>
      </w:r>
      <w:r w:rsidR="00CA41F5" w:rsidRPr="00CA41F5">
        <w:t xml:space="preserve">jsou lidé, kteří pracují ve svém </w:t>
      </w:r>
      <w:r w:rsidR="008754FD">
        <w:t xml:space="preserve">vlastním </w:t>
      </w:r>
      <w:r w:rsidR="00CA41F5" w:rsidRPr="00CA41F5">
        <w:t>podniku. Do této skupiny patří podnikatele dvou typů. Prvním typem jsou podnikatelé, kteří pracují bez svých pracovníků. Pod druhým typem si lze představit podnikatele, kteří mají své zaměstnance a pracují s nimi. Podnikatel uskutečňuje svoji činnost podle nového občanského zákoníku §420 z roku 2014.</w:t>
      </w:r>
      <w:r w:rsidR="00CA41F5" w:rsidRPr="00CA41F5">
        <w:rPr>
          <w:rStyle w:val="Znakapoznpodarou"/>
          <w:color w:val="000000" w:themeColor="text1"/>
        </w:rPr>
        <w:footnoteReference w:id="16"/>
      </w:r>
      <w:r w:rsidR="003876C4">
        <w:t xml:space="preserve"> </w:t>
      </w:r>
      <w:r w:rsidR="00CA41F5" w:rsidRPr="00CA41F5">
        <w:t xml:space="preserve">Podnikatelem je osoba fyzická nebo právnická, </w:t>
      </w:r>
      <w:r w:rsidR="00CA41F5" w:rsidRPr="00CA41F5">
        <w:rPr>
          <w:rStyle w:val="st"/>
          <w:i/>
        </w:rPr>
        <w:t>„</w:t>
      </w:r>
      <w:r w:rsidR="00CA41F5" w:rsidRPr="00CA41F5">
        <w:rPr>
          <w:i/>
        </w:rPr>
        <w:t xml:space="preserve">která </w:t>
      </w:r>
      <w:r w:rsidR="00CA41F5" w:rsidRPr="00CA41F5">
        <w:rPr>
          <w:rStyle w:val="Siln"/>
          <w:i/>
        </w:rPr>
        <w:t>samostatně</w:t>
      </w:r>
      <w:r w:rsidR="00CA41F5" w:rsidRPr="00CA41F5">
        <w:rPr>
          <w:i/>
        </w:rPr>
        <w:t xml:space="preserve"> vykonává </w:t>
      </w:r>
      <w:r w:rsidR="00CA41F5" w:rsidRPr="00CA41F5">
        <w:rPr>
          <w:rStyle w:val="Siln"/>
          <w:i/>
        </w:rPr>
        <w:t>na vlastní účet</w:t>
      </w:r>
      <w:r w:rsidR="00CA41F5" w:rsidRPr="00CA41F5">
        <w:rPr>
          <w:i/>
        </w:rPr>
        <w:t xml:space="preserve"> a </w:t>
      </w:r>
      <w:r w:rsidR="00CA41F5" w:rsidRPr="00CA41F5">
        <w:rPr>
          <w:rStyle w:val="Siln"/>
          <w:i/>
        </w:rPr>
        <w:t>odpovědnost</w:t>
      </w:r>
      <w:r w:rsidR="00CA41F5" w:rsidRPr="00CA41F5">
        <w:rPr>
          <w:i/>
        </w:rPr>
        <w:t xml:space="preserve"> výdělečnou činnost živnostenským nebo obdobným způsobem se záměrem činit tak </w:t>
      </w:r>
      <w:r w:rsidR="00CA41F5" w:rsidRPr="00CA41F5">
        <w:rPr>
          <w:rStyle w:val="Siln"/>
          <w:i/>
        </w:rPr>
        <w:t>soustavně za účelem dosažení zisku</w:t>
      </w:r>
      <w:r w:rsidR="00CA41F5" w:rsidRPr="00CA41F5">
        <w:rPr>
          <w:i/>
        </w:rPr>
        <w:t>.</w:t>
      </w:r>
      <w:r w:rsidR="00CA41F5" w:rsidRPr="00CA41F5">
        <w:rPr>
          <w:rStyle w:val="st"/>
          <w:i/>
        </w:rPr>
        <w:t>“</w:t>
      </w:r>
      <w:r w:rsidR="00CA41F5" w:rsidRPr="00CA41F5">
        <w:rPr>
          <w:rStyle w:val="Znakapoznpodarou"/>
          <w:i/>
        </w:rPr>
        <w:footnoteReference w:id="17"/>
      </w:r>
    </w:p>
    <w:p w14:paraId="4AA587A8" w14:textId="70B0656B" w:rsidR="003876C4" w:rsidRDefault="004C17C4" w:rsidP="008754FD">
      <w:pPr>
        <w:rPr>
          <w:rStyle w:val="st"/>
          <w:color w:val="000000" w:themeColor="text1"/>
        </w:rPr>
      </w:pPr>
      <w:r w:rsidRPr="003876C4">
        <w:rPr>
          <w:rStyle w:val="st"/>
          <w:b/>
          <w:color w:val="000000" w:themeColor="text1"/>
        </w:rPr>
        <w:t>Zaměstnanci:</w:t>
      </w:r>
      <w:r w:rsidRPr="003876C4">
        <w:rPr>
          <w:rStyle w:val="st"/>
          <w:color w:val="000000" w:themeColor="text1"/>
        </w:rPr>
        <w:t xml:space="preserve"> </w:t>
      </w:r>
      <w:r w:rsidR="007766F1" w:rsidRPr="003876C4">
        <w:rPr>
          <w:rStyle w:val="st"/>
          <w:color w:val="000000" w:themeColor="text1"/>
        </w:rPr>
        <w:t>Jsou to lidé, kteří pracují pod zaměstnavatelem za účelem</w:t>
      </w:r>
      <w:r w:rsidR="0021393F" w:rsidRPr="003876C4">
        <w:rPr>
          <w:rStyle w:val="st"/>
          <w:color w:val="000000" w:themeColor="text1"/>
        </w:rPr>
        <w:t xml:space="preserve"> získání </w:t>
      </w:r>
      <w:r w:rsidR="001D22C4" w:rsidRPr="003876C4">
        <w:rPr>
          <w:rStyle w:val="st"/>
          <w:color w:val="000000" w:themeColor="text1"/>
        </w:rPr>
        <w:t>odměny.</w:t>
      </w:r>
      <w:r w:rsidR="001D22C4" w:rsidRPr="008C1802">
        <w:rPr>
          <w:rStyle w:val="st"/>
          <w:color w:val="000000" w:themeColor="text1"/>
        </w:rPr>
        <w:t xml:space="preserve"> Odměna může být peněžního, nebo naturálního charakteru</w:t>
      </w:r>
      <w:r w:rsidR="008754FD">
        <w:rPr>
          <w:rStyle w:val="st"/>
          <w:color w:val="000000" w:themeColor="text1"/>
        </w:rPr>
        <w:t>.</w:t>
      </w:r>
    </w:p>
    <w:p w14:paraId="11CE4A67" w14:textId="44FE9AF4" w:rsidR="000D2D27" w:rsidRPr="000D2D27" w:rsidRDefault="003876C4" w:rsidP="008754FD">
      <w:pPr>
        <w:rPr>
          <w:rStyle w:val="st"/>
          <w:i/>
          <w:color w:val="000000" w:themeColor="text1"/>
        </w:rPr>
      </w:pPr>
      <w:r>
        <w:rPr>
          <w:rStyle w:val="st"/>
          <w:color w:val="000000" w:themeColor="text1"/>
        </w:rPr>
        <w:t xml:space="preserve">Do skupiny zaměstnanců </w:t>
      </w:r>
      <w:r w:rsidRPr="00261F80">
        <w:rPr>
          <w:rStyle w:val="st"/>
        </w:rPr>
        <w:t>patří</w:t>
      </w:r>
      <w:r w:rsidR="00261F80" w:rsidRPr="00261F80">
        <w:rPr>
          <w:rStyle w:val="st"/>
        </w:rPr>
        <w:t>:</w:t>
      </w:r>
    </w:p>
    <w:p w14:paraId="3455A0FE" w14:textId="74990CB4" w:rsidR="004C17C4" w:rsidRPr="00261F80" w:rsidRDefault="0021393F" w:rsidP="00261F80">
      <w:pPr>
        <w:pStyle w:val="Odstavecseseznamem"/>
        <w:numPr>
          <w:ilvl w:val="0"/>
          <w:numId w:val="24"/>
        </w:numPr>
        <w:rPr>
          <w:rStyle w:val="st"/>
          <w:i/>
          <w:color w:val="000000" w:themeColor="text1"/>
        </w:rPr>
      </w:pPr>
      <w:r w:rsidRPr="00261F80">
        <w:rPr>
          <w:rStyle w:val="st"/>
          <w:i/>
        </w:rPr>
        <w:t>„</w:t>
      </w:r>
      <w:r w:rsidR="000D2D27" w:rsidRPr="00261F80">
        <w:rPr>
          <w:rStyle w:val="st"/>
          <w:i/>
        </w:rPr>
        <w:t>placení pracující vlastníci, studující s právním kontraktem, kteří získávají odměnu</w:t>
      </w:r>
    </w:p>
    <w:p w14:paraId="77161270" w14:textId="784E72DA" w:rsidR="000D2D27" w:rsidRPr="00261F80" w:rsidRDefault="000D2D27" w:rsidP="00261F80">
      <w:pPr>
        <w:pStyle w:val="Odstavecseseznamem"/>
        <w:numPr>
          <w:ilvl w:val="0"/>
          <w:numId w:val="24"/>
        </w:numPr>
        <w:rPr>
          <w:rStyle w:val="st"/>
          <w:i/>
          <w:color w:val="000000" w:themeColor="text1"/>
        </w:rPr>
      </w:pPr>
      <w:r w:rsidRPr="00261F80">
        <w:rPr>
          <w:rStyle w:val="st"/>
          <w:i/>
        </w:rPr>
        <w:t>osoby zaměstnané s kontraktem uzavřeným v rámci politiky zaměstnanosti</w:t>
      </w:r>
    </w:p>
    <w:p w14:paraId="4C9F9C85" w14:textId="2A8289BA" w:rsidR="000D2D27" w:rsidRPr="00261F80" w:rsidRDefault="000D2D27" w:rsidP="00261F80">
      <w:pPr>
        <w:pStyle w:val="Odstavecseseznamem"/>
        <w:numPr>
          <w:ilvl w:val="0"/>
          <w:numId w:val="24"/>
        </w:numPr>
        <w:rPr>
          <w:rStyle w:val="st"/>
          <w:i/>
          <w:color w:val="000000" w:themeColor="text1"/>
        </w:rPr>
      </w:pPr>
      <w:r w:rsidRPr="00261F80">
        <w:rPr>
          <w:rStyle w:val="st"/>
          <w:i/>
        </w:rPr>
        <w:t>domácnosti, sezonní pracovníci</w:t>
      </w:r>
    </w:p>
    <w:p w14:paraId="67B682DB" w14:textId="77777777" w:rsidR="003876C4" w:rsidRPr="00261F80" w:rsidRDefault="003876C4" w:rsidP="00261F80">
      <w:pPr>
        <w:pStyle w:val="Odstavecseseznamem"/>
        <w:numPr>
          <w:ilvl w:val="0"/>
          <w:numId w:val="24"/>
        </w:numPr>
        <w:rPr>
          <w:rStyle w:val="st"/>
          <w:i/>
          <w:color w:val="000000" w:themeColor="text1"/>
        </w:rPr>
      </w:pPr>
      <w:r w:rsidRPr="00261F80">
        <w:rPr>
          <w:rStyle w:val="st"/>
          <w:i/>
        </w:rPr>
        <w:t>p</w:t>
      </w:r>
      <w:r w:rsidR="000D2D27" w:rsidRPr="00261F80">
        <w:rPr>
          <w:rStyle w:val="st"/>
          <w:i/>
        </w:rPr>
        <w:t>racovníci na částečný úvazek</w:t>
      </w:r>
    </w:p>
    <w:p w14:paraId="0C4ACCEB" w14:textId="717A10C0" w:rsidR="000D2D27" w:rsidRPr="00261F80" w:rsidRDefault="003876C4" w:rsidP="00261F80">
      <w:pPr>
        <w:pStyle w:val="Odstavecseseznamem"/>
        <w:numPr>
          <w:ilvl w:val="0"/>
          <w:numId w:val="24"/>
        </w:numPr>
        <w:rPr>
          <w:rStyle w:val="st"/>
          <w:i/>
          <w:color w:val="000000" w:themeColor="text1"/>
        </w:rPr>
      </w:pPr>
      <w:r w:rsidRPr="00261F80">
        <w:rPr>
          <w:rStyle w:val="st"/>
          <w:i/>
        </w:rPr>
        <w:t>stávkující osoby na krátkodobé dovolené</w:t>
      </w:r>
      <w:r w:rsidR="000D2D27" w:rsidRPr="00261F80">
        <w:rPr>
          <w:rStyle w:val="st"/>
          <w:i/>
        </w:rPr>
        <w:t>“</w:t>
      </w:r>
      <w:r>
        <w:rPr>
          <w:rStyle w:val="Znakapoznpodarou"/>
          <w:i/>
        </w:rPr>
        <w:footnoteReference w:id="18"/>
      </w:r>
    </w:p>
    <w:p w14:paraId="006613C7" w14:textId="705A8C09" w:rsidR="005A7CE3" w:rsidRPr="00C23F0B" w:rsidRDefault="003E77EE" w:rsidP="00C23F0B">
      <w:pPr>
        <w:pStyle w:val="Odstavecseseznamem"/>
        <w:numPr>
          <w:ilvl w:val="0"/>
          <w:numId w:val="23"/>
        </w:numPr>
        <w:spacing w:after="200" w:line="276" w:lineRule="auto"/>
        <w:jc w:val="left"/>
        <w:rPr>
          <w:b/>
        </w:rPr>
      </w:pPr>
      <w:r>
        <w:br w:type="page"/>
      </w:r>
      <w:r w:rsidR="005A7CE3" w:rsidRPr="00C23F0B">
        <w:rPr>
          <w:b/>
        </w:rPr>
        <w:lastRenderedPageBreak/>
        <w:t>Nezaměstnané osoby</w:t>
      </w:r>
    </w:p>
    <w:p w14:paraId="0385A2E9" w14:textId="6E2D5D09" w:rsidR="00C548EE" w:rsidRPr="00F86EA3" w:rsidRDefault="00C44D8F" w:rsidP="00C548EE">
      <w:pPr>
        <w:rPr>
          <w:color w:val="000000" w:themeColor="text1"/>
        </w:rPr>
      </w:pPr>
      <w:r w:rsidRPr="00F86EA3">
        <w:rPr>
          <w:color w:val="000000" w:themeColor="text1"/>
        </w:rPr>
        <w:t>N</w:t>
      </w:r>
      <w:r w:rsidR="00C548EE" w:rsidRPr="00F86EA3">
        <w:rPr>
          <w:color w:val="000000" w:themeColor="text1"/>
        </w:rPr>
        <w:t>ezaměstnané osoby podle organizace ILO jsou charakteristické těmito znaky:</w:t>
      </w:r>
    </w:p>
    <w:p w14:paraId="08F0956B" w14:textId="3C22F19D" w:rsidR="00C548EE" w:rsidRPr="00F86EA3" w:rsidRDefault="00C548EE" w:rsidP="00C07C0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F86EA3">
        <w:rPr>
          <w:color w:val="000000" w:themeColor="text1"/>
        </w:rPr>
        <w:t xml:space="preserve">Nemají žádné </w:t>
      </w:r>
      <w:proofErr w:type="spellStart"/>
      <w:r w:rsidR="00083A5A" w:rsidRPr="00F86EA3">
        <w:rPr>
          <w:color w:val="000000" w:themeColor="text1"/>
        </w:rPr>
        <w:t>sebezaměstnání</w:t>
      </w:r>
      <w:proofErr w:type="spellEnd"/>
      <w:r w:rsidR="00083A5A" w:rsidRPr="00F86EA3">
        <w:rPr>
          <w:color w:val="000000" w:themeColor="text1"/>
        </w:rPr>
        <w:t>, nebo zaměstnání.</w:t>
      </w:r>
    </w:p>
    <w:p w14:paraId="4A082FB8" w14:textId="59E39DD0" w:rsidR="00083A5A" w:rsidRPr="0025536B" w:rsidRDefault="00C548EE" w:rsidP="00C07C0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25536B">
        <w:rPr>
          <w:color w:val="000000" w:themeColor="text1"/>
        </w:rPr>
        <w:t>Jedinec si ak</w:t>
      </w:r>
      <w:r w:rsidR="00083A5A" w:rsidRPr="0025536B">
        <w:rPr>
          <w:color w:val="000000" w:themeColor="text1"/>
        </w:rPr>
        <w:t xml:space="preserve">tivně </w:t>
      </w:r>
      <w:r w:rsidR="00083A5A" w:rsidRPr="00261F80">
        <w:rPr>
          <w:color w:val="000000" w:themeColor="text1"/>
        </w:rPr>
        <w:t>hledá práci</w:t>
      </w:r>
      <w:r w:rsidR="005772C7" w:rsidRPr="00261F80">
        <w:rPr>
          <w:color w:val="000000" w:themeColor="text1"/>
        </w:rPr>
        <w:t>.</w:t>
      </w:r>
      <w:r w:rsidR="0025536B" w:rsidRPr="00261F80">
        <w:rPr>
          <w:color w:val="000000" w:themeColor="text1"/>
        </w:rPr>
        <w:t xml:space="preserve"> (</w:t>
      </w:r>
      <w:r w:rsidR="00261F80" w:rsidRPr="00261F80">
        <w:rPr>
          <w:color w:val="000000" w:themeColor="text1"/>
        </w:rPr>
        <w:t xml:space="preserve">je </w:t>
      </w:r>
      <w:r w:rsidR="0025536B" w:rsidRPr="00261F80">
        <w:rPr>
          <w:color w:val="000000" w:themeColor="text1"/>
        </w:rPr>
        <w:t>registrovaný na úřadu práce).</w:t>
      </w:r>
    </w:p>
    <w:p w14:paraId="239BE004" w14:textId="45A03229" w:rsidR="00083A5A" w:rsidRPr="00F86EA3" w:rsidRDefault="00083A5A" w:rsidP="00C07C0B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F86EA3">
        <w:rPr>
          <w:color w:val="000000" w:themeColor="text1"/>
        </w:rPr>
        <w:t xml:space="preserve">Jedinec musí v krátké době (krátkodobou rozumíme 14 dnů) nastoupit do nového zaměstnání, případně do nového </w:t>
      </w:r>
      <w:proofErr w:type="spellStart"/>
      <w:r w:rsidRPr="00F86EA3">
        <w:rPr>
          <w:color w:val="000000" w:themeColor="text1"/>
        </w:rPr>
        <w:t>sebezaměstnání</w:t>
      </w:r>
      <w:proofErr w:type="spellEnd"/>
      <w:r w:rsidR="005772C7">
        <w:rPr>
          <w:color w:val="000000" w:themeColor="text1"/>
        </w:rPr>
        <w:t>.</w:t>
      </w:r>
    </w:p>
    <w:p w14:paraId="16EA5937" w14:textId="67EA8E48" w:rsidR="002071F0" w:rsidRDefault="00083A5A" w:rsidP="002071F0">
      <w:pPr>
        <w:spacing w:after="360"/>
        <w:rPr>
          <w:color w:val="000000" w:themeColor="text1"/>
        </w:rPr>
      </w:pPr>
      <w:r w:rsidRPr="00F86EA3">
        <w:rPr>
          <w:color w:val="000000" w:themeColor="text1"/>
        </w:rPr>
        <w:t xml:space="preserve">Pokud by nezaměstnaná osoba nesplnila jednu ze tří podmínek, </w:t>
      </w:r>
      <w:r w:rsidR="00041B4C" w:rsidRPr="00041B4C">
        <w:rPr>
          <w:color w:val="000000" w:themeColor="text1"/>
        </w:rPr>
        <w:t>lze jí označit</w:t>
      </w:r>
      <w:r w:rsidRPr="00041B4C">
        <w:rPr>
          <w:color w:val="000000" w:themeColor="text1"/>
        </w:rPr>
        <w:t xml:space="preserve"> </w:t>
      </w:r>
      <w:r w:rsidRPr="00F86EA3">
        <w:rPr>
          <w:color w:val="000000" w:themeColor="text1"/>
        </w:rPr>
        <w:t>jako z</w:t>
      </w:r>
      <w:r w:rsidR="00DC0C72" w:rsidRPr="00F86EA3">
        <w:rPr>
          <w:color w:val="000000" w:themeColor="text1"/>
        </w:rPr>
        <w:t>aměstnanou</w:t>
      </w:r>
      <w:r w:rsidR="00F139D1">
        <w:rPr>
          <w:color w:val="000000" w:themeColor="text1"/>
        </w:rPr>
        <w:t>,</w:t>
      </w:r>
      <w:r w:rsidR="00DC0C72" w:rsidRPr="00F86EA3">
        <w:rPr>
          <w:color w:val="000000" w:themeColor="text1"/>
        </w:rPr>
        <w:t xml:space="preserve"> případně jako osobu ekonomicky neaktivní. Nezaměstnané osoby jsou registrované na úřadu práce, které pomáhají jedinci najít vhodnou pracovní příleži</w:t>
      </w:r>
      <w:r w:rsidR="008F2F34">
        <w:rPr>
          <w:color w:val="000000" w:themeColor="text1"/>
        </w:rPr>
        <w:t xml:space="preserve">tost. Tyto osoby jsou označované </w:t>
      </w:r>
      <w:r w:rsidR="00DC0C72" w:rsidRPr="00F86EA3">
        <w:rPr>
          <w:color w:val="000000" w:themeColor="text1"/>
        </w:rPr>
        <w:t xml:space="preserve">jako osoby registrované nezaměstnané. Druhou skupinou nezaměstnaných osob jsou osoby, které nejsou registrované na úřadu práce. Tyto osoby </w:t>
      </w:r>
      <w:r w:rsidR="006C11FB" w:rsidRPr="00F51160">
        <w:rPr>
          <w:color w:val="000000" w:themeColor="text1"/>
        </w:rPr>
        <w:t xml:space="preserve">lze </w:t>
      </w:r>
      <w:r w:rsidR="006C11FB" w:rsidRPr="006C11FB">
        <w:rPr>
          <w:color w:val="000000" w:themeColor="text1"/>
        </w:rPr>
        <w:t>označit</w:t>
      </w:r>
      <w:r w:rsidR="00DC0C72" w:rsidRPr="006C11FB">
        <w:rPr>
          <w:color w:val="000000" w:themeColor="text1"/>
        </w:rPr>
        <w:t xml:space="preserve">, </w:t>
      </w:r>
      <w:r w:rsidR="00DC0C72" w:rsidRPr="00F86EA3">
        <w:rPr>
          <w:color w:val="000000" w:themeColor="text1"/>
        </w:rPr>
        <w:t xml:space="preserve">jako neregistrované nezaměstnané. Neregistrovaní nezaměstnaní však také hledají nové zaměstnání, ale </w:t>
      </w:r>
      <w:r w:rsidR="00916F22">
        <w:rPr>
          <w:color w:val="000000" w:themeColor="text1"/>
        </w:rPr>
        <w:t>bez využití pomoci úřadu práce.</w:t>
      </w:r>
      <w:r w:rsidR="00916F22">
        <w:rPr>
          <w:rStyle w:val="Znakapoznpodarou"/>
          <w:color w:val="000000" w:themeColor="text1"/>
        </w:rPr>
        <w:footnoteReference w:id="19"/>
      </w:r>
    </w:p>
    <w:p w14:paraId="56A13FE3" w14:textId="7F470F8D" w:rsidR="00583D78" w:rsidRPr="004D0B2E" w:rsidRDefault="00583D78" w:rsidP="004D0B2E">
      <w:pPr>
        <w:pStyle w:val="Odstavecseseznamem"/>
        <w:numPr>
          <w:ilvl w:val="0"/>
          <w:numId w:val="23"/>
        </w:numPr>
        <w:spacing w:after="120"/>
        <w:rPr>
          <w:b/>
        </w:rPr>
      </w:pPr>
      <w:r w:rsidRPr="004D0B2E">
        <w:rPr>
          <w:b/>
        </w:rPr>
        <w:t>Ek</w:t>
      </w:r>
      <w:r w:rsidR="002071F0" w:rsidRPr="004D0B2E">
        <w:rPr>
          <w:b/>
        </w:rPr>
        <w:t>onomicky neaktivní obyvatelstvo</w:t>
      </w:r>
    </w:p>
    <w:p w14:paraId="17BA7DE8" w14:textId="56F6B966" w:rsidR="005A7CE3" w:rsidRPr="00A54DF8" w:rsidRDefault="00A87A99" w:rsidP="00A54DF8">
      <w:pPr>
        <w:rPr>
          <w:vertAlign w:val="superscript"/>
        </w:rPr>
      </w:pPr>
      <w:r w:rsidRPr="009050E7">
        <w:t xml:space="preserve">Ekonomicky neaktivní obyvatelé jsou jedinci, kteří </w:t>
      </w:r>
      <w:r w:rsidR="00D52C01">
        <w:t xml:space="preserve">nemají </w:t>
      </w:r>
      <w:r w:rsidR="005E31C7" w:rsidRPr="009050E7">
        <w:t>žádnou ekonomickou aktivitu vzhledem k hledání práce</w:t>
      </w:r>
      <w:r w:rsidR="009050E7" w:rsidRPr="009050E7">
        <w:t xml:space="preserve">. </w:t>
      </w:r>
      <w:r w:rsidRPr="009050E7">
        <w:t xml:space="preserve">U </w:t>
      </w:r>
      <w:r w:rsidR="008F2F34">
        <w:t>ekonomicky</w:t>
      </w:r>
      <w:r w:rsidRPr="009050E7">
        <w:t xml:space="preserve"> neaktivních obyv</w:t>
      </w:r>
      <w:r w:rsidR="00BE40C4" w:rsidRPr="009050E7">
        <w:t xml:space="preserve">atel nezáleží na věku jedince. </w:t>
      </w:r>
      <w:r w:rsidR="005E31C7" w:rsidRPr="008F2F34">
        <w:rPr>
          <w:color w:val="000000" w:themeColor="text1"/>
        </w:rPr>
        <w:t xml:space="preserve">Ekonomicky neaktivní </w:t>
      </w:r>
      <w:r w:rsidR="008F2F34" w:rsidRPr="008F2F34">
        <w:rPr>
          <w:color w:val="000000" w:themeColor="text1"/>
        </w:rPr>
        <w:t xml:space="preserve">obyvatelé </w:t>
      </w:r>
      <w:proofErr w:type="gramStart"/>
      <w:r w:rsidR="00CA73DD" w:rsidRPr="008F2F34">
        <w:rPr>
          <w:color w:val="000000" w:themeColor="text1"/>
        </w:rPr>
        <w:t>lze</w:t>
      </w:r>
      <w:proofErr w:type="gramEnd"/>
      <w:r w:rsidR="005E31C7" w:rsidRPr="008F2F34">
        <w:rPr>
          <w:color w:val="000000" w:themeColor="text1"/>
        </w:rPr>
        <w:t xml:space="preserve"> </w:t>
      </w:r>
      <w:r w:rsidR="005E31C7" w:rsidRPr="008F2F34">
        <w:t>dělit podle subjektivních a objektivních příčin.</w:t>
      </w:r>
      <w:r w:rsidR="005E31C7" w:rsidRPr="009050E7">
        <w:t xml:space="preserve"> </w:t>
      </w:r>
      <w:r w:rsidR="00B306C2" w:rsidRPr="009050E7">
        <w:t>Do sku</w:t>
      </w:r>
      <w:r w:rsidR="00CA73DD">
        <w:t>piny se subjektivními příčinami lze zařadit</w:t>
      </w:r>
      <w:r w:rsidR="00B306C2" w:rsidRPr="009050E7">
        <w:t xml:space="preserve"> </w:t>
      </w:r>
      <w:r w:rsidR="00EA0D43" w:rsidRPr="009050E7">
        <w:t>osoby, které jsou v domácnostech i osoby, kte</w:t>
      </w:r>
      <w:r w:rsidR="009050E7" w:rsidRPr="009050E7">
        <w:t>ré dobrovolně nechtějí pracovat.</w:t>
      </w:r>
      <w:r w:rsidR="00F14650" w:rsidRPr="009050E7">
        <w:t xml:space="preserve"> </w:t>
      </w:r>
      <w:r w:rsidR="00B306C2" w:rsidRPr="009050E7">
        <w:t xml:space="preserve">Do skupiny s objektivními </w:t>
      </w:r>
      <w:r w:rsidR="00B306C2" w:rsidRPr="006C11FB">
        <w:rPr>
          <w:color w:val="000000" w:themeColor="text1"/>
        </w:rPr>
        <w:t xml:space="preserve">příčinami </w:t>
      </w:r>
      <w:r w:rsidR="006C11FB" w:rsidRPr="006C11FB">
        <w:rPr>
          <w:color w:val="000000" w:themeColor="text1"/>
        </w:rPr>
        <w:t>lze zahrnout</w:t>
      </w:r>
      <w:r w:rsidR="00EA0D43" w:rsidRPr="006C11FB">
        <w:rPr>
          <w:color w:val="000000" w:themeColor="text1"/>
        </w:rPr>
        <w:t xml:space="preserve"> </w:t>
      </w:r>
      <w:r w:rsidR="00EA0D43" w:rsidRPr="009050E7">
        <w:t xml:space="preserve">děti, </w:t>
      </w:r>
      <w:r w:rsidR="001B0B59" w:rsidRPr="009050E7">
        <w:t>případně studenty, ale také osoby, které pobírají důchod</w:t>
      </w:r>
      <w:r w:rsidR="00B306C2" w:rsidRPr="009050E7">
        <w:t>,</w:t>
      </w:r>
      <w:r w:rsidR="001B0B59" w:rsidRPr="009050E7">
        <w:t xml:space="preserve"> a osob</w:t>
      </w:r>
      <w:r w:rsidR="00B306C2" w:rsidRPr="009050E7">
        <w:t>y, které jsou dlouhodobě nemocné</w:t>
      </w:r>
      <w:r w:rsidR="00916F22">
        <w:t>.</w:t>
      </w:r>
      <w:r w:rsidR="00916F22">
        <w:rPr>
          <w:rStyle w:val="Znakapoznpodarou"/>
        </w:rPr>
        <w:footnoteReference w:id="20"/>
      </w:r>
      <w:r w:rsidR="00A54DF8">
        <w:rPr>
          <w:vertAlign w:val="superscript"/>
        </w:rPr>
        <w:t xml:space="preserve"> </w:t>
      </w:r>
      <w:r w:rsidR="00B306C2">
        <w:t>Všechny výše uvedené skupiny ma</w:t>
      </w:r>
      <w:r w:rsidR="00F51160">
        <w:t xml:space="preserve">jí své zastoupení na trhu práce </w:t>
      </w:r>
      <w:r w:rsidR="00B306C2">
        <w:t>v Olomouckém i Středočeském kraji.</w:t>
      </w:r>
    </w:p>
    <w:p w14:paraId="5A779423" w14:textId="5F9972E4" w:rsidR="00A54DF8" w:rsidRDefault="00A54DF8">
      <w:pPr>
        <w:spacing w:after="200" w:line="276" w:lineRule="auto"/>
        <w:ind w:firstLine="0"/>
        <w:jc w:val="left"/>
      </w:pPr>
      <w:r>
        <w:br w:type="page"/>
      </w:r>
    </w:p>
    <w:p w14:paraId="2CB194C2" w14:textId="0F7679FD" w:rsidR="0056237C" w:rsidRDefault="0056237C" w:rsidP="00DC2557">
      <w:pPr>
        <w:pStyle w:val="Nadpis3"/>
      </w:pPr>
      <w:bookmarkStart w:id="8" w:name="_Toc15889380"/>
      <w:r>
        <w:lastRenderedPageBreak/>
        <w:t>Ukazatelé trhu práce</w:t>
      </w:r>
      <w:bookmarkEnd w:id="8"/>
    </w:p>
    <w:p w14:paraId="798E12E3" w14:textId="4E777E0D" w:rsidR="00794317" w:rsidRPr="00916168" w:rsidRDefault="00B306C2" w:rsidP="0043518D">
      <w:pPr>
        <w:spacing w:after="240"/>
        <w:rPr>
          <w:color w:val="000000" w:themeColor="text1"/>
        </w:rPr>
      </w:pPr>
      <w:r w:rsidRPr="00916168">
        <w:rPr>
          <w:color w:val="000000" w:themeColor="text1"/>
        </w:rPr>
        <w:t xml:space="preserve">Na trhu práce lze sledovat několik ukazatelů. </w:t>
      </w:r>
      <w:r w:rsidR="00916168">
        <w:rPr>
          <w:color w:val="000000" w:themeColor="text1"/>
        </w:rPr>
        <w:t>Následující ukazatele js</w:t>
      </w:r>
      <w:r w:rsidR="008754FD">
        <w:rPr>
          <w:color w:val="000000" w:themeColor="text1"/>
        </w:rPr>
        <w:t>ou zmíněny v další podkapitole.</w:t>
      </w:r>
    </w:p>
    <w:p w14:paraId="33A491AC" w14:textId="50B25D6A" w:rsidR="0056237C" w:rsidRPr="00B3784B" w:rsidRDefault="0056237C" w:rsidP="00B92FBB">
      <w:pPr>
        <w:pStyle w:val="Nadpis4"/>
        <w:numPr>
          <w:ilvl w:val="0"/>
          <w:numId w:val="0"/>
        </w:numPr>
      </w:pPr>
      <w:r w:rsidRPr="00B3784B">
        <w:t>Výpočet ekonomické aktivity obyvatel</w:t>
      </w:r>
    </w:p>
    <w:p w14:paraId="4B7539FE" w14:textId="4C160BE9" w:rsidR="0056237C" w:rsidRDefault="0056237C" w:rsidP="001B0B59">
      <w:r>
        <w:t>Výpočet ekonomicky aktivních obyvatel je vyjádř</w:t>
      </w:r>
      <w:r w:rsidR="00A95B9B">
        <w:t xml:space="preserve">en </w:t>
      </w:r>
      <w:r w:rsidR="006C11FB">
        <w:t>vzorcem</w:t>
      </w:r>
      <w:r w:rsidR="006C11FB" w:rsidRPr="006C11FB">
        <w:rPr>
          <w:color w:val="000000" w:themeColor="text1"/>
        </w:rPr>
        <w:t>.</w:t>
      </w:r>
      <w:r w:rsidR="006C11FB">
        <w:t xml:space="preserve"> </w:t>
      </w:r>
      <w:r w:rsidR="00A95B9B">
        <w:t>Do čitat</w:t>
      </w:r>
      <w:r w:rsidR="00A95B9B" w:rsidRPr="00A43A9B">
        <w:rPr>
          <w:color w:val="000000" w:themeColor="text1"/>
        </w:rPr>
        <w:t>ele</w:t>
      </w:r>
      <w:r w:rsidR="00A43A9B" w:rsidRPr="00A43A9B">
        <w:rPr>
          <w:color w:val="000000" w:themeColor="text1"/>
        </w:rPr>
        <w:t xml:space="preserve"> je zahrnut počet aktivního obyvatelstva</w:t>
      </w:r>
      <w:r w:rsidR="0090286D" w:rsidRPr="00A43A9B">
        <w:rPr>
          <w:color w:val="000000" w:themeColor="text1"/>
        </w:rPr>
        <w:t xml:space="preserve">, </w:t>
      </w:r>
      <w:r w:rsidR="0090286D">
        <w:t>které značíme ukazatelem</w:t>
      </w:r>
      <w:r>
        <w:t xml:space="preserve"> </w:t>
      </w:r>
      <w:r w:rsidRPr="00D6745D">
        <w:rPr>
          <w:i/>
        </w:rPr>
        <w:t>A</w:t>
      </w:r>
      <w:r w:rsidRPr="00D6745D">
        <w:rPr>
          <w:i/>
          <w:vertAlign w:val="subscript"/>
        </w:rPr>
        <w:t>t</w:t>
      </w:r>
      <w:r>
        <w:t xml:space="preserve">. Ve </w:t>
      </w:r>
      <w:r w:rsidRPr="0090286D">
        <w:t>jme</w:t>
      </w:r>
      <w:r w:rsidRPr="00E412EC">
        <w:t>nova</w:t>
      </w:r>
      <w:r w:rsidR="00B306C2" w:rsidRPr="00E412EC">
        <w:t>te</w:t>
      </w:r>
      <w:r w:rsidRPr="00E412EC">
        <w:t>li</w:t>
      </w:r>
      <w:r>
        <w:t xml:space="preserve"> zlomku jsou všichni občané dané země, případně daného regionu. Jmenovatel zlomku označujeme </w:t>
      </w:r>
      <w:r w:rsidR="0090286D">
        <w:t>ukazatelem</w:t>
      </w:r>
      <w:r>
        <w:t xml:space="preserve"> </w:t>
      </w:r>
      <w:r w:rsidRPr="00D6745D">
        <w:rPr>
          <w:i/>
        </w:rPr>
        <w:t>F</w:t>
      </w:r>
      <w:r w:rsidRPr="00D6745D">
        <w:rPr>
          <w:i/>
          <w:vertAlign w:val="subscript"/>
        </w:rPr>
        <w:t>t</w:t>
      </w:r>
      <w:r>
        <w:rPr>
          <w:vertAlign w:val="subscript"/>
        </w:rPr>
        <w:t xml:space="preserve">. </w:t>
      </w:r>
      <w:r>
        <w:t xml:space="preserve">U ukazatelů </w:t>
      </w:r>
      <w:r w:rsidRPr="00D6745D">
        <w:rPr>
          <w:i/>
        </w:rPr>
        <w:t>A</w:t>
      </w:r>
      <w:r w:rsidRPr="00D6745D">
        <w:rPr>
          <w:i/>
          <w:vertAlign w:val="subscript"/>
        </w:rPr>
        <w:t>t</w:t>
      </w:r>
      <w:r>
        <w:t xml:space="preserve"> i </w:t>
      </w:r>
      <w:r w:rsidRPr="00D6745D">
        <w:rPr>
          <w:i/>
        </w:rPr>
        <w:t>F</w:t>
      </w:r>
      <w:r w:rsidRPr="00D6745D">
        <w:rPr>
          <w:i/>
          <w:vertAlign w:val="subscript"/>
        </w:rPr>
        <w:t>t</w:t>
      </w:r>
      <w:r>
        <w:t xml:space="preserve"> je </w:t>
      </w:r>
      <w:r w:rsidR="0090286D">
        <w:t xml:space="preserve">písmeno </w:t>
      </w:r>
      <w:r w:rsidR="0090286D" w:rsidRPr="00D6745D">
        <w:rPr>
          <w:i/>
        </w:rPr>
        <w:t>t</w:t>
      </w:r>
      <w:r w:rsidR="0090286D">
        <w:t xml:space="preserve">, protože tento </w:t>
      </w:r>
      <w:r w:rsidR="0090286D" w:rsidRPr="00D66DF9">
        <w:rPr>
          <w:color w:val="000000" w:themeColor="text1"/>
        </w:rPr>
        <w:t xml:space="preserve">indikátor </w:t>
      </w:r>
      <w:r w:rsidRPr="00D66DF9">
        <w:rPr>
          <w:color w:val="000000" w:themeColor="text1"/>
        </w:rPr>
        <w:t>nám ukazuje, že je výpočet ekonomicky aktivních obyvatel řešen k určitému datu. Datem</w:t>
      </w:r>
      <w:r w:rsidR="00D66DF9" w:rsidRPr="00D66DF9">
        <w:rPr>
          <w:color w:val="000000" w:themeColor="text1"/>
        </w:rPr>
        <w:t xml:space="preserve"> lze</w:t>
      </w:r>
      <w:r w:rsidRPr="00D66DF9">
        <w:rPr>
          <w:color w:val="000000" w:themeColor="text1"/>
        </w:rPr>
        <w:t xml:space="preserve"> rozumět </w:t>
      </w:r>
      <w:r>
        <w:t>třeba konec měsíce.</w:t>
      </w:r>
      <w:r w:rsidR="008D5921">
        <w:rPr>
          <w:rStyle w:val="Znakapoznpodarou"/>
        </w:rPr>
        <w:footnoteReference w:id="21"/>
      </w:r>
    </w:p>
    <w:p w14:paraId="59E3AFEC" w14:textId="394500C6" w:rsidR="004F53BF" w:rsidRPr="006C11FB" w:rsidRDefault="00C512A0" w:rsidP="004F53BF">
      <w:pPr>
        <w:rPr>
          <w:i/>
          <w:sz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</m:oMath>
      </m:oMathPara>
    </w:p>
    <w:p w14:paraId="584AD585" w14:textId="273B7835" w:rsidR="00AA586D" w:rsidRPr="004F53BF" w:rsidRDefault="00E349A4" w:rsidP="00B92FBB">
      <w:pPr>
        <w:spacing w:after="360"/>
        <w:ind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EB248E" wp14:editId="43430BBF">
                <wp:simplePos x="0" y="0"/>
                <wp:positionH relativeFrom="column">
                  <wp:posOffset>6350</wp:posOffset>
                </wp:positionH>
                <wp:positionV relativeFrom="paragraph">
                  <wp:posOffset>-60325</wp:posOffset>
                </wp:positionV>
                <wp:extent cx="5190490" cy="379730"/>
                <wp:effectExtent l="0" t="0" r="0" b="1270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90" cy="3797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A026FA" w14:textId="326F3FDD" w:rsidR="00A613C0" w:rsidRPr="00F01F1C" w:rsidRDefault="00A613C0" w:rsidP="00F01F1C">
                            <w:pPr>
                              <w:pStyle w:val="Titulek"/>
                              <w:spacing w:after="0" w:line="360" w:lineRule="auto"/>
                              <w:ind w:firstLine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bookmarkStart w:id="9" w:name="_Toc15639786"/>
                            <w:r w:rsidRPr="00F01F1C">
                              <w:rPr>
                                <w:color w:val="000000" w:themeColor="text1"/>
                                <w:sz w:val="20"/>
                              </w:rPr>
                              <w:t xml:space="preserve">Vzorec </w:t>
                            </w:r>
                            <w:r w:rsidRPr="00F01F1C">
                              <w:rPr>
                                <w:color w:val="000000" w:themeColor="text1"/>
                                <w:sz w:val="20"/>
                              </w:rPr>
                              <w:fldChar w:fldCharType="begin"/>
                            </w:r>
                            <w:r w:rsidRPr="00F01F1C">
                              <w:rPr>
                                <w:color w:val="000000" w:themeColor="text1"/>
                                <w:sz w:val="20"/>
                              </w:rPr>
                              <w:instrText xml:space="preserve"> SEQ Vzorec \* ARABIC </w:instrText>
                            </w:r>
                            <w:r w:rsidRPr="00F01F1C">
                              <w:rPr>
                                <w:color w:val="000000" w:themeColor="text1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F01F1C">
                              <w:rPr>
                                <w:color w:val="000000" w:themeColor="text1"/>
                                <w:sz w:val="20"/>
                              </w:rPr>
                              <w:fldChar w:fldCharType="end"/>
                            </w:r>
                            <w:r w:rsidRPr="00F01F1C">
                              <w:rPr>
                                <w:color w:val="000000" w:themeColor="text1"/>
                                <w:sz w:val="20"/>
                              </w:rPr>
                              <w:t xml:space="preserve"> ekonomická aktivita obyvatelstva</w:t>
                            </w:r>
                            <w:bookmarkEnd w:id="9"/>
                          </w:p>
                          <w:p w14:paraId="70F1C398" w14:textId="7E2681BD" w:rsidR="00A613C0" w:rsidRPr="008D5921" w:rsidRDefault="00A613C0" w:rsidP="00E349A4">
                            <w:pPr>
                              <w:ind w:firstLine="0"/>
                            </w:pPr>
                            <w:r w:rsidRPr="00F01F1C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Zdroj: Makroekonomická analýza teorie a praxe, 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Rojíček</w:t>
                            </w:r>
                            <w:proofErr w:type="spellEnd"/>
                            <w:r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>, V.</w:t>
                            </w:r>
                            <w:r w:rsidRPr="00E349A4">
                              <w:rPr>
                                <w:i/>
                                <w:color w:val="000000" w:themeColor="text1"/>
                                <w:sz w:val="20"/>
                              </w:rPr>
                              <w:t xml:space="preserve"> Spěváček a kolektiv</w:t>
                            </w:r>
                            <w:r w:rsidRPr="00F01F1C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, s. 227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5" o:spid="_x0000_s1027" type="#_x0000_t202" style="position:absolute;left:0;text-align:left;margin-left:.5pt;margin-top:-4.75pt;width:408.7pt;height:29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3hQgIAAHwEAAAOAAAAZHJzL2Uyb0RvYy54bWysVEtu2zAQ3RfoHQjuG9lJ0zSG5cBNkKJA&#10;kARwiqxpirIIUByWpC2lN+o5erE8UpbTpl0V3VDDmeF83pvR/KJvDdspHzTZkk+PJpwpK6nSdlPy&#10;rw/X7z5yFqKwlTBkVcmfVOAXi7dv5p2bqWNqyFTKMwSxYda5kjcxullRBNmoVoQjcsrCWJNvRcTV&#10;b4rKiw7RW1McTyYfio585TxJFQK0V4ORL3L8ulYy3tV1UJGZkqO2mE+fz3U6i8VczDZeuEbLfRni&#10;H6pohbZIegh1JaJgW6//CNVq6SlQHY8ktQXVtZYq94BuppNX3awa4VTuBeAEd4Ap/L+w8nZ375mu&#10;Sn56ypkVLTh6UH2k3c8fzJFRDHqA1Lkwg+/KwTv2n6gH2aM+QJl672vfpi+6YrAD7qcDxAjJJJSn&#10;0/PJ+3OYJGwnZ+dnJ5mD4uW18yF+VtSyJJTcg8KMrNjdhIhK4Dq6pGSBjK6utTHpkgyXxrOdAN1d&#10;o6NKNeLFb17GJl9L6dVgHjQqz8s+S2p4aCxJsV/3GaVD02uqnoCFp2GkgpPXGtlvRIj3wmOG0CP2&#10;It7hqA11Jae9xFlD/vvf9Mkf1MLKWYeZLHn4thVecWa+WJCeBngU/CisR8Fu20tC31NsnJNZxAMf&#10;zSjWntpHrMsyZYFJWIlcJY+jeBmHzcC6SbVcZieMqRPxxq6cTKFHlB/6R+HdnqMIdm9pnFYxe0XV&#10;4DtgvtxGqnXmMeE6oAiK0gUjnsnar2PaoV/v2evlp7F4BgAA//8DAFBLAwQUAAYACAAAACEAxn/v&#10;pd0AAAAHAQAADwAAAGRycy9kb3ducmV2LnhtbEyPQU/CQBSE7yb+h80z8WJgCwqptVuiIDc9gITz&#10;0n22jd23ze6Wln/v46THyUxmvslXo23FGX1oHCmYTRMQSKUzDVUKDl/bSQoiRE1Gt45QwQUDrIrb&#10;m1xnxg20w/M+VoJLKGRaQR1jl0kZyhqtDlPXIbH37bzVkaWvpPF64HLbynmSLKXVDfFCrTtc11j+&#10;7HurYLnx/bCj9cPm8P6hP7tqfny7HJW6vxtfX0BEHONfGK74jA4FM51cTyaIljU/iQomzwsQbKez&#10;9AnEScEieQRZ5PI/f/ELAAD//wMAUEsBAi0AFAAGAAgAAAAhALaDOJL+AAAA4QEAABMAAAAAAAAA&#10;AAAAAAAAAAAAAFtDb250ZW50X1R5cGVzXS54bWxQSwECLQAUAAYACAAAACEAOP0h/9YAAACUAQAA&#10;CwAAAAAAAAAAAAAAAAAvAQAAX3JlbHMvLnJlbHNQSwECLQAUAAYACAAAACEAxUBt4UICAAB8BAAA&#10;DgAAAAAAAAAAAAAAAAAuAgAAZHJzL2Uyb0RvYy54bWxQSwECLQAUAAYACAAAACEAxn/vpd0AAAAH&#10;AQAADwAAAAAAAAAAAAAAAACcBAAAZHJzL2Rvd25yZXYueG1sUEsFBgAAAAAEAAQA8wAAAKYFAAAA&#10;AA==&#10;" stroked="f">
                <v:textbox inset="0,0,0,0">
                  <w:txbxContent>
                    <w:p w14:paraId="3AA026FA" w14:textId="326F3FDD" w:rsidR="00A613C0" w:rsidRPr="00F01F1C" w:rsidRDefault="00A613C0" w:rsidP="00F01F1C">
                      <w:pPr>
                        <w:pStyle w:val="Titulek"/>
                        <w:spacing w:after="0" w:line="360" w:lineRule="auto"/>
                        <w:ind w:firstLine="0"/>
                        <w:rPr>
                          <w:color w:val="000000" w:themeColor="text1"/>
                          <w:sz w:val="20"/>
                        </w:rPr>
                      </w:pPr>
                      <w:bookmarkStart w:id="10" w:name="_Toc15639786"/>
                      <w:r w:rsidRPr="00F01F1C">
                        <w:rPr>
                          <w:color w:val="000000" w:themeColor="text1"/>
                          <w:sz w:val="20"/>
                        </w:rPr>
                        <w:t xml:space="preserve">Vzorec </w:t>
                      </w:r>
                      <w:r w:rsidRPr="00F01F1C">
                        <w:rPr>
                          <w:color w:val="000000" w:themeColor="text1"/>
                          <w:sz w:val="20"/>
                        </w:rPr>
                        <w:fldChar w:fldCharType="begin"/>
                      </w:r>
                      <w:r w:rsidRPr="00F01F1C">
                        <w:rPr>
                          <w:color w:val="000000" w:themeColor="text1"/>
                          <w:sz w:val="20"/>
                        </w:rPr>
                        <w:instrText xml:space="preserve"> SEQ Vzorec \* ARABIC </w:instrText>
                      </w:r>
                      <w:r w:rsidRPr="00F01F1C">
                        <w:rPr>
                          <w:color w:val="000000" w:themeColor="text1"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color w:val="000000" w:themeColor="text1"/>
                          <w:sz w:val="20"/>
                        </w:rPr>
                        <w:t>1</w:t>
                      </w:r>
                      <w:r w:rsidRPr="00F01F1C">
                        <w:rPr>
                          <w:color w:val="000000" w:themeColor="text1"/>
                          <w:sz w:val="20"/>
                        </w:rPr>
                        <w:fldChar w:fldCharType="end"/>
                      </w:r>
                      <w:r w:rsidRPr="00F01F1C">
                        <w:rPr>
                          <w:color w:val="000000" w:themeColor="text1"/>
                          <w:sz w:val="20"/>
                        </w:rPr>
                        <w:t xml:space="preserve"> ekonomická aktivita obyvatelstva</w:t>
                      </w:r>
                      <w:bookmarkEnd w:id="10"/>
                    </w:p>
                    <w:p w14:paraId="70F1C398" w14:textId="7E2681BD" w:rsidR="00A613C0" w:rsidRPr="008D5921" w:rsidRDefault="00A613C0" w:rsidP="00E349A4">
                      <w:pPr>
                        <w:ind w:firstLine="0"/>
                      </w:pPr>
                      <w:r w:rsidRPr="00F01F1C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Zdroj: Makroekonomická analýza teorie a praxe, </w:t>
                      </w: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M. </w:t>
                      </w:r>
                      <w:proofErr w:type="spellStart"/>
                      <w:r>
                        <w:rPr>
                          <w:i/>
                          <w:color w:val="000000" w:themeColor="text1"/>
                          <w:sz w:val="20"/>
                        </w:rPr>
                        <w:t>Rojíček</w:t>
                      </w:r>
                      <w:proofErr w:type="spellEnd"/>
                      <w:r>
                        <w:rPr>
                          <w:i/>
                          <w:color w:val="000000" w:themeColor="text1"/>
                          <w:sz w:val="20"/>
                        </w:rPr>
                        <w:t>, V.</w:t>
                      </w:r>
                      <w:r w:rsidRPr="00E349A4">
                        <w:rPr>
                          <w:i/>
                          <w:color w:val="000000" w:themeColor="text1"/>
                          <w:sz w:val="20"/>
                        </w:rPr>
                        <w:t xml:space="preserve"> Spěváček a kolektiv</w:t>
                      </w:r>
                      <w:r w:rsidRPr="00F01F1C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, s. 227</w:t>
                      </w: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14:paraId="7AB265DC" w14:textId="7C0D21E4" w:rsidR="004F53BF" w:rsidRPr="004F53BF" w:rsidRDefault="0056237C" w:rsidP="00B92FBB">
      <w:pPr>
        <w:pStyle w:val="Nadpis4"/>
        <w:numPr>
          <w:ilvl w:val="0"/>
          <w:numId w:val="0"/>
        </w:numPr>
      </w:pPr>
      <w:r>
        <w:t>Počet obyvatel starších 15 let</w:t>
      </w:r>
    </w:p>
    <w:p w14:paraId="765E7ADF" w14:textId="6B0C01CC" w:rsidR="001345EB" w:rsidRPr="001345EB" w:rsidRDefault="0056237C" w:rsidP="00F01F1C">
      <w:pPr>
        <w:spacing w:after="120"/>
        <w:rPr>
          <w:vertAlign w:val="superscript"/>
        </w:rPr>
      </w:pPr>
      <w:r>
        <w:t>V předchozí defini</w:t>
      </w:r>
      <w:r w:rsidRPr="006C11FB">
        <w:rPr>
          <w:color w:val="000000" w:themeColor="text1"/>
        </w:rPr>
        <w:t xml:space="preserve">ci </w:t>
      </w:r>
      <w:r w:rsidR="006C11FB">
        <w:rPr>
          <w:color w:val="000000" w:themeColor="text1"/>
        </w:rPr>
        <w:t>je srovnán</w:t>
      </w:r>
      <w:r w:rsidR="00B306C2" w:rsidRPr="006C11FB">
        <w:rPr>
          <w:color w:val="000000" w:themeColor="text1"/>
        </w:rPr>
        <w:t xml:space="preserve"> </w:t>
      </w:r>
      <w:r w:rsidRPr="009050E7">
        <w:t>celkov</w:t>
      </w:r>
      <w:r w:rsidR="00B306C2" w:rsidRPr="009050E7">
        <w:t xml:space="preserve">ý počet </w:t>
      </w:r>
      <w:r w:rsidRPr="009050E7">
        <w:t>obyvatel</w:t>
      </w:r>
      <w:r w:rsidR="00B306C2" w:rsidRPr="009050E7">
        <w:t xml:space="preserve"> s </w:t>
      </w:r>
      <w:r w:rsidRPr="009050E7">
        <w:t>celkovým obj</w:t>
      </w:r>
      <w:r w:rsidR="002A4AA8" w:rsidRPr="009050E7">
        <w:t>emem lidí žijících v dané zemi.</w:t>
      </w:r>
      <w:r w:rsidRPr="009050E7">
        <w:t xml:space="preserve"> V některých komparacích může být uveden místo</w:t>
      </w:r>
      <w:r>
        <w:t xml:space="preserve"> celkového objemu žijících lidí v dané zemi, také počet lidí, kt</w:t>
      </w:r>
      <w:r w:rsidR="009050E7">
        <w:t>eří jsou star</w:t>
      </w:r>
      <w:r w:rsidR="00B306C2" w:rsidRPr="009050E7">
        <w:t>š</w:t>
      </w:r>
      <w:r w:rsidRPr="009050E7">
        <w:t xml:space="preserve">í 15 let. Počet obyvatel starších 15 let je značen indexem </w:t>
      </w:r>
      <w:r w:rsidRPr="00D6745D">
        <w:rPr>
          <w:i/>
        </w:rPr>
        <w:t>f</w:t>
      </w:r>
      <w:r w:rsidRPr="00D6745D">
        <w:rPr>
          <w:i/>
          <w:vertAlign w:val="subscript"/>
        </w:rPr>
        <w:t>t</w:t>
      </w:r>
      <w:r w:rsidRPr="00D6745D">
        <w:rPr>
          <w:i/>
          <w:vertAlign w:val="superscript"/>
        </w:rPr>
        <w:t>15</w:t>
      </w:r>
      <w:r w:rsidRPr="009050E7">
        <w:rPr>
          <w:vertAlign w:val="superscript"/>
        </w:rPr>
        <w:t>+</w:t>
      </w:r>
      <w:r w:rsidRPr="009050E7">
        <w:t xml:space="preserve">. Vzorec, </w:t>
      </w:r>
      <w:r w:rsidR="008C1802">
        <w:t xml:space="preserve">kterým lze vypočítat </w:t>
      </w:r>
      <w:r w:rsidRPr="009050E7">
        <w:t>aktivitu obyvatel starších 15 let, vypadá podobně jak</w:t>
      </w:r>
      <w:r w:rsidR="00342A8F" w:rsidRPr="009050E7">
        <w:t>o</w:t>
      </w:r>
      <w:r w:rsidRPr="009050E7">
        <w:t xml:space="preserve"> vzorec u ekonomicky aktivních obyvatel. V předešlém vzorci </w:t>
      </w:r>
      <w:r w:rsidR="00D6745D" w:rsidRPr="00D6745D">
        <w:rPr>
          <w:color w:val="000000" w:themeColor="text1"/>
        </w:rPr>
        <w:t>j</w:t>
      </w:r>
      <w:r w:rsidR="00D6745D" w:rsidRPr="003D6011">
        <w:rPr>
          <w:color w:val="000000" w:themeColor="text1"/>
        </w:rPr>
        <w:t>e</w:t>
      </w:r>
      <w:r w:rsidRPr="003D6011">
        <w:rPr>
          <w:color w:val="000000" w:themeColor="text1"/>
        </w:rPr>
        <w:t xml:space="preserve"> </w:t>
      </w:r>
      <w:r w:rsidRPr="00D6745D">
        <w:rPr>
          <w:i/>
        </w:rPr>
        <w:t>At</w:t>
      </w:r>
      <w:r w:rsidRPr="009050E7">
        <w:t xml:space="preserve"> aktivní obyvatelstvo. Změna ve vzorci nastala u jmenovatele, kde je </w:t>
      </w:r>
      <w:r w:rsidRPr="00D6745D">
        <w:rPr>
          <w:i/>
        </w:rPr>
        <w:t>F</w:t>
      </w:r>
      <w:r w:rsidRPr="00D6745D">
        <w:rPr>
          <w:i/>
          <w:vertAlign w:val="subscript"/>
        </w:rPr>
        <w:t>t</w:t>
      </w:r>
      <w:r w:rsidRPr="00D6745D">
        <w:rPr>
          <w:i/>
          <w:vertAlign w:val="superscript"/>
        </w:rPr>
        <w:t>15+</w:t>
      </w:r>
      <w:r w:rsidR="007F665C" w:rsidRPr="00D6745D">
        <w:rPr>
          <w:i/>
        </w:rPr>
        <w:t>,</w:t>
      </w:r>
      <w:r w:rsidR="007F665C">
        <w:t xml:space="preserve"> horní index </w:t>
      </w:r>
      <w:r w:rsidR="007F665C" w:rsidRPr="00D6745D">
        <w:rPr>
          <w:i/>
        </w:rPr>
        <w:t>15+</w:t>
      </w:r>
      <w:r w:rsidRPr="009050E7">
        <w:t xml:space="preserve"> označuje, že ob</w:t>
      </w:r>
      <w:r w:rsidR="001F4DBE" w:rsidRPr="009050E7">
        <w:t xml:space="preserve">yvatelé musí být starší </w:t>
      </w:r>
      <w:r w:rsidR="00F01F1C">
        <w:t>15 let.</w:t>
      </w:r>
      <w:r w:rsidR="00F01F1C">
        <w:rPr>
          <w:rStyle w:val="Znakapoznpodarou"/>
        </w:rPr>
        <w:footnoteReference w:id="22"/>
      </w:r>
    </w:p>
    <w:p w14:paraId="219CADB5" w14:textId="21CCD7CF" w:rsidR="0056237C" w:rsidRPr="004708FD" w:rsidRDefault="00C512A0" w:rsidP="001F4DBE">
      <w:pPr>
        <w:rPr>
          <w:noProof/>
          <w:sz w:val="26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6"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15+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15+</m:t>
                  </m:r>
                </m:sup>
              </m:sSubSup>
            </m:den>
          </m:f>
        </m:oMath>
      </m:oMathPara>
    </w:p>
    <w:p w14:paraId="74D57662" w14:textId="454A9843" w:rsidR="004708FD" w:rsidRPr="004708FD" w:rsidRDefault="004708FD" w:rsidP="00F01F1C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bookmarkStart w:id="11" w:name="_Toc15639787"/>
      <w:r w:rsidRPr="004708FD">
        <w:rPr>
          <w:color w:val="000000" w:themeColor="text1"/>
          <w:sz w:val="20"/>
          <w:szCs w:val="20"/>
        </w:rPr>
        <w:t xml:space="preserve">Vzorec </w:t>
      </w:r>
      <w:r w:rsidRPr="004708FD">
        <w:rPr>
          <w:color w:val="000000" w:themeColor="text1"/>
          <w:sz w:val="20"/>
          <w:szCs w:val="20"/>
        </w:rPr>
        <w:fldChar w:fldCharType="begin"/>
      </w:r>
      <w:r w:rsidRPr="004708FD">
        <w:rPr>
          <w:color w:val="000000" w:themeColor="text1"/>
          <w:sz w:val="20"/>
          <w:szCs w:val="20"/>
        </w:rPr>
        <w:instrText xml:space="preserve"> SEQ Vzorec \* ARABIC </w:instrText>
      </w:r>
      <w:r w:rsidRPr="004708FD">
        <w:rPr>
          <w:color w:val="000000" w:themeColor="text1"/>
          <w:sz w:val="20"/>
          <w:szCs w:val="20"/>
        </w:rPr>
        <w:fldChar w:fldCharType="separate"/>
      </w:r>
      <w:r w:rsidR="0040267A">
        <w:rPr>
          <w:noProof/>
          <w:color w:val="000000" w:themeColor="text1"/>
          <w:sz w:val="20"/>
          <w:szCs w:val="20"/>
        </w:rPr>
        <w:t>2</w:t>
      </w:r>
      <w:r w:rsidRPr="004708FD">
        <w:rPr>
          <w:color w:val="000000" w:themeColor="text1"/>
          <w:sz w:val="20"/>
          <w:szCs w:val="20"/>
        </w:rPr>
        <w:fldChar w:fldCharType="end"/>
      </w:r>
      <w:r w:rsidRPr="004708FD">
        <w:rPr>
          <w:color w:val="000000" w:themeColor="text1"/>
          <w:sz w:val="20"/>
          <w:szCs w:val="20"/>
        </w:rPr>
        <w:t xml:space="preserve"> ekonomická aktivita obyvatelstva</w:t>
      </w:r>
      <w:bookmarkEnd w:id="11"/>
    </w:p>
    <w:p w14:paraId="05B018B2" w14:textId="492AD746" w:rsidR="00E3458E" w:rsidRDefault="004708FD" w:rsidP="00F01F1C">
      <w:pPr>
        <w:ind w:firstLine="0"/>
        <w:rPr>
          <w:i/>
          <w:color w:val="000000" w:themeColor="text1"/>
          <w:sz w:val="20"/>
          <w:szCs w:val="20"/>
        </w:rPr>
      </w:pPr>
      <w:r w:rsidRPr="004708FD">
        <w:rPr>
          <w:i/>
          <w:color w:val="000000" w:themeColor="text1"/>
          <w:sz w:val="20"/>
          <w:szCs w:val="20"/>
        </w:rPr>
        <w:t xml:space="preserve">Zdroj: Makroekonomická analýza teorie a praxe, </w:t>
      </w:r>
      <w:r w:rsidR="00E349A4">
        <w:rPr>
          <w:i/>
          <w:color w:val="000000" w:themeColor="text1"/>
          <w:sz w:val="20"/>
          <w:szCs w:val="20"/>
        </w:rPr>
        <w:t xml:space="preserve">M. </w:t>
      </w:r>
      <w:proofErr w:type="spellStart"/>
      <w:r w:rsidR="00E349A4">
        <w:rPr>
          <w:i/>
          <w:color w:val="000000" w:themeColor="text1"/>
          <w:sz w:val="20"/>
        </w:rPr>
        <w:t>Rojíček</w:t>
      </w:r>
      <w:proofErr w:type="spellEnd"/>
      <w:r w:rsidR="00E349A4">
        <w:rPr>
          <w:i/>
          <w:color w:val="000000" w:themeColor="text1"/>
          <w:sz w:val="20"/>
        </w:rPr>
        <w:t>, V.</w:t>
      </w:r>
      <w:r w:rsidR="00E349A4" w:rsidRPr="00E349A4">
        <w:rPr>
          <w:i/>
          <w:color w:val="000000" w:themeColor="text1"/>
          <w:sz w:val="20"/>
        </w:rPr>
        <w:t xml:space="preserve"> Spěváček a kolektiv</w:t>
      </w:r>
      <w:r w:rsidRPr="004708FD">
        <w:rPr>
          <w:i/>
          <w:color w:val="000000" w:themeColor="text1"/>
          <w:sz w:val="20"/>
          <w:szCs w:val="20"/>
        </w:rPr>
        <w:t>, s. 227</w:t>
      </w:r>
      <w:r w:rsidR="00B92FBB">
        <w:rPr>
          <w:i/>
          <w:color w:val="000000" w:themeColor="text1"/>
          <w:sz w:val="20"/>
          <w:szCs w:val="20"/>
        </w:rPr>
        <w:t>,</w:t>
      </w:r>
    </w:p>
    <w:p w14:paraId="7E8EA263" w14:textId="77777777" w:rsidR="00E3458E" w:rsidRDefault="00E3458E">
      <w:pPr>
        <w:spacing w:after="200" w:line="276" w:lineRule="auto"/>
        <w:ind w:firstLine="0"/>
        <w:jc w:val="lef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br w:type="page"/>
      </w:r>
    </w:p>
    <w:p w14:paraId="25DF87D2" w14:textId="60458014" w:rsidR="007F665C" w:rsidRPr="007F665C" w:rsidRDefault="00D6745D" w:rsidP="00B92FBB">
      <w:pPr>
        <w:pStyle w:val="Nadpis4"/>
        <w:numPr>
          <w:ilvl w:val="0"/>
          <w:numId w:val="0"/>
        </w:numPr>
      </w:pPr>
      <w:r>
        <w:lastRenderedPageBreak/>
        <w:t>A</w:t>
      </w:r>
      <w:r w:rsidR="00CF2E21">
        <w:t>nalytické ukazatele</w:t>
      </w:r>
    </w:p>
    <w:p w14:paraId="72E20A1E" w14:textId="6274205E" w:rsidR="0056237C" w:rsidRPr="002A657F" w:rsidRDefault="0056237C" w:rsidP="00EA0138">
      <w:r>
        <w:t>Do skupiny analy</w:t>
      </w:r>
      <w:r w:rsidR="009E1653">
        <w:t>tických ukazatelů je zařazeno</w:t>
      </w:r>
      <w:r>
        <w:t xml:space="preserve"> aktivní obyvatelstvo a rozdíly, kterými se liší. </w:t>
      </w:r>
      <w:r w:rsidR="004D0B2E" w:rsidRPr="00D00E12">
        <w:t>Populace se liší věkem, pohlavím a mnoha dalšími odlišnostmi.</w:t>
      </w:r>
      <w:r w:rsidRPr="00D00E12">
        <w:t xml:space="preserve"> </w:t>
      </w:r>
      <w:r>
        <w:t>Index pro výpočet těchto ukazat</w:t>
      </w:r>
      <w:r w:rsidRPr="00D6745D">
        <w:rPr>
          <w:color w:val="000000" w:themeColor="text1"/>
        </w:rPr>
        <w:t xml:space="preserve">elů </w:t>
      </w:r>
      <w:r w:rsidR="00D6745D" w:rsidRPr="00D6745D">
        <w:rPr>
          <w:color w:val="000000" w:themeColor="text1"/>
        </w:rPr>
        <w:t>je značen</w:t>
      </w:r>
      <w:r w:rsidRPr="00D6745D">
        <w:rPr>
          <w:color w:val="000000" w:themeColor="text1"/>
        </w:rPr>
        <w:t xml:space="preserve"> </w:t>
      </w:r>
      <w:r>
        <w:t xml:space="preserve">indexem </w:t>
      </w:r>
      <w:proofErr w:type="spellStart"/>
      <w:r w:rsidRPr="00D6745D">
        <w:rPr>
          <w:i/>
        </w:rPr>
        <w:t>f</w:t>
      </w:r>
      <w:r w:rsidRPr="00D6745D">
        <w:rPr>
          <w:i/>
          <w:vertAlign w:val="subscript"/>
        </w:rPr>
        <w:t>t</w:t>
      </w:r>
      <w:r w:rsidRPr="00D6745D">
        <w:rPr>
          <w:i/>
          <w:vertAlign w:val="superscript"/>
        </w:rPr>
        <w:t>N</w:t>
      </w:r>
      <w:proofErr w:type="spellEnd"/>
      <w:r w:rsidR="001F4DBE">
        <w:t>.</w:t>
      </w:r>
      <w:r w:rsidR="001F4DBE" w:rsidRPr="001F4DBE">
        <w:rPr>
          <w:vertAlign w:val="superscript"/>
        </w:rPr>
        <w:t xml:space="preserve"> </w:t>
      </w:r>
      <w:r w:rsidR="002471BB">
        <w:t xml:space="preserve">Vzorec, </w:t>
      </w:r>
      <w:r w:rsidR="002471BB" w:rsidRPr="00D6745D">
        <w:rPr>
          <w:color w:val="000000" w:themeColor="text1"/>
        </w:rPr>
        <w:t xml:space="preserve">kterým </w:t>
      </w:r>
      <w:r w:rsidR="00D6745D" w:rsidRPr="00D6745D">
        <w:rPr>
          <w:color w:val="000000" w:themeColor="text1"/>
        </w:rPr>
        <w:t>lze</w:t>
      </w:r>
      <w:r w:rsidR="002471BB" w:rsidRPr="00D6745D">
        <w:rPr>
          <w:color w:val="000000" w:themeColor="text1"/>
        </w:rPr>
        <w:t xml:space="preserve"> </w:t>
      </w:r>
      <w:r w:rsidR="00342A8F" w:rsidRPr="00D6745D">
        <w:rPr>
          <w:color w:val="000000" w:themeColor="text1"/>
        </w:rPr>
        <w:t xml:space="preserve">uvedené </w:t>
      </w:r>
      <w:r w:rsidR="002471BB" w:rsidRPr="009050E7">
        <w:t xml:space="preserve">údaje zjistit, je složen ze zlomku. Ve jmenovateli máme </w:t>
      </w:r>
      <w:proofErr w:type="spellStart"/>
      <w:r w:rsidR="002471BB" w:rsidRPr="00D6745D">
        <w:rPr>
          <w:i/>
        </w:rPr>
        <w:t>F</w:t>
      </w:r>
      <w:r w:rsidR="002471BB" w:rsidRPr="00D6745D">
        <w:rPr>
          <w:i/>
          <w:vertAlign w:val="subscript"/>
        </w:rPr>
        <w:t>t</w:t>
      </w:r>
      <w:r w:rsidR="002471BB" w:rsidRPr="00D6745D">
        <w:rPr>
          <w:i/>
          <w:vertAlign w:val="superscript"/>
        </w:rPr>
        <w:t>N</w:t>
      </w:r>
      <w:proofErr w:type="spellEnd"/>
      <w:r w:rsidR="002471BB" w:rsidRPr="009050E7">
        <w:t xml:space="preserve">, tímto ukazatelem lze vyjádřit aktivní obyvatele. </w:t>
      </w:r>
      <w:r w:rsidR="002C0B88" w:rsidRPr="009050E7">
        <w:t>I</w:t>
      </w:r>
      <w:r w:rsidRPr="009050E7">
        <w:t xml:space="preserve">ndex </w:t>
      </w:r>
      <w:r w:rsidRPr="00D6745D">
        <w:rPr>
          <w:i/>
        </w:rPr>
        <w:t>t</w:t>
      </w:r>
      <w:r w:rsidRPr="009050E7">
        <w:t xml:space="preserve"> označuje, za jakou dobu </w:t>
      </w:r>
      <w:r w:rsidR="00342A8F" w:rsidRPr="009050E7">
        <w:t xml:space="preserve">data </w:t>
      </w:r>
      <w:r w:rsidR="00D6745D" w:rsidRPr="00D6745D">
        <w:rPr>
          <w:color w:val="000000" w:themeColor="text1"/>
        </w:rPr>
        <w:t>jsou data počítaná</w:t>
      </w:r>
      <w:r w:rsidRPr="00D6745D">
        <w:rPr>
          <w:color w:val="000000" w:themeColor="text1"/>
        </w:rPr>
        <w:t xml:space="preserve">, příkladem </w:t>
      </w:r>
      <w:r w:rsidRPr="009050E7">
        <w:t xml:space="preserve">může být rok. Index </w:t>
      </w:r>
      <w:r w:rsidRPr="00D6745D">
        <w:rPr>
          <w:i/>
        </w:rPr>
        <w:t>N</w:t>
      </w:r>
      <w:r w:rsidRPr="009050E7">
        <w:t xml:space="preserve"> </w:t>
      </w:r>
      <w:r w:rsidR="00342A8F" w:rsidRPr="009050E7">
        <w:t xml:space="preserve">vyjadřuje </w:t>
      </w:r>
      <w:r w:rsidRPr="009050E7">
        <w:t xml:space="preserve">obyvatele, kteří jsou buď starší 15 let, nebo </w:t>
      </w:r>
      <w:r w:rsidRPr="00D6745D">
        <w:rPr>
          <w:color w:val="000000" w:themeColor="text1"/>
        </w:rPr>
        <w:t xml:space="preserve">zde </w:t>
      </w:r>
      <w:r w:rsidR="00D6745D" w:rsidRPr="00D6745D">
        <w:rPr>
          <w:color w:val="000000" w:themeColor="text1"/>
        </w:rPr>
        <w:t xml:space="preserve">lze </w:t>
      </w:r>
      <w:r w:rsidRPr="009050E7">
        <w:t xml:space="preserve">zahrnout celkové obyvatelstvo. Ve jmenovateli vzorce je index </w:t>
      </w:r>
      <w:proofErr w:type="spellStart"/>
      <w:r w:rsidRPr="00B92FBB">
        <w:rPr>
          <w:i/>
        </w:rPr>
        <w:t>A</w:t>
      </w:r>
      <w:r w:rsidRPr="00B92FBB">
        <w:rPr>
          <w:i/>
          <w:vertAlign w:val="subscript"/>
        </w:rPr>
        <w:t>t</w:t>
      </w:r>
      <w:r w:rsidRPr="00B92FBB">
        <w:rPr>
          <w:i/>
          <w:vertAlign w:val="superscript"/>
        </w:rPr>
        <w:t>w</w:t>
      </w:r>
      <w:proofErr w:type="spellEnd"/>
      <w:r w:rsidR="008754FD">
        <w:t>, pod tímto ukazatelem si lze</w:t>
      </w:r>
      <w:r w:rsidRPr="009050E7">
        <w:t xml:space="preserve"> představit osoby, které jsou v určité věkové skupině (např. 28 – 30, 31 – 35).</w:t>
      </w:r>
      <w:r w:rsidR="001F4DBE" w:rsidRPr="009050E7">
        <w:rPr>
          <w:color w:val="000000" w:themeColor="text1"/>
          <w:sz w:val="20"/>
          <w:vertAlign w:val="superscript"/>
        </w:rPr>
        <w:t xml:space="preserve"> </w:t>
      </w:r>
      <w:r w:rsidR="00F01F1C">
        <w:rPr>
          <w:rStyle w:val="Znakapoznpodarou"/>
          <w:color w:val="000000" w:themeColor="text1"/>
          <w:sz w:val="20"/>
        </w:rPr>
        <w:footnoteReference w:id="23"/>
      </w:r>
    </w:p>
    <w:p w14:paraId="64AB231F" w14:textId="0AE8E035" w:rsidR="0056237C" w:rsidRPr="00173D52" w:rsidRDefault="00C512A0" w:rsidP="00173D52">
      <w:pPr>
        <w:ind w:firstLine="0"/>
        <w:rPr>
          <w:noProof/>
          <w:color w:val="000000" w:themeColor="text1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t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N</m:t>
              </m:r>
            </m:sup>
          </m:sSubSup>
          <m:r>
            <w:rPr>
              <w:rFonts w:ascii="Cambria Math" w:hAnsi="Cambria Math"/>
              <w:color w:val="000000" w:themeColor="text1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0"/>
                  <w:szCs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w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N</m:t>
                  </m:r>
                </m:sup>
              </m:sSubSup>
            </m:den>
          </m:f>
        </m:oMath>
      </m:oMathPara>
    </w:p>
    <w:p w14:paraId="034C2D4F" w14:textId="58D67761" w:rsidR="00F01F1C" w:rsidRPr="00173D52" w:rsidRDefault="00F01F1C" w:rsidP="00173D52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bookmarkStart w:id="12" w:name="_Toc15639788"/>
      <w:r w:rsidRPr="00173D52">
        <w:rPr>
          <w:color w:val="000000" w:themeColor="text1"/>
          <w:sz w:val="20"/>
          <w:szCs w:val="20"/>
        </w:rPr>
        <w:t xml:space="preserve">Vzorec </w:t>
      </w:r>
      <w:r w:rsidRPr="00173D52">
        <w:rPr>
          <w:color w:val="000000" w:themeColor="text1"/>
          <w:sz w:val="20"/>
          <w:szCs w:val="20"/>
        </w:rPr>
        <w:fldChar w:fldCharType="begin"/>
      </w:r>
      <w:r w:rsidRPr="00173D52">
        <w:rPr>
          <w:color w:val="000000" w:themeColor="text1"/>
          <w:sz w:val="20"/>
          <w:szCs w:val="20"/>
        </w:rPr>
        <w:instrText xml:space="preserve"> SEQ Vzorec \* ARABIC </w:instrText>
      </w:r>
      <w:r w:rsidRPr="00173D52">
        <w:rPr>
          <w:color w:val="000000" w:themeColor="text1"/>
          <w:sz w:val="20"/>
          <w:szCs w:val="20"/>
        </w:rPr>
        <w:fldChar w:fldCharType="separate"/>
      </w:r>
      <w:r w:rsidR="0040267A">
        <w:rPr>
          <w:noProof/>
          <w:color w:val="000000" w:themeColor="text1"/>
          <w:sz w:val="20"/>
          <w:szCs w:val="20"/>
        </w:rPr>
        <w:t>3</w:t>
      </w:r>
      <w:r w:rsidRPr="00173D52">
        <w:rPr>
          <w:color w:val="000000" w:themeColor="text1"/>
          <w:sz w:val="20"/>
          <w:szCs w:val="20"/>
        </w:rPr>
        <w:fldChar w:fldCharType="end"/>
      </w:r>
      <w:r w:rsidR="00D6745D">
        <w:rPr>
          <w:color w:val="000000" w:themeColor="text1"/>
          <w:sz w:val="20"/>
          <w:szCs w:val="20"/>
        </w:rPr>
        <w:t xml:space="preserve"> A</w:t>
      </w:r>
      <w:r w:rsidRPr="00173D52">
        <w:rPr>
          <w:color w:val="000000" w:themeColor="text1"/>
          <w:sz w:val="20"/>
          <w:szCs w:val="20"/>
        </w:rPr>
        <w:t>nalytické ukazatelé</w:t>
      </w:r>
      <w:bookmarkEnd w:id="12"/>
    </w:p>
    <w:p w14:paraId="164E8F45" w14:textId="348F85C8" w:rsidR="002471BB" w:rsidRPr="00173D52" w:rsidRDefault="00F01F1C" w:rsidP="00173D52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r w:rsidRPr="00173D52">
        <w:rPr>
          <w:color w:val="000000" w:themeColor="text1"/>
          <w:sz w:val="20"/>
          <w:szCs w:val="20"/>
        </w:rPr>
        <w:t xml:space="preserve">Zdroj: Makroekonomická analýza teorie a praxe, </w:t>
      </w:r>
      <w:r w:rsidR="00E349A4" w:rsidRPr="00E349A4">
        <w:rPr>
          <w:color w:val="000000" w:themeColor="text1"/>
          <w:sz w:val="20"/>
          <w:szCs w:val="20"/>
        </w:rPr>
        <w:t xml:space="preserve">M. </w:t>
      </w:r>
      <w:proofErr w:type="spellStart"/>
      <w:r w:rsidR="00E349A4" w:rsidRPr="00E349A4">
        <w:rPr>
          <w:color w:val="000000" w:themeColor="text1"/>
          <w:sz w:val="20"/>
        </w:rPr>
        <w:t>Rojíček</w:t>
      </w:r>
      <w:proofErr w:type="spellEnd"/>
      <w:r w:rsidR="00E349A4" w:rsidRPr="00E349A4">
        <w:rPr>
          <w:color w:val="000000" w:themeColor="text1"/>
          <w:sz w:val="20"/>
        </w:rPr>
        <w:t>, V. Spěváček a kolektiv</w:t>
      </w:r>
      <w:r w:rsidRPr="00173D52">
        <w:rPr>
          <w:color w:val="000000" w:themeColor="text1"/>
          <w:sz w:val="20"/>
          <w:szCs w:val="20"/>
        </w:rPr>
        <w:t>, s. 227,</w:t>
      </w:r>
    </w:p>
    <w:p w14:paraId="042B224C" w14:textId="45C53401" w:rsidR="009E1FF9" w:rsidRPr="00B93E7D" w:rsidRDefault="00A613C0" w:rsidP="00A348D9">
      <w:pPr>
        <w:pStyle w:val="Nadpis4"/>
        <w:numPr>
          <w:ilvl w:val="0"/>
          <w:numId w:val="0"/>
        </w:numPr>
      </w:pPr>
      <w:r>
        <w:t>Výpočet nezaměstnanosti</w:t>
      </w:r>
    </w:p>
    <w:p w14:paraId="01ED2DC6" w14:textId="5C11C684" w:rsidR="00B93E7D" w:rsidRDefault="009E1FF9" w:rsidP="00264359">
      <w:r>
        <w:t>Velikost nezaměstnanosti lze vypočítat mírou nezaměstnanosti</w:t>
      </w:r>
      <w:r w:rsidR="00522643">
        <w:t xml:space="preserve">, která je označovaná </w:t>
      </w:r>
      <w:r w:rsidR="002E5246">
        <w:t>písmenem</w:t>
      </w:r>
      <w:r w:rsidR="00522643">
        <w:t xml:space="preserve"> </w:t>
      </w:r>
      <w:r w:rsidR="00522643" w:rsidRPr="009E1653">
        <w:rPr>
          <w:i/>
        </w:rPr>
        <w:t>u</w:t>
      </w:r>
      <w:r w:rsidR="00522643">
        <w:t>. Níže lze vidět celý vzorec č. 4, v čitateli vzorce je podíl nezaměstnaných</w:t>
      </w:r>
      <w:r w:rsidR="00D848B8">
        <w:t xml:space="preserve">, který </w:t>
      </w:r>
      <w:proofErr w:type="gramStart"/>
      <w:r w:rsidR="00D848B8">
        <w:t>je</w:t>
      </w:r>
      <w:proofErr w:type="gramEnd"/>
      <w:r w:rsidR="00D848B8">
        <w:t xml:space="preserve"> vyjádřen </w:t>
      </w:r>
      <w:r w:rsidR="002E5246">
        <w:t>ukazatelem</w:t>
      </w:r>
      <w:r w:rsidR="00D848B8">
        <w:t xml:space="preserve"> </w:t>
      </w:r>
      <w:r w:rsidR="00D848B8" w:rsidRPr="00F51160">
        <w:rPr>
          <w:i/>
        </w:rPr>
        <w:t>U</w:t>
      </w:r>
      <w:r w:rsidR="00D848B8">
        <w:t xml:space="preserve">. Jmenovatel zlomku </w:t>
      </w:r>
      <w:proofErr w:type="gramStart"/>
      <w:r w:rsidR="00D848B8" w:rsidRPr="009050E7">
        <w:t>je</w:t>
      </w:r>
      <w:proofErr w:type="gramEnd"/>
      <w:r w:rsidR="00D848B8" w:rsidRPr="009050E7">
        <w:t xml:space="preserve"> označován písmenem </w:t>
      </w:r>
      <w:r w:rsidR="00D848B8" w:rsidRPr="00F51160">
        <w:rPr>
          <w:i/>
        </w:rPr>
        <w:t>L</w:t>
      </w:r>
      <w:r w:rsidR="00D848B8" w:rsidRPr="009050E7">
        <w:t xml:space="preserve">, tímto </w:t>
      </w:r>
      <w:r w:rsidR="002E5246" w:rsidRPr="009050E7">
        <w:t>písmenem</w:t>
      </w:r>
      <w:r w:rsidR="00D848B8" w:rsidRPr="009050E7">
        <w:t xml:space="preserve"> </w:t>
      </w:r>
      <w:r w:rsidR="001E5826">
        <w:t>lze vyjádřit</w:t>
      </w:r>
      <w:r w:rsidR="00D848B8" w:rsidRPr="009050E7">
        <w:t xml:space="preserve"> </w:t>
      </w:r>
      <w:r w:rsidR="00B93E7D" w:rsidRPr="009050E7">
        <w:t xml:space="preserve">množství obyvatel, kteří jsou v daném státě aktivní. Protože </w:t>
      </w:r>
      <w:r w:rsidR="00342A8F" w:rsidRPr="009050E7">
        <w:t xml:space="preserve">je </w:t>
      </w:r>
      <w:r w:rsidR="00B93E7D" w:rsidRPr="009050E7">
        <w:t>tento statistický údaj uveden v procente</w:t>
      </w:r>
      <w:r w:rsidR="00B93E7D" w:rsidRPr="00A73033">
        <w:rPr>
          <w:color w:val="000000" w:themeColor="text1"/>
        </w:rPr>
        <w:t>ch</w:t>
      </w:r>
      <w:r w:rsidR="00EC46A7" w:rsidRPr="00A73033">
        <w:rPr>
          <w:color w:val="000000" w:themeColor="text1"/>
        </w:rPr>
        <w:t xml:space="preserve"> </w:t>
      </w:r>
      <w:r w:rsidR="00A73033" w:rsidRPr="00A73033">
        <w:rPr>
          <w:color w:val="000000" w:themeColor="text1"/>
        </w:rPr>
        <w:t>musí být výsledek vynásoben</w:t>
      </w:r>
      <w:r w:rsidR="00173D52" w:rsidRPr="00A73033">
        <w:rPr>
          <w:color w:val="000000" w:themeColor="text1"/>
        </w:rPr>
        <w:t xml:space="preserve"> </w:t>
      </w:r>
      <w:r w:rsidR="00173D52">
        <w:t>výpočet vynásobit 100%.</w:t>
      </w:r>
      <w:r w:rsidR="00264359">
        <w:rPr>
          <w:rStyle w:val="Znakapoznpodarou"/>
        </w:rPr>
        <w:footnoteReference w:id="24"/>
      </w:r>
    </w:p>
    <w:p w14:paraId="0301A7C7" w14:textId="77777777" w:rsidR="00B93E7D" w:rsidRDefault="003F48D9" w:rsidP="00B93E7D"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>×100%</m:t>
          </m:r>
        </m:oMath>
      </m:oMathPara>
    </w:p>
    <w:p w14:paraId="718E1C2A" w14:textId="65BB4E86" w:rsidR="00B93E7D" w:rsidRPr="00264359" w:rsidRDefault="00264359" w:rsidP="00264359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bookmarkStart w:id="13" w:name="_Toc15639789"/>
      <w:r w:rsidRPr="00264359">
        <w:rPr>
          <w:color w:val="000000" w:themeColor="text1"/>
          <w:sz w:val="20"/>
          <w:szCs w:val="20"/>
        </w:rPr>
        <w:t xml:space="preserve">Vzorec </w:t>
      </w:r>
      <w:r w:rsidRPr="00264359">
        <w:rPr>
          <w:color w:val="000000" w:themeColor="text1"/>
          <w:sz w:val="20"/>
          <w:szCs w:val="20"/>
        </w:rPr>
        <w:fldChar w:fldCharType="begin"/>
      </w:r>
      <w:r w:rsidRPr="00264359">
        <w:rPr>
          <w:color w:val="000000" w:themeColor="text1"/>
          <w:sz w:val="20"/>
          <w:szCs w:val="20"/>
        </w:rPr>
        <w:instrText xml:space="preserve"> SEQ Vzorec \* ARABIC </w:instrText>
      </w:r>
      <w:r w:rsidRPr="00264359">
        <w:rPr>
          <w:color w:val="000000" w:themeColor="text1"/>
          <w:sz w:val="20"/>
          <w:szCs w:val="20"/>
        </w:rPr>
        <w:fldChar w:fldCharType="separate"/>
      </w:r>
      <w:r w:rsidR="0040267A">
        <w:rPr>
          <w:noProof/>
          <w:color w:val="000000" w:themeColor="text1"/>
          <w:sz w:val="20"/>
          <w:szCs w:val="20"/>
        </w:rPr>
        <w:t>4</w:t>
      </w:r>
      <w:r w:rsidRPr="00264359">
        <w:rPr>
          <w:color w:val="000000" w:themeColor="text1"/>
          <w:sz w:val="20"/>
          <w:szCs w:val="20"/>
        </w:rPr>
        <w:fldChar w:fldCharType="end"/>
      </w:r>
      <w:r w:rsidR="008D515F">
        <w:rPr>
          <w:color w:val="000000" w:themeColor="text1"/>
          <w:sz w:val="20"/>
          <w:szCs w:val="20"/>
        </w:rPr>
        <w:t xml:space="preserve"> </w:t>
      </w:r>
      <w:r w:rsidRPr="00264359">
        <w:rPr>
          <w:color w:val="000000" w:themeColor="text1"/>
          <w:sz w:val="20"/>
          <w:szCs w:val="20"/>
        </w:rPr>
        <w:t>Výpočet nezaměstnanosti</w:t>
      </w:r>
      <w:bookmarkEnd w:id="13"/>
    </w:p>
    <w:p w14:paraId="2C6E2227" w14:textId="208CDA70" w:rsidR="000255A5" w:rsidRDefault="00264359" w:rsidP="00264359">
      <w:pPr>
        <w:ind w:firstLine="0"/>
        <w:rPr>
          <w:i/>
          <w:color w:val="000000" w:themeColor="text1"/>
          <w:sz w:val="20"/>
          <w:szCs w:val="20"/>
        </w:rPr>
      </w:pPr>
      <w:r w:rsidRPr="00264359">
        <w:rPr>
          <w:i/>
          <w:color w:val="000000" w:themeColor="text1"/>
          <w:sz w:val="20"/>
          <w:szCs w:val="20"/>
        </w:rPr>
        <w:t>Zdroj: Hospodářská politika, Milan Žák, s. 19</w:t>
      </w:r>
      <w:r w:rsidR="003B291D">
        <w:rPr>
          <w:i/>
          <w:color w:val="000000" w:themeColor="text1"/>
          <w:sz w:val="20"/>
          <w:szCs w:val="20"/>
        </w:rPr>
        <w:t>,</w:t>
      </w:r>
    </w:p>
    <w:p w14:paraId="2230E4A0" w14:textId="77777777" w:rsidR="000255A5" w:rsidRDefault="000255A5">
      <w:pPr>
        <w:spacing w:after="200" w:line="276" w:lineRule="auto"/>
        <w:ind w:firstLine="0"/>
        <w:jc w:val="lef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br w:type="page"/>
      </w:r>
    </w:p>
    <w:p w14:paraId="67C0052E" w14:textId="39165A2E" w:rsidR="009E1FF9" w:rsidRPr="009E1FF9" w:rsidRDefault="0056237C" w:rsidP="002B114C">
      <w:pPr>
        <w:pStyle w:val="Nadpis4"/>
        <w:numPr>
          <w:ilvl w:val="0"/>
          <w:numId w:val="0"/>
        </w:numPr>
      </w:pPr>
      <w:r>
        <w:lastRenderedPageBreak/>
        <w:t>Míra</w:t>
      </w:r>
      <w:r w:rsidR="00184FE0">
        <w:t xml:space="preserve"> zaměstnanosti</w:t>
      </w:r>
    </w:p>
    <w:p w14:paraId="4C939E76" w14:textId="33F1D790" w:rsidR="0056237C" w:rsidRDefault="003B291D" w:rsidP="0056237C">
      <w:r>
        <w:t>Pomocí</w:t>
      </w:r>
      <w:r w:rsidR="009B2C13">
        <w:t xml:space="preserve"> vzorce</w:t>
      </w:r>
      <w:r w:rsidR="0056237C">
        <w:t xml:space="preserve"> míry zaměstnanosti </w:t>
      </w:r>
      <w:r w:rsidR="009B2C13">
        <w:t xml:space="preserve">lze </w:t>
      </w:r>
      <w:r w:rsidR="0056237C">
        <w:t>vypočítat míru zaměstnanosti. Mí</w:t>
      </w:r>
      <w:r w:rsidR="00A73033">
        <w:t xml:space="preserve">ra zaměstnanosti je označená </w:t>
      </w:r>
      <w:r w:rsidR="004D46F9">
        <w:t>ukazatelem</w:t>
      </w:r>
      <w:r w:rsidR="0056237C">
        <w:t xml:space="preserve"> </w:t>
      </w:r>
      <w:r w:rsidR="0056237C" w:rsidRPr="00A73033">
        <w:rPr>
          <w:i/>
        </w:rPr>
        <w:t>e</w:t>
      </w:r>
      <w:r w:rsidR="0056237C" w:rsidRPr="00A73033">
        <w:rPr>
          <w:i/>
          <w:vertAlign w:val="subscript"/>
        </w:rPr>
        <w:t>t</w:t>
      </w:r>
      <w:r w:rsidR="0056237C">
        <w:t xml:space="preserve">. V čitateli vzorce je ukazatel </w:t>
      </w:r>
      <w:r w:rsidR="0056237C" w:rsidRPr="00A73033">
        <w:rPr>
          <w:i/>
        </w:rPr>
        <w:t>E</w:t>
      </w:r>
      <w:r w:rsidR="0056237C" w:rsidRPr="00A73033">
        <w:rPr>
          <w:i/>
          <w:vertAlign w:val="subscript"/>
        </w:rPr>
        <w:t>t</w:t>
      </w:r>
      <w:r w:rsidR="009050E7">
        <w:t>, který</w:t>
      </w:r>
      <w:r w:rsidR="0056237C">
        <w:t xml:space="preserve"> označuje počet </w:t>
      </w:r>
      <w:r w:rsidR="004D46F9">
        <w:t xml:space="preserve">pracujících zaměstnanců. </w:t>
      </w:r>
      <w:r w:rsidRPr="000773FB">
        <w:t>Index</w:t>
      </w:r>
      <w:r w:rsidR="004D0B2E" w:rsidRPr="000773FB">
        <w:t>em</w:t>
      </w:r>
      <w:r w:rsidR="0056237C" w:rsidRPr="003B291D">
        <w:t xml:space="preserve"> </w:t>
      </w:r>
      <w:r w:rsidR="0056237C" w:rsidRPr="003B291D">
        <w:rPr>
          <w:i/>
        </w:rPr>
        <w:t>t</w:t>
      </w:r>
      <w:r w:rsidR="0056237C" w:rsidRPr="003B291D">
        <w:t xml:space="preserve"> u počtu zaměstnaných osob rozumíme čas, za kte</w:t>
      </w:r>
      <w:r w:rsidR="009050E7" w:rsidRPr="003B291D">
        <w:t>rý míru zaměstnanosti počítáme.</w:t>
      </w:r>
      <w:r w:rsidR="0056237C">
        <w:t xml:space="preserve"> </w:t>
      </w:r>
      <w:r w:rsidR="00342A8F" w:rsidRPr="009050E7">
        <w:t xml:space="preserve">Ve jmenovateli </w:t>
      </w:r>
      <w:r w:rsidR="0056237C" w:rsidRPr="009050E7">
        <w:t xml:space="preserve">máme ukazatel </w:t>
      </w:r>
      <w:r w:rsidR="0056237C" w:rsidRPr="00A73033">
        <w:rPr>
          <w:i/>
        </w:rPr>
        <w:t>F</w:t>
      </w:r>
      <w:r w:rsidR="0056237C" w:rsidRPr="00A73033">
        <w:rPr>
          <w:i/>
          <w:vertAlign w:val="subscript"/>
        </w:rPr>
        <w:t xml:space="preserve">t </w:t>
      </w:r>
      <w:r w:rsidR="0056237C" w:rsidRPr="00A73033">
        <w:rPr>
          <w:i/>
          <w:vertAlign w:val="superscript"/>
        </w:rPr>
        <w:t>N</w:t>
      </w:r>
      <w:r w:rsidR="0056237C" w:rsidRPr="009050E7">
        <w:rPr>
          <w:vertAlign w:val="superscript"/>
        </w:rPr>
        <w:t>´</w:t>
      </w:r>
      <w:r w:rsidR="0056237C" w:rsidRPr="009050E7">
        <w:t xml:space="preserve">, kde </w:t>
      </w:r>
      <w:r w:rsidR="0049722F" w:rsidRPr="009050E7">
        <w:t xml:space="preserve">indikátor </w:t>
      </w:r>
      <w:r w:rsidR="0056237C" w:rsidRPr="00A73033">
        <w:rPr>
          <w:i/>
        </w:rPr>
        <w:t>N´</w:t>
      </w:r>
      <w:r w:rsidR="0056237C" w:rsidRPr="009050E7">
        <w:t xml:space="preserve"> označuje osoby, které jsou starší 15 let.</w:t>
      </w:r>
      <w:r w:rsidR="00264359">
        <w:rPr>
          <w:rStyle w:val="Znakapoznpodarou"/>
          <w:color w:val="000000" w:themeColor="text1"/>
          <w:sz w:val="20"/>
        </w:rPr>
        <w:footnoteReference w:id="25"/>
      </w:r>
    </w:p>
    <w:p w14:paraId="5632EC28" w14:textId="77777777" w:rsidR="0056237C" w:rsidRDefault="00C512A0" w:rsidP="0056237C">
      <w:pPr>
        <w:rPr>
          <w:noProof/>
          <w:sz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 xml:space="preserve">t=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N´</m:t>
                      </m:r>
                    </m:sup>
                  </m:sSubSup>
                </m:den>
              </m:f>
            </m:sub>
          </m:sSub>
        </m:oMath>
      </m:oMathPara>
    </w:p>
    <w:p w14:paraId="7A9AABD2" w14:textId="708E08BD" w:rsidR="002471BB" w:rsidRPr="00BA4055" w:rsidRDefault="00264359" w:rsidP="00BA4055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bookmarkStart w:id="14" w:name="_Toc15639790"/>
      <w:r w:rsidRPr="00BA4055">
        <w:rPr>
          <w:color w:val="000000" w:themeColor="text1"/>
          <w:sz w:val="20"/>
          <w:szCs w:val="20"/>
        </w:rPr>
        <w:t xml:space="preserve">Vzorec </w:t>
      </w:r>
      <w:r w:rsidRPr="00BA4055">
        <w:rPr>
          <w:color w:val="000000" w:themeColor="text1"/>
          <w:sz w:val="20"/>
          <w:szCs w:val="20"/>
        </w:rPr>
        <w:fldChar w:fldCharType="begin"/>
      </w:r>
      <w:r w:rsidRPr="00BA4055">
        <w:rPr>
          <w:color w:val="000000" w:themeColor="text1"/>
          <w:sz w:val="20"/>
          <w:szCs w:val="20"/>
        </w:rPr>
        <w:instrText xml:space="preserve"> SEQ Vzorec \* ARABIC </w:instrText>
      </w:r>
      <w:r w:rsidRPr="00BA4055">
        <w:rPr>
          <w:color w:val="000000" w:themeColor="text1"/>
          <w:sz w:val="20"/>
          <w:szCs w:val="20"/>
        </w:rPr>
        <w:fldChar w:fldCharType="separate"/>
      </w:r>
      <w:r w:rsidR="0040267A">
        <w:rPr>
          <w:noProof/>
          <w:color w:val="000000" w:themeColor="text1"/>
          <w:sz w:val="20"/>
          <w:szCs w:val="20"/>
        </w:rPr>
        <w:t>5</w:t>
      </w:r>
      <w:r w:rsidRPr="00BA4055">
        <w:rPr>
          <w:color w:val="000000" w:themeColor="text1"/>
          <w:sz w:val="20"/>
          <w:szCs w:val="20"/>
        </w:rPr>
        <w:fldChar w:fldCharType="end"/>
      </w:r>
      <w:r w:rsidRPr="00BA4055">
        <w:rPr>
          <w:color w:val="000000" w:themeColor="text1"/>
          <w:sz w:val="20"/>
          <w:szCs w:val="20"/>
        </w:rPr>
        <w:t>Míra nezaměstnanosti</w:t>
      </w:r>
      <w:bookmarkEnd w:id="14"/>
    </w:p>
    <w:p w14:paraId="21EB75B3" w14:textId="2BD6FDB1" w:rsidR="00EA0138" w:rsidRDefault="00264359" w:rsidP="002B114C">
      <w:pPr>
        <w:spacing w:after="480"/>
        <w:ind w:firstLine="0"/>
        <w:rPr>
          <w:i/>
          <w:color w:val="000000" w:themeColor="text1"/>
          <w:sz w:val="20"/>
          <w:szCs w:val="20"/>
        </w:rPr>
      </w:pPr>
      <w:r w:rsidRPr="00BA4055">
        <w:rPr>
          <w:i/>
          <w:color w:val="000000" w:themeColor="text1"/>
          <w:sz w:val="20"/>
          <w:szCs w:val="20"/>
        </w:rPr>
        <w:t xml:space="preserve">Zdroj: Makroekonomická analýza teorie a praxe, </w:t>
      </w:r>
      <w:r w:rsidR="00E349A4">
        <w:rPr>
          <w:i/>
          <w:color w:val="000000" w:themeColor="text1"/>
          <w:sz w:val="20"/>
          <w:szCs w:val="20"/>
        </w:rPr>
        <w:t xml:space="preserve">M. </w:t>
      </w:r>
      <w:proofErr w:type="spellStart"/>
      <w:r w:rsidR="00E349A4">
        <w:rPr>
          <w:i/>
          <w:color w:val="000000" w:themeColor="text1"/>
          <w:sz w:val="20"/>
        </w:rPr>
        <w:t>Rojíček</w:t>
      </w:r>
      <w:proofErr w:type="spellEnd"/>
      <w:r w:rsidR="00E349A4">
        <w:rPr>
          <w:i/>
          <w:color w:val="000000" w:themeColor="text1"/>
          <w:sz w:val="20"/>
        </w:rPr>
        <w:t>, V.</w:t>
      </w:r>
      <w:r w:rsidR="00E349A4" w:rsidRPr="00E349A4">
        <w:rPr>
          <w:i/>
          <w:color w:val="000000" w:themeColor="text1"/>
          <w:sz w:val="20"/>
        </w:rPr>
        <w:t xml:space="preserve"> Spěváček a kolektiv</w:t>
      </w:r>
      <w:r w:rsidRPr="00BA4055">
        <w:rPr>
          <w:i/>
          <w:color w:val="000000" w:themeColor="text1"/>
          <w:sz w:val="20"/>
          <w:szCs w:val="20"/>
        </w:rPr>
        <w:t>, s. 227,</w:t>
      </w:r>
    </w:p>
    <w:p w14:paraId="1AB5A652" w14:textId="48272E04" w:rsidR="0056237C" w:rsidRDefault="0056237C" w:rsidP="002B114C">
      <w:pPr>
        <w:pStyle w:val="Nadpis4"/>
        <w:numPr>
          <w:ilvl w:val="0"/>
          <w:numId w:val="0"/>
        </w:numPr>
      </w:pPr>
      <w:r>
        <w:t>Mí</w:t>
      </w:r>
      <w:r w:rsidR="000773FB">
        <w:t>ra registrované nezaměstnanosti</w:t>
      </w:r>
    </w:p>
    <w:p w14:paraId="635332DF" w14:textId="01B2B600" w:rsidR="00F455F3" w:rsidRDefault="0056237C" w:rsidP="000773FB">
      <w:r>
        <w:t xml:space="preserve">Míra registrované nezaměstnanosti je </w:t>
      </w:r>
      <w:r w:rsidRPr="00A73033">
        <w:rPr>
          <w:color w:val="000000" w:themeColor="text1"/>
        </w:rPr>
        <w:t>vyjádřená ukazatelem</w:t>
      </w:r>
      <w:r w:rsidRPr="00A73033">
        <w:rPr>
          <w:i/>
          <w:color w:val="000000" w:themeColor="text1"/>
        </w:rPr>
        <w:t xml:space="preserve"> </w:t>
      </w:r>
      <w:proofErr w:type="spellStart"/>
      <w:r w:rsidRPr="00A73033">
        <w:rPr>
          <w:i/>
        </w:rPr>
        <w:t>u</w:t>
      </w:r>
      <w:r w:rsidRPr="00A73033">
        <w:rPr>
          <w:i/>
          <w:vertAlign w:val="superscript"/>
        </w:rPr>
        <w:t>r</w:t>
      </w:r>
      <w:r w:rsidRPr="00A73033">
        <w:rPr>
          <w:i/>
          <w:vertAlign w:val="subscript"/>
        </w:rPr>
        <w:t>t</w:t>
      </w:r>
      <w:proofErr w:type="spellEnd"/>
      <w:r w:rsidR="0049722F">
        <w:t xml:space="preserve">. </w:t>
      </w:r>
      <w:r>
        <w:t xml:space="preserve">Vzorec míry registrované nezaměstnanosti je vyjádřen zlomkem. Do čitatele </w:t>
      </w:r>
      <w:r w:rsidRPr="00A73033">
        <w:rPr>
          <w:color w:val="000000" w:themeColor="text1"/>
        </w:rPr>
        <w:t xml:space="preserve">zlomku </w:t>
      </w:r>
      <w:r w:rsidR="00A73033" w:rsidRPr="00A73033">
        <w:rPr>
          <w:color w:val="000000" w:themeColor="text1"/>
        </w:rPr>
        <w:t>je zařazován</w:t>
      </w:r>
      <w:r w:rsidRPr="00A73033">
        <w:rPr>
          <w:color w:val="000000" w:themeColor="text1"/>
        </w:rPr>
        <w:t xml:space="preserve"> </w:t>
      </w:r>
      <w:r>
        <w:t>počet</w:t>
      </w:r>
      <w:r w:rsidR="004D2D4B">
        <w:t xml:space="preserve"> uchazečů, kteří jsou registrova</w:t>
      </w:r>
      <w:r>
        <w:t>ní na úřadu práce a hledají zaměstnání.</w:t>
      </w:r>
      <w:r w:rsidR="001F4DBE">
        <w:t xml:space="preserve"> </w:t>
      </w:r>
      <w:r>
        <w:t>Čitatel</w:t>
      </w:r>
      <w:r w:rsidR="00AC2A00">
        <w:t xml:space="preserve"> zlomku</w:t>
      </w:r>
      <w:r w:rsidR="0049722F">
        <w:t xml:space="preserve"> </w:t>
      </w:r>
      <w:r w:rsidR="00A73033">
        <w:rPr>
          <w:color w:val="000000" w:themeColor="text1"/>
        </w:rPr>
        <w:t>lze označit</w:t>
      </w:r>
      <w:r w:rsidR="0049722F">
        <w:t xml:space="preserve"> indikátorem </w:t>
      </w:r>
      <w:proofErr w:type="spellStart"/>
      <w:r w:rsidRPr="00A73033">
        <w:rPr>
          <w:i/>
        </w:rPr>
        <w:t>U</w:t>
      </w:r>
      <w:r w:rsidRPr="00A73033">
        <w:rPr>
          <w:i/>
          <w:vertAlign w:val="superscript"/>
        </w:rPr>
        <w:t>r</w:t>
      </w:r>
      <w:r w:rsidRPr="00A73033">
        <w:rPr>
          <w:i/>
          <w:vertAlign w:val="subscript"/>
        </w:rPr>
        <w:t>t</w:t>
      </w:r>
      <w:proofErr w:type="spellEnd"/>
      <w:r>
        <w:rPr>
          <w:vertAlign w:val="subscript"/>
        </w:rPr>
        <w:t xml:space="preserve">. </w:t>
      </w:r>
      <w:r>
        <w:t>Jmenovatel zlomku je označován součtem dvou ukazatelů.</w:t>
      </w:r>
      <w:r w:rsidR="000773FB">
        <w:t xml:space="preserve"> </w:t>
      </w:r>
      <w:r w:rsidR="009633EA">
        <w:t>Tě</w:t>
      </w:r>
      <w:r w:rsidR="00F455F3">
        <w:t xml:space="preserve">mito ukazateli </w:t>
      </w:r>
      <w:r w:rsidR="00A73033" w:rsidRPr="00A73033">
        <w:rPr>
          <w:color w:val="000000" w:themeColor="text1"/>
        </w:rPr>
        <w:t>lze rozumět</w:t>
      </w:r>
      <w:r w:rsidR="00F455F3" w:rsidRPr="00A73033">
        <w:rPr>
          <w:color w:val="000000" w:themeColor="text1"/>
        </w:rPr>
        <w:t xml:space="preserve"> </w:t>
      </w:r>
      <w:proofErr w:type="spellStart"/>
      <w:r w:rsidR="00F455F3" w:rsidRPr="00A73033">
        <w:rPr>
          <w:i/>
        </w:rPr>
        <w:t>U</w:t>
      </w:r>
      <w:r w:rsidR="00F455F3" w:rsidRPr="00A73033">
        <w:rPr>
          <w:i/>
          <w:vertAlign w:val="superscript"/>
        </w:rPr>
        <w:t>r</w:t>
      </w:r>
      <w:r w:rsidR="00F455F3" w:rsidRPr="00A73033">
        <w:rPr>
          <w:i/>
          <w:vertAlign w:val="subscript"/>
        </w:rPr>
        <w:t>t</w:t>
      </w:r>
      <w:proofErr w:type="spellEnd"/>
      <w:r w:rsidR="00F455F3">
        <w:rPr>
          <w:vertAlign w:val="subscript"/>
        </w:rPr>
        <w:t xml:space="preserve"> </w:t>
      </w:r>
      <w:r w:rsidR="00F455F3">
        <w:t xml:space="preserve">a </w:t>
      </w:r>
      <w:r w:rsidR="00F455F3" w:rsidRPr="00A73033">
        <w:rPr>
          <w:i/>
        </w:rPr>
        <w:t>E</w:t>
      </w:r>
      <w:r w:rsidR="00F455F3" w:rsidRPr="00A73033">
        <w:rPr>
          <w:i/>
          <w:vertAlign w:val="subscript"/>
        </w:rPr>
        <w:t>t</w:t>
      </w:r>
      <w:r w:rsidR="00F455F3">
        <w:t xml:space="preserve">. </w:t>
      </w:r>
      <w:r w:rsidR="00F455F3" w:rsidRPr="009050E7">
        <w:t>(S</w:t>
      </w:r>
      <w:r w:rsidR="00F455F3">
        <w:t>oučet osob, které jsou nezaměstnané, jsou registrované na úřadu práce a dalším s</w:t>
      </w:r>
      <w:r w:rsidR="009050E7">
        <w:t>čítancem jsou osoby zaměstnané.)</w:t>
      </w:r>
      <w:r w:rsidR="00061C63">
        <w:rPr>
          <w:rStyle w:val="Znakapoznpodarou"/>
        </w:rPr>
        <w:footnoteReference w:id="26"/>
      </w:r>
    </w:p>
    <w:p w14:paraId="09D37D3E" w14:textId="77777777" w:rsidR="00F455F3" w:rsidRDefault="00C512A0" w:rsidP="00F455F3">
      <w:pPr>
        <w:rPr>
          <w:noProof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r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r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r</m:t>
                  </m:r>
                </m:sup>
              </m:sSubSup>
            </m:den>
          </m:f>
        </m:oMath>
      </m:oMathPara>
    </w:p>
    <w:p w14:paraId="77833983" w14:textId="298E6F6D" w:rsidR="00061C63" w:rsidRPr="00061C63" w:rsidRDefault="00061C63" w:rsidP="00061C63">
      <w:pPr>
        <w:ind w:firstLine="0"/>
        <w:rPr>
          <w:i/>
          <w:color w:val="000000" w:themeColor="text1"/>
          <w:sz w:val="20"/>
          <w:szCs w:val="20"/>
        </w:rPr>
      </w:pPr>
      <w:bookmarkStart w:id="15" w:name="_Toc15639791"/>
      <w:r w:rsidRPr="00061C63">
        <w:rPr>
          <w:i/>
          <w:color w:val="000000" w:themeColor="text1"/>
          <w:sz w:val="20"/>
          <w:szCs w:val="20"/>
        </w:rPr>
        <w:t xml:space="preserve">Vzorec </w:t>
      </w:r>
      <w:r w:rsidRPr="00061C63">
        <w:rPr>
          <w:i/>
          <w:color w:val="000000" w:themeColor="text1"/>
          <w:sz w:val="20"/>
          <w:szCs w:val="20"/>
        </w:rPr>
        <w:fldChar w:fldCharType="begin"/>
      </w:r>
      <w:r w:rsidRPr="00061C63">
        <w:rPr>
          <w:i/>
          <w:color w:val="000000" w:themeColor="text1"/>
          <w:sz w:val="20"/>
          <w:szCs w:val="20"/>
        </w:rPr>
        <w:instrText xml:space="preserve"> SEQ Vzorec \* ARABIC </w:instrText>
      </w:r>
      <w:r w:rsidRPr="00061C63">
        <w:rPr>
          <w:i/>
          <w:color w:val="000000" w:themeColor="text1"/>
          <w:sz w:val="20"/>
          <w:szCs w:val="20"/>
        </w:rPr>
        <w:fldChar w:fldCharType="separate"/>
      </w:r>
      <w:r w:rsidR="0040267A">
        <w:rPr>
          <w:i/>
          <w:noProof/>
          <w:color w:val="000000" w:themeColor="text1"/>
          <w:sz w:val="20"/>
          <w:szCs w:val="20"/>
        </w:rPr>
        <w:t>6</w:t>
      </w:r>
      <w:r w:rsidRPr="00061C63">
        <w:rPr>
          <w:i/>
          <w:color w:val="000000" w:themeColor="text1"/>
          <w:sz w:val="20"/>
          <w:szCs w:val="20"/>
        </w:rPr>
        <w:fldChar w:fldCharType="end"/>
      </w:r>
      <w:r w:rsidRPr="00061C63">
        <w:rPr>
          <w:i/>
          <w:color w:val="000000" w:themeColor="text1"/>
          <w:sz w:val="20"/>
          <w:szCs w:val="20"/>
        </w:rPr>
        <w:t xml:space="preserve"> Míra registrované n</w:t>
      </w:r>
      <w:r w:rsidR="003B757E">
        <w:rPr>
          <w:i/>
          <w:color w:val="000000" w:themeColor="text1"/>
          <w:sz w:val="20"/>
          <w:szCs w:val="20"/>
        </w:rPr>
        <w:t>ezaměstnanosti</w:t>
      </w:r>
      <w:bookmarkEnd w:id="15"/>
    </w:p>
    <w:p w14:paraId="1DC493C2" w14:textId="2BC34612" w:rsidR="002B114C" w:rsidRDefault="00061C63" w:rsidP="008832DF">
      <w:pPr>
        <w:ind w:firstLine="0"/>
        <w:rPr>
          <w:i/>
          <w:color w:val="000000" w:themeColor="text1"/>
          <w:sz w:val="20"/>
          <w:szCs w:val="20"/>
        </w:rPr>
      </w:pPr>
      <w:r w:rsidRPr="00061C63">
        <w:rPr>
          <w:i/>
          <w:color w:val="000000" w:themeColor="text1"/>
          <w:sz w:val="20"/>
          <w:szCs w:val="20"/>
        </w:rPr>
        <w:t xml:space="preserve">Zdroj: Makroekonomická analýza teorie a praxe, </w:t>
      </w:r>
      <w:r w:rsidR="00E349A4">
        <w:rPr>
          <w:i/>
          <w:color w:val="000000" w:themeColor="text1"/>
          <w:sz w:val="20"/>
          <w:szCs w:val="20"/>
        </w:rPr>
        <w:t xml:space="preserve">M. </w:t>
      </w:r>
      <w:proofErr w:type="spellStart"/>
      <w:r w:rsidR="00E349A4">
        <w:rPr>
          <w:i/>
          <w:color w:val="000000" w:themeColor="text1"/>
          <w:sz w:val="20"/>
        </w:rPr>
        <w:t>Rojíček</w:t>
      </w:r>
      <w:proofErr w:type="spellEnd"/>
      <w:r w:rsidR="00E349A4">
        <w:rPr>
          <w:i/>
          <w:color w:val="000000" w:themeColor="text1"/>
          <w:sz w:val="20"/>
        </w:rPr>
        <w:t>, V.</w:t>
      </w:r>
      <w:r w:rsidR="00E349A4" w:rsidRPr="00E349A4">
        <w:rPr>
          <w:i/>
          <w:color w:val="000000" w:themeColor="text1"/>
          <w:sz w:val="20"/>
        </w:rPr>
        <w:t xml:space="preserve"> Spěváček a kolektiv</w:t>
      </w:r>
      <w:r w:rsidRPr="00061C63">
        <w:rPr>
          <w:i/>
          <w:color w:val="000000" w:themeColor="text1"/>
          <w:sz w:val="20"/>
          <w:szCs w:val="20"/>
        </w:rPr>
        <w:t>, s. 228,</w:t>
      </w:r>
    </w:p>
    <w:p w14:paraId="24AC5BC0" w14:textId="146C5832" w:rsidR="008832DF" w:rsidRPr="0078144C" w:rsidRDefault="002B114C" w:rsidP="002B114C">
      <w:pPr>
        <w:spacing w:after="200" w:line="276" w:lineRule="auto"/>
        <w:ind w:firstLine="0"/>
        <w:jc w:val="lef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br w:type="page"/>
      </w:r>
    </w:p>
    <w:p w14:paraId="6364AEC6" w14:textId="153853B4" w:rsidR="0056237C" w:rsidRDefault="0056237C" w:rsidP="002B114C">
      <w:pPr>
        <w:pStyle w:val="Nadpis4"/>
        <w:numPr>
          <w:ilvl w:val="0"/>
          <w:numId w:val="0"/>
        </w:numPr>
      </w:pPr>
      <w:r>
        <w:lastRenderedPageBreak/>
        <w:t>Míra dlo</w:t>
      </w:r>
      <w:r w:rsidR="00184FE0">
        <w:t>uhodobé nezaměstnanosti</w:t>
      </w:r>
    </w:p>
    <w:p w14:paraId="7E0A9620" w14:textId="00CE1FA9" w:rsidR="00057D3E" w:rsidRPr="0078144C" w:rsidRDefault="0056237C" w:rsidP="0078144C">
      <w:r>
        <w:t xml:space="preserve">Dlouhodobou </w:t>
      </w:r>
      <w:r w:rsidRPr="00A73033">
        <w:rPr>
          <w:color w:val="000000" w:themeColor="text1"/>
        </w:rPr>
        <w:t xml:space="preserve">nezaměstnaností </w:t>
      </w:r>
      <w:r w:rsidR="00A73033" w:rsidRPr="00A73033">
        <w:rPr>
          <w:color w:val="000000" w:themeColor="text1"/>
        </w:rPr>
        <w:t>lze rozumět</w:t>
      </w:r>
      <w:r w:rsidRPr="00A73033">
        <w:rPr>
          <w:color w:val="000000" w:themeColor="text1"/>
        </w:rPr>
        <w:t xml:space="preserve"> </w:t>
      </w:r>
      <w:r w:rsidR="00897E54" w:rsidRPr="00A73033">
        <w:rPr>
          <w:color w:val="000000" w:themeColor="text1"/>
        </w:rPr>
        <w:t xml:space="preserve">dobu, </w:t>
      </w:r>
      <w:r w:rsidR="00897E54">
        <w:t xml:space="preserve">která činí </w:t>
      </w:r>
      <w:r>
        <w:t xml:space="preserve">12 </w:t>
      </w:r>
      <w:r w:rsidRPr="005E786E">
        <w:t>měsíců</w:t>
      </w:r>
      <w:r w:rsidR="00835E7D" w:rsidRPr="005E786E">
        <w:t xml:space="preserve"> a více</w:t>
      </w:r>
      <w:r w:rsidR="00342A8F" w:rsidRPr="005E786E">
        <w:t>.</w:t>
      </w:r>
      <w:r w:rsidR="00061C63">
        <w:rPr>
          <w:rStyle w:val="Znakapoznpodarou"/>
        </w:rPr>
        <w:footnoteReference w:id="27"/>
      </w:r>
      <w:r w:rsidR="0078144C">
        <w:t xml:space="preserve"> </w:t>
      </w:r>
      <w:r w:rsidR="0093589F" w:rsidRPr="00057D3E">
        <w:rPr>
          <w:color w:val="000000" w:themeColor="text1"/>
        </w:rPr>
        <w:t xml:space="preserve">Pokud </w:t>
      </w:r>
      <w:r w:rsidR="00342A8F" w:rsidRPr="005E786E">
        <w:rPr>
          <w:color w:val="000000" w:themeColor="text1"/>
        </w:rPr>
        <w:t>jsou</w:t>
      </w:r>
      <w:r w:rsidR="00342A8F">
        <w:rPr>
          <w:color w:val="000000" w:themeColor="text1"/>
        </w:rPr>
        <w:t xml:space="preserve"> </w:t>
      </w:r>
      <w:r w:rsidR="0093589F" w:rsidRPr="00057D3E">
        <w:rPr>
          <w:color w:val="000000" w:themeColor="text1"/>
        </w:rPr>
        <w:t xml:space="preserve">osoby nezaměstnané </w:t>
      </w:r>
      <w:r w:rsidR="00F14650">
        <w:rPr>
          <w:color w:val="000000" w:themeColor="text1"/>
        </w:rPr>
        <w:t>delší dobu než 24 měsíců</w:t>
      </w:r>
      <w:r w:rsidR="00342A8F">
        <w:rPr>
          <w:color w:val="000000" w:themeColor="text1"/>
        </w:rPr>
        <w:t>,</w:t>
      </w:r>
      <w:r w:rsidR="00F14650">
        <w:rPr>
          <w:color w:val="000000" w:themeColor="text1"/>
        </w:rPr>
        <w:t xml:space="preserve"> </w:t>
      </w:r>
      <w:r w:rsidR="00A73033">
        <w:rPr>
          <w:color w:val="000000" w:themeColor="text1"/>
        </w:rPr>
        <w:t>jsou zařazovány</w:t>
      </w:r>
      <w:r w:rsidR="00342A8F">
        <w:rPr>
          <w:color w:val="000000" w:themeColor="text1"/>
        </w:rPr>
        <w:t xml:space="preserve"> </w:t>
      </w:r>
      <w:r w:rsidR="0093589F" w:rsidRPr="005E786E">
        <w:rPr>
          <w:color w:val="000000" w:themeColor="text1"/>
        </w:rPr>
        <w:t>do skupiny velm</w:t>
      </w:r>
      <w:r w:rsidR="003B757E">
        <w:rPr>
          <w:color w:val="000000" w:themeColor="text1"/>
        </w:rPr>
        <w:t>i dlouhá míra nezaměstnanosti.</w:t>
      </w:r>
      <w:r w:rsidR="00061C63">
        <w:rPr>
          <w:rStyle w:val="Znakapoznpodarou"/>
          <w:color w:val="000000" w:themeColor="text1"/>
        </w:rPr>
        <w:footnoteReference w:id="28"/>
      </w:r>
    </w:p>
    <w:p w14:paraId="772E4AE0" w14:textId="204CD857" w:rsidR="0056237C" w:rsidRDefault="0056237C" w:rsidP="00184FE0">
      <w:pPr>
        <w:spacing w:after="240"/>
      </w:pPr>
      <w:r>
        <w:t xml:space="preserve">Dlouhodobá nezaměstnanost je označována ukazatelem </w:t>
      </w:r>
      <w:proofErr w:type="spellStart"/>
      <w:r w:rsidRPr="00A73033">
        <w:rPr>
          <w:i/>
        </w:rPr>
        <w:t>u</w:t>
      </w:r>
      <w:r w:rsidRPr="00A73033">
        <w:rPr>
          <w:i/>
          <w:vertAlign w:val="subscript"/>
        </w:rPr>
        <w:t>t</w:t>
      </w:r>
      <w:r w:rsidRPr="00A73033">
        <w:rPr>
          <w:i/>
          <w:vertAlign w:val="superscript"/>
        </w:rPr>
        <w:t>LR</w:t>
      </w:r>
      <w:proofErr w:type="spellEnd"/>
      <w:r w:rsidR="002A4AA8">
        <w:t xml:space="preserve">. </w:t>
      </w:r>
      <w:r>
        <w:t xml:space="preserve">Výpočet dlouhodobé nezaměstnanosti se skládá </w:t>
      </w:r>
      <w:r w:rsidR="00897E54">
        <w:t xml:space="preserve">ze zlomku. V čitateli </w:t>
      </w:r>
      <w:r w:rsidR="00342A8F" w:rsidRPr="005E786E">
        <w:t xml:space="preserve">se uvádí </w:t>
      </w:r>
      <w:r w:rsidR="00897E54" w:rsidRPr="005E786E">
        <w:t>indikátor</w:t>
      </w:r>
      <w:r>
        <w:t xml:space="preserve"> </w:t>
      </w:r>
      <w:proofErr w:type="spellStart"/>
      <w:r w:rsidRPr="00A73033">
        <w:rPr>
          <w:i/>
        </w:rPr>
        <w:t>Ut</w:t>
      </w:r>
      <w:r w:rsidRPr="00A73033">
        <w:rPr>
          <w:i/>
          <w:vertAlign w:val="superscript"/>
        </w:rPr>
        <w:t>LR</w:t>
      </w:r>
      <w:proofErr w:type="spellEnd"/>
      <w:r>
        <w:t>, který zna</w:t>
      </w:r>
      <w:r w:rsidR="002A4AA8">
        <w:t xml:space="preserve">čí dlouhodobou nezaměstnanost. </w:t>
      </w:r>
      <w:r>
        <w:t xml:space="preserve">Do jmenovatele </w:t>
      </w:r>
      <w:r w:rsidRPr="00A73033">
        <w:rPr>
          <w:color w:val="000000" w:themeColor="text1"/>
        </w:rPr>
        <w:t>zlomku</w:t>
      </w:r>
      <w:r w:rsidR="00897E54" w:rsidRPr="00A73033">
        <w:rPr>
          <w:color w:val="000000" w:themeColor="text1"/>
        </w:rPr>
        <w:t xml:space="preserve"> </w:t>
      </w:r>
      <w:r w:rsidR="00A73033" w:rsidRPr="00A73033">
        <w:rPr>
          <w:color w:val="000000" w:themeColor="text1"/>
        </w:rPr>
        <w:t>je zařazováno</w:t>
      </w:r>
      <w:r w:rsidRPr="00A73033">
        <w:rPr>
          <w:color w:val="000000" w:themeColor="text1"/>
        </w:rPr>
        <w:t xml:space="preserve"> </w:t>
      </w:r>
      <w:r>
        <w:t>aktivní osoby.</w:t>
      </w:r>
      <w:r w:rsidR="00061C63">
        <w:rPr>
          <w:rStyle w:val="Znakapoznpodarou"/>
        </w:rPr>
        <w:footnoteReference w:id="29"/>
      </w:r>
    </w:p>
    <w:p w14:paraId="45FB59F4" w14:textId="77777777" w:rsidR="0056237C" w:rsidRPr="0067683B" w:rsidRDefault="00C512A0" w:rsidP="0056237C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LR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</w:rPr>
                    <m:t>LR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</m:oMath>
      </m:oMathPara>
    </w:p>
    <w:p w14:paraId="2E604376" w14:textId="5B5BE506" w:rsidR="00061C63" w:rsidRPr="00061C63" w:rsidRDefault="00061C63" w:rsidP="00061C63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bookmarkStart w:id="16" w:name="_Toc15639792"/>
      <w:r w:rsidRPr="00061C63">
        <w:rPr>
          <w:color w:val="000000" w:themeColor="text1"/>
          <w:sz w:val="20"/>
          <w:szCs w:val="20"/>
        </w:rPr>
        <w:t xml:space="preserve">Vzorec </w:t>
      </w:r>
      <w:r w:rsidRPr="00061C63">
        <w:rPr>
          <w:color w:val="000000" w:themeColor="text1"/>
          <w:sz w:val="20"/>
          <w:szCs w:val="20"/>
        </w:rPr>
        <w:fldChar w:fldCharType="begin"/>
      </w:r>
      <w:r w:rsidRPr="00061C63">
        <w:rPr>
          <w:color w:val="000000" w:themeColor="text1"/>
          <w:sz w:val="20"/>
          <w:szCs w:val="20"/>
        </w:rPr>
        <w:instrText xml:space="preserve"> SEQ Vzorec \* ARABIC </w:instrText>
      </w:r>
      <w:r w:rsidRPr="00061C63">
        <w:rPr>
          <w:color w:val="000000" w:themeColor="text1"/>
          <w:sz w:val="20"/>
          <w:szCs w:val="20"/>
        </w:rPr>
        <w:fldChar w:fldCharType="separate"/>
      </w:r>
      <w:r w:rsidR="0040267A">
        <w:rPr>
          <w:noProof/>
          <w:color w:val="000000" w:themeColor="text1"/>
          <w:sz w:val="20"/>
          <w:szCs w:val="20"/>
        </w:rPr>
        <w:t>7</w:t>
      </w:r>
      <w:r w:rsidRPr="00061C63">
        <w:rPr>
          <w:color w:val="000000" w:themeColor="text1"/>
          <w:sz w:val="20"/>
          <w:szCs w:val="20"/>
        </w:rPr>
        <w:fldChar w:fldCharType="end"/>
      </w:r>
      <w:r w:rsidRPr="00061C63">
        <w:rPr>
          <w:color w:val="000000" w:themeColor="text1"/>
          <w:sz w:val="20"/>
          <w:szCs w:val="20"/>
        </w:rPr>
        <w:t xml:space="preserve"> Míra dlouhodobé nezaměstnanosti</w:t>
      </w:r>
      <w:bookmarkEnd w:id="16"/>
    </w:p>
    <w:p w14:paraId="28F06996" w14:textId="3BD6F866" w:rsidR="002B114C" w:rsidRDefault="00061C63" w:rsidP="0078144C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r w:rsidRPr="00061C63">
        <w:rPr>
          <w:color w:val="000000" w:themeColor="text1"/>
          <w:sz w:val="20"/>
          <w:szCs w:val="20"/>
        </w:rPr>
        <w:t>Zdroj: Makroekonomická analýza teorie a praxe</w:t>
      </w:r>
      <w:r w:rsidRPr="004639C3">
        <w:rPr>
          <w:color w:val="000000" w:themeColor="text1"/>
          <w:sz w:val="20"/>
          <w:szCs w:val="20"/>
        </w:rPr>
        <w:t xml:space="preserve">, </w:t>
      </w:r>
      <w:r w:rsidR="004639C3" w:rsidRPr="004639C3">
        <w:rPr>
          <w:color w:val="000000" w:themeColor="text1"/>
          <w:sz w:val="20"/>
          <w:szCs w:val="20"/>
        </w:rPr>
        <w:t xml:space="preserve">M. </w:t>
      </w:r>
      <w:proofErr w:type="spellStart"/>
      <w:r w:rsidR="004639C3" w:rsidRPr="004639C3">
        <w:rPr>
          <w:color w:val="000000" w:themeColor="text1"/>
          <w:sz w:val="20"/>
        </w:rPr>
        <w:t>Rojíček</w:t>
      </w:r>
      <w:proofErr w:type="spellEnd"/>
      <w:r w:rsidR="004639C3" w:rsidRPr="004639C3">
        <w:rPr>
          <w:color w:val="000000" w:themeColor="text1"/>
          <w:sz w:val="20"/>
        </w:rPr>
        <w:t>, V. Spěváček a kolektiv</w:t>
      </w:r>
      <w:r w:rsidRPr="004639C3">
        <w:rPr>
          <w:color w:val="000000" w:themeColor="text1"/>
          <w:sz w:val="20"/>
          <w:szCs w:val="20"/>
        </w:rPr>
        <w:t>,</w:t>
      </w:r>
      <w:r w:rsidRPr="00061C63">
        <w:rPr>
          <w:color w:val="000000" w:themeColor="text1"/>
          <w:sz w:val="20"/>
          <w:szCs w:val="20"/>
        </w:rPr>
        <w:t xml:space="preserve"> s. 228</w:t>
      </w:r>
      <w:r w:rsidR="00184FE0">
        <w:rPr>
          <w:color w:val="000000" w:themeColor="text1"/>
          <w:sz w:val="20"/>
          <w:szCs w:val="20"/>
        </w:rPr>
        <w:t>,</w:t>
      </w:r>
    </w:p>
    <w:p w14:paraId="3BAD3129" w14:textId="77777777" w:rsidR="002B114C" w:rsidRDefault="002B114C">
      <w:pPr>
        <w:spacing w:after="200" w:line="276" w:lineRule="auto"/>
        <w:ind w:firstLine="0"/>
        <w:jc w:val="left"/>
        <w:rPr>
          <w:i/>
          <w:i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25DB1FC8" w14:textId="41044469" w:rsidR="00655657" w:rsidRPr="00AA586D" w:rsidRDefault="00655657" w:rsidP="00DC2557">
      <w:pPr>
        <w:pStyle w:val="Nadpis2"/>
      </w:pPr>
      <w:bookmarkStart w:id="17" w:name="_Toc15889381"/>
      <w:r w:rsidRPr="00AA586D">
        <w:lastRenderedPageBreak/>
        <w:t>Nezaměstnanost</w:t>
      </w:r>
      <w:bookmarkEnd w:id="17"/>
    </w:p>
    <w:p w14:paraId="14CFBB08" w14:textId="66236957" w:rsidR="0067683B" w:rsidRPr="00BA4055" w:rsidRDefault="00897E54" w:rsidP="00BA4055">
      <w:pPr>
        <w:rPr>
          <w:sz w:val="20"/>
          <w:szCs w:val="20"/>
        </w:rPr>
      </w:pPr>
      <w:r w:rsidRPr="002611B1">
        <w:t>Z</w:t>
      </w:r>
      <w:r w:rsidR="00A73033">
        <w:rPr>
          <w:color w:val="FF0000"/>
        </w:rPr>
        <w:t xml:space="preserve"> </w:t>
      </w:r>
      <w:r w:rsidRPr="002611B1">
        <w:t>nezaměstnanost</w:t>
      </w:r>
      <w:r w:rsidR="00A73033">
        <w:t>i</w:t>
      </w:r>
      <w:r w:rsidRPr="002611B1">
        <w:t xml:space="preserve"> mají </w:t>
      </w:r>
      <w:r w:rsidR="003B291D">
        <w:t>obavy</w:t>
      </w:r>
      <w:r w:rsidRPr="002611B1">
        <w:t xml:space="preserve"> hlavně ekonomové, protože </w:t>
      </w:r>
      <w:r w:rsidR="00C5752B" w:rsidRPr="002611B1">
        <w:t>ji považují za druhý největší probl</w:t>
      </w:r>
      <w:r w:rsidR="0078144C">
        <w:t>ém v ekonomice hned po inflaci.</w:t>
      </w:r>
      <w:r w:rsidR="0078144C">
        <w:rPr>
          <w:rStyle w:val="Znakapoznpodarou"/>
        </w:rPr>
        <w:footnoteReference w:id="30"/>
      </w:r>
      <w:r w:rsidR="004A32AE">
        <w:t xml:space="preserve"> </w:t>
      </w:r>
      <w:r w:rsidR="004A32AE" w:rsidRPr="00A73033">
        <w:rPr>
          <w:color w:val="000000" w:themeColor="text1"/>
        </w:rPr>
        <w:t xml:space="preserve">Nezaměstnanost není hrozbou nejen pro ekonomy ale i pro </w:t>
      </w:r>
      <w:r w:rsidR="00A73033" w:rsidRPr="00A73033">
        <w:rPr>
          <w:color w:val="000000" w:themeColor="text1"/>
        </w:rPr>
        <w:t>domácnosti</w:t>
      </w:r>
      <w:r w:rsidR="004A32AE" w:rsidRPr="00A73033">
        <w:rPr>
          <w:color w:val="000000" w:themeColor="text1"/>
        </w:rPr>
        <w:t>.</w:t>
      </w:r>
      <w:r w:rsidR="00BA4055" w:rsidRPr="00A73033">
        <w:rPr>
          <w:color w:val="000000" w:themeColor="text1"/>
          <w:sz w:val="20"/>
          <w:szCs w:val="20"/>
        </w:rPr>
        <w:t xml:space="preserve"> </w:t>
      </w:r>
      <w:r w:rsidR="00655657" w:rsidRPr="002611B1">
        <w:t xml:space="preserve">V ekonomické teorii je nezaměstnanost rozlišována podle toho, z jakých důvodů </w:t>
      </w:r>
      <w:r w:rsidR="0061641E">
        <w:t>vzniká</w:t>
      </w:r>
      <w:r w:rsidR="00655657" w:rsidRPr="002611B1">
        <w:t>.</w:t>
      </w:r>
      <w:r w:rsidR="0078144C">
        <w:rPr>
          <w:rStyle w:val="Znakapoznpodarou"/>
        </w:rPr>
        <w:footnoteReference w:id="31"/>
      </w:r>
      <w:r w:rsidR="00BA4055">
        <w:rPr>
          <w:sz w:val="20"/>
          <w:szCs w:val="20"/>
        </w:rPr>
        <w:t xml:space="preserve"> </w:t>
      </w:r>
      <w:r w:rsidR="00802998" w:rsidRPr="002611B1">
        <w:rPr>
          <w:szCs w:val="20"/>
        </w:rPr>
        <w:t>Nezaměstnanost je situace, ke které dochází v n</w:t>
      </w:r>
      <w:r w:rsidR="00000F52">
        <w:rPr>
          <w:szCs w:val="20"/>
        </w:rPr>
        <w:t>árodním hospodářství. </w:t>
      </w:r>
      <w:r w:rsidR="00D55802" w:rsidRPr="002611B1">
        <w:rPr>
          <w:szCs w:val="20"/>
        </w:rPr>
        <w:t>K této situaci dochází</w:t>
      </w:r>
      <w:r w:rsidR="00802998" w:rsidRPr="002611B1">
        <w:rPr>
          <w:szCs w:val="20"/>
        </w:rPr>
        <w:t xml:space="preserve">, když pracovníci nenalézají pracovní uplatnění na trhu </w:t>
      </w:r>
      <w:r w:rsidR="00802998" w:rsidRPr="003B291D">
        <w:rPr>
          <w:szCs w:val="20"/>
        </w:rPr>
        <w:t>práce</w:t>
      </w:r>
      <w:r w:rsidR="003B291D" w:rsidRPr="003B291D">
        <w:rPr>
          <w:szCs w:val="20"/>
        </w:rPr>
        <w:t>.</w:t>
      </w:r>
      <w:r w:rsidR="0078144C" w:rsidRPr="003B291D">
        <w:rPr>
          <w:rStyle w:val="Znakapoznpodarou"/>
          <w:szCs w:val="20"/>
        </w:rPr>
        <w:footnoteReference w:id="32"/>
      </w:r>
    </w:p>
    <w:p w14:paraId="514F1BFC" w14:textId="5BC14FE7" w:rsidR="00C5752B" w:rsidRPr="007206F7" w:rsidRDefault="009E2303" w:rsidP="00DC2557">
      <w:pPr>
        <w:pStyle w:val="Nadpis3"/>
      </w:pPr>
      <w:bookmarkStart w:id="18" w:name="_Toc15889382"/>
      <w:r w:rsidRPr="007206F7">
        <w:t>Hlavní důvody nezaměstnanosti</w:t>
      </w:r>
      <w:bookmarkEnd w:id="18"/>
    </w:p>
    <w:p w14:paraId="4899D603" w14:textId="5FE78494" w:rsidR="009E2303" w:rsidRPr="009E2303" w:rsidRDefault="009E2303" w:rsidP="00A041F6">
      <w:pPr>
        <w:rPr>
          <w:i/>
        </w:rPr>
      </w:pPr>
      <w:r>
        <w:t>Prvním důvodem nezaměstnanosti jsou velmi rozsáhlé náklady, které podnik potřebuje na pracovníky. Hlavním nákladem, který vzniká</w:t>
      </w:r>
      <w:r w:rsidR="003B291D">
        <w:t xml:space="preserve"> firmám</w:t>
      </w:r>
      <w:r>
        <w:t xml:space="preserve"> při pracovním </w:t>
      </w:r>
      <w:r w:rsidRPr="000773FB">
        <w:t>poměru</w:t>
      </w:r>
      <w:r w:rsidR="004D0B2E" w:rsidRPr="000773FB">
        <w:t>,</w:t>
      </w:r>
      <w:r w:rsidRPr="000773FB">
        <w:t xml:space="preserve"> je mzda</w:t>
      </w:r>
      <w:r>
        <w:t xml:space="preserve">. Do mzdy </w:t>
      </w:r>
      <w:r w:rsidR="00D9611C" w:rsidRPr="00F51160">
        <w:rPr>
          <w:color w:val="000000" w:themeColor="text1"/>
        </w:rPr>
        <w:t xml:space="preserve">se </w:t>
      </w:r>
      <w:r w:rsidR="00D9611C" w:rsidRPr="00D9611C">
        <w:rPr>
          <w:color w:val="000000" w:themeColor="text1"/>
        </w:rPr>
        <w:t>musí</w:t>
      </w:r>
      <w:r w:rsidRPr="00D9611C">
        <w:rPr>
          <w:color w:val="000000" w:themeColor="text1"/>
        </w:rPr>
        <w:t xml:space="preserve"> z</w:t>
      </w:r>
      <w:r>
        <w:t xml:space="preserve">ahrnout určité odvody, </w:t>
      </w:r>
      <w:r w:rsidR="00D55802" w:rsidRPr="00D55802">
        <w:t>příkladem j</w:t>
      </w:r>
      <w:r w:rsidR="00D55802">
        <w:t>e</w:t>
      </w:r>
      <w:r>
        <w:t xml:space="preserve"> sociální a zdravotní pojištění. </w:t>
      </w:r>
      <w:r w:rsidRPr="002B114C">
        <w:rPr>
          <w:rStyle w:val="st"/>
          <w:i/>
        </w:rPr>
        <w:t>„</w:t>
      </w:r>
      <w:r w:rsidRPr="002B114C">
        <w:rPr>
          <w:i/>
        </w:rPr>
        <w:t>J</w:t>
      </w:r>
      <w:r w:rsidRPr="009E2303">
        <w:rPr>
          <w:i/>
        </w:rPr>
        <w:t xml:space="preserve">de </w:t>
      </w:r>
      <w:r w:rsidR="004E6E12">
        <w:rPr>
          <w:i/>
        </w:rPr>
        <w:br/>
      </w:r>
      <w:r w:rsidRPr="009E2303">
        <w:rPr>
          <w:i/>
        </w:rPr>
        <w:t>o zásadní problém, který úzce souvisí s vysokou sociální ochranou pracovníků (vysokou rigiditou pracovních trhů) a celkově s koncepcí tz</w:t>
      </w:r>
      <w:r w:rsidR="002B114C">
        <w:rPr>
          <w:i/>
        </w:rPr>
        <w:t>v. evropského sociálního modelu.</w:t>
      </w:r>
      <w:r w:rsidRPr="002B114C">
        <w:rPr>
          <w:rStyle w:val="st"/>
          <w:i/>
        </w:rPr>
        <w:t>“</w:t>
      </w:r>
      <w:r w:rsidR="00A268CD">
        <w:rPr>
          <w:rStyle w:val="Znakapoznpodarou"/>
        </w:rPr>
        <w:footnoteReference w:id="33"/>
      </w:r>
    </w:p>
    <w:p w14:paraId="23D817DF" w14:textId="6175C5EA" w:rsidR="009E2303" w:rsidRPr="00D9611C" w:rsidRDefault="009E2303" w:rsidP="00A268CD">
      <w:pPr>
        <w:spacing w:before="120"/>
        <w:rPr>
          <w:color w:val="000000" w:themeColor="text1"/>
        </w:rPr>
      </w:pPr>
      <w:r w:rsidRPr="0061641E">
        <w:t xml:space="preserve">I </w:t>
      </w:r>
      <w:r w:rsidR="00D55802" w:rsidRPr="0061641E">
        <w:t>rozvoj</w:t>
      </w:r>
      <w:r w:rsidRPr="0061641E">
        <w:t xml:space="preserve"> technologií</w:t>
      </w:r>
      <w:r w:rsidRPr="00D9611C">
        <w:rPr>
          <w:color w:val="000000" w:themeColor="text1"/>
        </w:rPr>
        <w:t xml:space="preserve"> </w:t>
      </w:r>
      <w:r w:rsidR="00D9611C" w:rsidRPr="00D9611C">
        <w:rPr>
          <w:color w:val="000000" w:themeColor="text1"/>
        </w:rPr>
        <w:t>lze</w:t>
      </w:r>
      <w:r w:rsidRPr="00D9611C">
        <w:rPr>
          <w:color w:val="000000" w:themeColor="text1"/>
        </w:rPr>
        <w:t xml:space="preserve"> </w:t>
      </w:r>
      <w:r w:rsidRPr="0061641E">
        <w:t xml:space="preserve">zařadit do </w:t>
      </w:r>
      <w:r w:rsidR="004E6E12" w:rsidRPr="004E6E12">
        <w:t>příčin</w:t>
      </w:r>
      <w:r w:rsidRPr="0061641E">
        <w:t xml:space="preserve"> nezaměstnanosti. </w:t>
      </w:r>
      <w:r w:rsidR="00D55802" w:rsidRPr="0061641E">
        <w:t>Pokud</w:t>
      </w:r>
      <w:r w:rsidR="001217E2" w:rsidRPr="0061641E">
        <w:t xml:space="preserve"> dojde ke změně technologie, dojde ke změně v ekonomice. Změna v ekonomice se může projevit vytlačením pracovní síly. Pracovní síla je </w:t>
      </w:r>
      <w:r w:rsidR="001217E2" w:rsidRPr="00D9611C">
        <w:rPr>
          <w:color w:val="000000" w:themeColor="text1"/>
        </w:rPr>
        <w:t>nahrazená kapitálem</w:t>
      </w:r>
      <w:r w:rsidR="001217E2" w:rsidRPr="0061641E">
        <w:t>, kt</w:t>
      </w:r>
      <w:r w:rsidR="004E6E12">
        <w:t>erý je méně finančně náročný</w:t>
      </w:r>
      <w:r w:rsidR="001217E2" w:rsidRPr="0061641E">
        <w:t>.</w:t>
      </w:r>
      <w:r w:rsidR="00600005" w:rsidRPr="0061641E">
        <w:t xml:space="preserve"> Pokud vznikne</w:t>
      </w:r>
      <w:r w:rsidR="00144F27" w:rsidRPr="0061641E">
        <w:t xml:space="preserve"> </w:t>
      </w:r>
      <w:r w:rsidR="00600005" w:rsidRPr="0061641E">
        <w:t xml:space="preserve"> rozmach technologií, </w:t>
      </w:r>
      <w:r w:rsidR="00144F27" w:rsidRPr="0061641E">
        <w:t>dochází i k rozvoji služeb, které najdeme v ekonomice v kvartérním sektoru</w:t>
      </w:r>
      <w:r w:rsidR="002B114C">
        <w:t>.</w:t>
      </w:r>
      <w:r w:rsidR="00A268CD" w:rsidRPr="00D9611C">
        <w:rPr>
          <w:rStyle w:val="Znakapoznpodarou"/>
          <w:color w:val="000000" w:themeColor="text1"/>
        </w:rPr>
        <w:footnoteReference w:id="34"/>
      </w:r>
    </w:p>
    <w:p w14:paraId="51CE8D1D" w14:textId="528B57BA" w:rsidR="008561E8" w:rsidRDefault="00051E73" w:rsidP="008561E8">
      <w:pPr>
        <w:spacing w:before="120"/>
      </w:pPr>
      <w:r>
        <w:t xml:space="preserve">Nezaměstnanost může vzniknout kvůli odlišnosti na trhu práce. Na trhu práce může být odlišná poptávka a </w:t>
      </w:r>
      <w:r w:rsidR="00DC492A">
        <w:t xml:space="preserve">odlišná nabídka. Pokud dojde k odlišnosti, znamená to, že na straně nabídky jsou pracovníci s jiným </w:t>
      </w:r>
      <w:r w:rsidR="009A4E17">
        <w:t>vzděláním, než firmy poptávají. Příkladem může být poptávka po řemeslnících, ale na trhu práce je nedostatek těchto žadatelů o práci.</w:t>
      </w:r>
      <w:r w:rsidR="00A268CD">
        <w:rPr>
          <w:rStyle w:val="Znakapoznpodarou"/>
        </w:rPr>
        <w:footnoteReference w:id="35"/>
      </w:r>
      <w:r w:rsidR="005F19B7">
        <w:t xml:space="preserve"> </w:t>
      </w:r>
      <w:r w:rsidR="00583D78">
        <w:t>Poslední</w:t>
      </w:r>
      <w:r w:rsidR="00D9611C">
        <w:rPr>
          <w:color w:val="FF0000"/>
        </w:rPr>
        <w:t xml:space="preserve"> </w:t>
      </w:r>
      <w:r w:rsidR="009A4E17" w:rsidRPr="005E786E">
        <w:t>důvod</w:t>
      </w:r>
      <w:r w:rsidR="005F19B7">
        <w:t xml:space="preserve"> </w:t>
      </w:r>
      <w:r w:rsidR="00C5752B" w:rsidRPr="002C5D92">
        <w:t>vznik</w:t>
      </w:r>
      <w:r w:rsidR="002C5D92" w:rsidRPr="002C5D92">
        <w:t>u</w:t>
      </w:r>
      <w:r w:rsidR="00C5752B" w:rsidRPr="002C5D92">
        <w:t xml:space="preserve"> nezaměstnanosti</w:t>
      </w:r>
      <w:r w:rsidR="00583D78" w:rsidRPr="002C5D92">
        <w:t xml:space="preserve"> je </w:t>
      </w:r>
      <w:r w:rsidR="004E6E12" w:rsidRPr="002C5D92">
        <w:t>malá mobilita</w:t>
      </w:r>
      <w:r w:rsidR="00AD2914" w:rsidRPr="002C5D92">
        <w:t xml:space="preserve"> pracovníků</w:t>
      </w:r>
      <w:r w:rsidR="00AD2914">
        <w:t>. Problém s nízkou mobilitou pracovníků není jen v Olomouckém a Středočeském kraji, problém nastává v zemích Evropské unie.</w:t>
      </w:r>
      <w:r w:rsidR="00A268CD">
        <w:rPr>
          <w:rStyle w:val="Znakapoznpodarou"/>
        </w:rPr>
        <w:footnoteReference w:id="36"/>
      </w:r>
    </w:p>
    <w:p w14:paraId="7274A840" w14:textId="376DE782" w:rsidR="00C5752B" w:rsidRPr="00C5752B" w:rsidRDefault="00583D78" w:rsidP="00DC2557">
      <w:pPr>
        <w:pStyle w:val="Nadpis3"/>
      </w:pPr>
      <w:bookmarkStart w:id="19" w:name="_Toc15889383"/>
      <w:r>
        <w:lastRenderedPageBreak/>
        <w:t>Druhy nezaměstnanosti</w:t>
      </w:r>
      <w:bookmarkEnd w:id="19"/>
    </w:p>
    <w:p w14:paraId="3BEAA958" w14:textId="584856B9" w:rsidR="007206F7" w:rsidRPr="007206F7" w:rsidRDefault="001D5A14" w:rsidP="008561E8">
      <w:pPr>
        <w:spacing w:before="120"/>
        <w:rPr>
          <w:vertAlign w:val="superscript"/>
        </w:rPr>
      </w:pPr>
      <w:r>
        <w:t xml:space="preserve">Mezi </w:t>
      </w:r>
      <w:r w:rsidR="0091609A">
        <w:t xml:space="preserve">základní druhy </w:t>
      </w:r>
      <w:r w:rsidR="008561E8">
        <w:t xml:space="preserve">nezaměstnanosti patří: </w:t>
      </w:r>
      <w:r w:rsidR="0091609A">
        <w:t xml:space="preserve">frikční nezaměstnanost, strukturální nezaměstnanost, </w:t>
      </w:r>
      <w:r w:rsidR="0091609A" w:rsidRPr="005E786E">
        <w:t>cyklick</w:t>
      </w:r>
      <w:r w:rsidR="00C5752B" w:rsidRPr="005E786E">
        <w:t>ou</w:t>
      </w:r>
      <w:r w:rsidR="008561E8">
        <w:t xml:space="preserve"> nezaměstnanost, </w:t>
      </w:r>
      <w:r w:rsidR="0091609A" w:rsidRPr="005E786E">
        <w:t>sezonní nezaměstnanost</w:t>
      </w:r>
      <w:r w:rsidR="00BB4D7B" w:rsidRPr="005E786E">
        <w:t>, technologick</w:t>
      </w:r>
      <w:r w:rsidR="00C5752B" w:rsidRPr="005E786E">
        <w:t>ou</w:t>
      </w:r>
      <w:r w:rsidR="00BB4D7B" w:rsidRPr="005E786E">
        <w:t xml:space="preserve"> nezaměstnanost a skrytá nezaměstnanost.</w:t>
      </w:r>
      <w:r w:rsidR="00A268CD">
        <w:rPr>
          <w:rStyle w:val="Znakapoznpodarou"/>
        </w:rPr>
        <w:footnoteReference w:id="37"/>
      </w:r>
    </w:p>
    <w:p w14:paraId="3398945F" w14:textId="60179493" w:rsidR="00C5752B" w:rsidRPr="00C5752B" w:rsidRDefault="00D27FE4" w:rsidP="00D27FE4">
      <w:pPr>
        <w:pStyle w:val="Nadpis4"/>
        <w:numPr>
          <w:ilvl w:val="0"/>
          <w:numId w:val="0"/>
        </w:numPr>
      </w:pPr>
      <w:r>
        <w:t>Frikční nezaměstnanost</w:t>
      </w:r>
    </w:p>
    <w:p w14:paraId="52879471" w14:textId="5D0E95F8" w:rsidR="00EF334D" w:rsidRDefault="00155CF8" w:rsidP="008561E8">
      <w:pPr>
        <w:rPr>
          <w:vertAlign w:val="superscript"/>
        </w:rPr>
      </w:pPr>
      <w:r w:rsidRPr="005E786E">
        <w:t xml:space="preserve">K  </w:t>
      </w:r>
      <w:r w:rsidR="00C5752B" w:rsidRPr="005E786E">
        <w:t xml:space="preserve">frikční </w:t>
      </w:r>
      <w:r w:rsidRPr="005E786E">
        <w:t xml:space="preserve">nezaměstnanosti dochází </w:t>
      </w:r>
      <w:r w:rsidR="00422A73">
        <w:t>v rámci životního cyklu o</w:t>
      </w:r>
      <w:r w:rsidRPr="005E786E">
        <w:t xml:space="preserve">byvatelstva. Pod pojmem frikční nezaměstnanost </w:t>
      </w:r>
      <w:r w:rsidR="00C5752B" w:rsidRPr="005E786E">
        <w:t>s</w:t>
      </w:r>
      <w:r w:rsidR="00C5752B" w:rsidRPr="00D9611C">
        <w:rPr>
          <w:color w:val="000000" w:themeColor="text1"/>
        </w:rPr>
        <w:t xml:space="preserve">i </w:t>
      </w:r>
      <w:r w:rsidR="00D9611C" w:rsidRPr="00D9611C">
        <w:rPr>
          <w:color w:val="000000" w:themeColor="text1"/>
        </w:rPr>
        <w:t xml:space="preserve">lze </w:t>
      </w:r>
      <w:r w:rsidR="00C5752B" w:rsidRPr="00D9611C">
        <w:rPr>
          <w:color w:val="000000" w:themeColor="text1"/>
        </w:rPr>
        <w:t xml:space="preserve">představit </w:t>
      </w:r>
      <w:r w:rsidR="00C5752B" w:rsidRPr="005E786E">
        <w:t>přesi</w:t>
      </w:r>
      <w:r w:rsidRPr="005E786E">
        <w:t xml:space="preserve">dlování lidí z jednoho regionu do dalšího regionu. Frikční </w:t>
      </w:r>
      <w:r w:rsidR="00EA37E5" w:rsidRPr="005E786E">
        <w:t>nez</w:t>
      </w:r>
      <w:r w:rsidR="00C5752B" w:rsidRPr="005E786E">
        <w:t>aměstnanost je</w:t>
      </w:r>
      <w:r w:rsidR="00EA37E5" w:rsidRPr="005E786E">
        <w:t xml:space="preserve"> spojována s</w:t>
      </w:r>
      <w:r w:rsidR="00ED2A69" w:rsidRPr="005E786E">
        <w:t> hledáním</w:t>
      </w:r>
      <w:r w:rsidR="00EA37E5" w:rsidRPr="005E786E">
        <w:t xml:space="preserve"> pracovní pozice po vystudování školy.</w:t>
      </w:r>
      <w:r w:rsidR="00ED2A69" w:rsidRPr="005E786E">
        <w:t xml:space="preserve"> Frikční nezaměstnanost vzniká, když se </w:t>
      </w:r>
      <w:r w:rsidR="00D9611C" w:rsidRPr="00D9611C">
        <w:rPr>
          <w:color w:val="000000" w:themeColor="text1"/>
        </w:rPr>
        <w:t>lidé přesídlují</w:t>
      </w:r>
      <w:r w:rsidR="00ED2A69" w:rsidRPr="00D9611C">
        <w:rPr>
          <w:color w:val="000000" w:themeColor="text1"/>
        </w:rPr>
        <w:t xml:space="preserve"> z </w:t>
      </w:r>
      <w:r w:rsidR="00ED2A69" w:rsidRPr="005E786E">
        <w:t>jednoho zaměstnání do druhého</w:t>
      </w:r>
      <w:r w:rsidR="00855275" w:rsidRPr="005E786E">
        <w:t xml:space="preserve"> lépe vyhovujícího zaměstnání. </w:t>
      </w:r>
      <w:r w:rsidR="0020295D" w:rsidRPr="005E786E">
        <w:t>Frikční nezaměstnanost je chápana</w:t>
      </w:r>
      <w:r w:rsidR="00CC317F" w:rsidRPr="005E786E">
        <w:t>, jako krátkodobá nezaměstnanost, která žádným svým důsle</w:t>
      </w:r>
      <w:r w:rsidR="0020295D" w:rsidRPr="005E786E">
        <w:t>dkem neškodí ekonomice, ale prospívá</w:t>
      </w:r>
      <w:r w:rsidR="00C5752B" w:rsidRPr="005E786E">
        <w:t xml:space="preserve"> jí</w:t>
      </w:r>
      <w:r w:rsidR="00CC317F" w:rsidRPr="005E786E">
        <w:t>.</w:t>
      </w:r>
      <w:r w:rsidR="00A268CD">
        <w:rPr>
          <w:rStyle w:val="Znakapoznpodarou"/>
        </w:rPr>
        <w:footnoteReference w:id="38"/>
      </w:r>
    </w:p>
    <w:p w14:paraId="3125BB7A" w14:textId="072CB9B5" w:rsidR="00EA7004" w:rsidRDefault="0041722E" w:rsidP="0040267B">
      <w:pPr>
        <w:rPr>
          <w:szCs w:val="20"/>
          <w:vertAlign w:val="superscript"/>
        </w:rPr>
      </w:pPr>
      <w:r w:rsidRPr="00B0722C">
        <w:t>U monetaristů je frikční nezaměstnanost označov</w:t>
      </w:r>
      <w:r w:rsidR="005F19B7">
        <w:t>á</w:t>
      </w:r>
      <w:r w:rsidRPr="00B0722C">
        <w:t>n</w:t>
      </w:r>
      <w:r w:rsidR="005F19B7" w:rsidRPr="00D9611C">
        <w:rPr>
          <w:color w:val="000000" w:themeColor="text1"/>
        </w:rPr>
        <w:t>a</w:t>
      </w:r>
      <w:r w:rsidRPr="00B0722C">
        <w:t xml:space="preserve"> jako změna na trhu. K této změně dochází dvěma způsoby. Prvním způsobem</w:t>
      </w:r>
      <w:r w:rsidR="000F6619" w:rsidRPr="00B0722C">
        <w:t xml:space="preserve"> změny</w:t>
      </w:r>
      <w:r w:rsidRPr="00B0722C">
        <w:t xml:space="preserve"> je založení nové živnosti. </w:t>
      </w:r>
      <w:r w:rsidR="000F6619" w:rsidRPr="00B0722C">
        <w:t>Druhou změnou, která může nastat</w:t>
      </w:r>
      <w:r w:rsidR="00C5752B" w:rsidRPr="00B0722C">
        <w:t>,</w:t>
      </w:r>
      <w:r w:rsidR="000F6619" w:rsidRPr="00B0722C">
        <w:t xml:space="preserve"> je zánik firmy</w:t>
      </w:r>
      <w:r w:rsidR="000F6619">
        <w:rPr>
          <w:sz w:val="22"/>
          <w:szCs w:val="20"/>
        </w:rPr>
        <w:t>.</w:t>
      </w:r>
      <w:r w:rsidR="00A268CD">
        <w:rPr>
          <w:rStyle w:val="Znakapoznpodarou"/>
          <w:sz w:val="22"/>
          <w:szCs w:val="20"/>
        </w:rPr>
        <w:footnoteReference w:id="39"/>
      </w:r>
    </w:p>
    <w:p w14:paraId="62E86910" w14:textId="6D5351A5" w:rsidR="00C5752B" w:rsidRDefault="00D27FE4" w:rsidP="00D27FE4">
      <w:pPr>
        <w:pStyle w:val="Nadpis4"/>
        <w:numPr>
          <w:ilvl w:val="0"/>
          <w:numId w:val="0"/>
        </w:numPr>
      </w:pPr>
      <w:r>
        <w:t>Strukturální nezaměstnanost</w:t>
      </w:r>
    </w:p>
    <w:p w14:paraId="60BBD13C" w14:textId="6272C02A" w:rsidR="0055574C" w:rsidRPr="00831737" w:rsidRDefault="00036394" w:rsidP="00831737">
      <w:pPr>
        <w:rPr>
          <w:color w:val="000000" w:themeColor="text1"/>
        </w:rPr>
      </w:pPr>
      <w:r w:rsidRPr="00831737">
        <w:rPr>
          <w:color w:val="000000" w:themeColor="text1"/>
        </w:rPr>
        <w:t xml:space="preserve">O strukturální nezaměstnanosti </w:t>
      </w:r>
      <w:r w:rsidR="00D9611C" w:rsidRPr="00D9611C">
        <w:rPr>
          <w:color w:val="000000" w:themeColor="text1"/>
        </w:rPr>
        <w:t>se mluví</w:t>
      </w:r>
      <w:r w:rsidRPr="00D9611C">
        <w:rPr>
          <w:color w:val="000000" w:themeColor="text1"/>
        </w:rPr>
        <w:t xml:space="preserve">, </w:t>
      </w:r>
      <w:r w:rsidRPr="00831737">
        <w:rPr>
          <w:color w:val="000000" w:themeColor="text1"/>
        </w:rPr>
        <w:t xml:space="preserve">pokud vznikne na trhu práce nesoulad mezi </w:t>
      </w:r>
      <w:r w:rsidR="00790E49" w:rsidRPr="00831737">
        <w:rPr>
          <w:color w:val="000000" w:themeColor="text1"/>
        </w:rPr>
        <w:t xml:space="preserve">poptávkou a </w:t>
      </w:r>
      <w:r w:rsidR="00831737">
        <w:rPr>
          <w:color w:val="000000" w:themeColor="text1"/>
        </w:rPr>
        <w:t xml:space="preserve">nabídkou uchazečů o zaměstnání. </w:t>
      </w:r>
      <w:r w:rsidR="00295DF0" w:rsidRPr="00831737">
        <w:rPr>
          <w:color w:val="000000" w:themeColor="text1"/>
        </w:rPr>
        <w:t xml:space="preserve">Pro strukturální nezaměstnanost si </w:t>
      </w:r>
      <w:r w:rsidR="00D9611C" w:rsidRPr="00D9611C">
        <w:rPr>
          <w:color w:val="000000" w:themeColor="text1"/>
        </w:rPr>
        <w:t xml:space="preserve">lze </w:t>
      </w:r>
      <w:r w:rsidR="00295DF0" w:rsidRPr="00D9611C">
        <w:rPr>
          <w:color w:val="000000" w:themeColor="text1"/>
        </w:rPr>
        <w:t xml:space="preserve">uvést </w:t>
      </w:r>
      <w:r w:rsidR="00295DF0" w:rsidRPr="00831737">
        <w:rPr>
          <w:color w:val="000000" w:themeColor="text1"/>
        </w:rPr>
        <w:t xml:space="preserve">příklad: na trhu práce je nabízená práce uklízeček, </w:t>
      </w:r>
      <w:r w:rsidR="00DF76CB" w:rsidRPr="00831737">
        <w:rPr>
          <w:color w:val="000000" w:themeColor="text1"/>
        </w:rPr>
        <w:t>účet</w:t>
      </w:r>
      <w:r w:rsidR="009421AD" w:rsidRPr="00831737">
        <w:rPr>
          <w:color w:val="000000" w:themeColor="text1"/>
        </w:rPr>
        <w:t xml:space="preserve">ních a řidičů, ale firmy nejeví </w:t>
      </w:r>
      <w:r w:rsidR="00C35572">
        <w:rPr>
          <w:color w:val="000000" w:themeColor="text1"/>
        </w:rPr>
        <w:br/>
      </w:r>
      <w:r w:rsidR="009421AD" w:rsidRPr="00831737">
        <w:rPr>
          <w:color w:val="000000" w:themeColor="text1"/>
        </w:rPr>
        <w:t>o tyto</w:t>
      </w:r>
      <w:r w:rsidR="00DF76CB" w:rsidRPr="00831737">
        <w:rPr>
          <w:color w:val="000000" w:themeColor="text1"/>
        </w:rPr>
        <w:t xml:space="preserve"> lidi s vyučením zájem, protože hledají řemeslníky, truhláře a zedníky. Strukturální nezaměstnanost vzniká z několika důvodů</w:t>
      </w:r>
      <w:r w:rsidR="00FA5442" w:rsidRPr="00831737">
        <w:rPr>
          <w:color w:val="000000" w:themeColor="text1"/>
        </w:rPr>
        <w:t>. Prvním důvodem vzniku strukturální nezaměstnanost</w:t>
      </w:r>
      <w:r w:rsidR="00422A73">
        <w:rPr>
          <w:color w:val="000000" w:themeColor="text1"/>
        </w:rPr>
        <w:t>i je změna struktury ekonomiky.</w:t>
      </w:r>
      <w:r w:rsidR="00FA5442" w:rsidRPr="00831737">
        <w:rPr>
          <w:color w:val="000000" w:themeColor="text1"/>
        </w:rPr>
        <w:t xml:space="preserve"> </w:t>
      </w:r>
      <w:r w:rsidR="00227E1D" w:rsidRPr="00831737">
        <w:rPr>
          <w:color w:val="000000" w:themeColor="text1"/>
        </w:rPr>
        <w:t>Strukturální nezaměstnanost může být vyvolaná technickým</w:t>
      </w:r>
      <w:r w:rsidR="009421AD" w:rsidRPr="00831737">
        <w:rPr>
          <w:color w:val="000000" w:themeColor="text1"/>
        </w:rPr>
        <w:t xml:space="preserve"> pokrokem, </w:t>
      </w:r>
      <w:r w:rsidR="00227E1D" w:rsidRPr="00831737">
        <w:rPr>
          <w:color w:val="000000" w:themeColor="text1"/>
        </w:rPr>
        <w:t>při které</w:t>
      </w:r>
      <w:r w:rsidR="009421AD" w:rsidRPr="00831737">
        <w:rPr>
          <w:color w:val="000000" w:themeColor="text1"/>
        </w:rPr>
        <w:t xml:space="preserve">m jsou lidé nahrazování stroji, a proto strukturální nezaměstnanost v některých teoriích je </w:t>
      </w:r>
      <w:r w:rsidR="009421AD" w:rsidRPr="00C35572">
        <w:rPr>
          <w:color w:val="000000" w:themeColor="text1"/>
        </w:rPr>
        <w:t>označována</w:t>
      </w:r>
      <w:r w:rsidR="00C35572" w:rsidRPr="00C35572">
        <w:rPr>
          <w:color w:val="000000" w:themeColor="text1"/>
        </w:rPr>
        <w:t xml:space="preserve">, </w:t>
      </w:r>
      <w:r w:rsidR="009421AD" w:rsidRPr="00C35572">
        <w:rPr>
          <w:color w:val="000000" w:themeColor="text1"/>
        </w:rPr>
        <w:t xml:space="preserve">jako </w:t>
      </w:r>
      <w:r w:rsidR="00733C9D">
        <w:rPr>
          <w:color w:val="000000" w:themeColor="text1"/>
        </w:rPr>
        <w:t>technologická nezaměstnanost.</w:t>
      </w:r>
      <w:r w:rsidR="00831737">
        <w:rPr>
          <w:rStyle w:val="Znakapoznpodarou"/>
          <w:color w:val="000000" w:themeColor="text1"/>
        </w:rPr>
        <w:footnoteReference w:id="40"/>
      </w:r>
    </w:p>
    <w:p w14:paraId="2056C6F6" w14:textId="7C1A0A8E" w:rsidR="00733C9D" w:rsidRDefault="00D27FE4" w:rsidP="00F55249">
      <w:pPr>
        <w:ind w:firstLine="0"/>
        <w:rPr>
          <w:szCs w:val="20"/>
        </w:rPr>
      </w:pPr>
      <w:r w:rsidRPr="00733C9D">
        <w:rPr>
          <w:szCs w:val="20"/>
        </w:rPr>
        <w:t xml:space="preserve">Dle </w:t>
      </w:r>
      <w:r w:rsidR="00893BB0">
        <w:rPr>
          <w:szCs w:val="20"/>
        </w:rPr>
        <w:t xml:space="preserve">autorů </w:t>
      </w:r>
      <w:proofErr w:type="spellStart"/>
      <w:r w:rsidRPr="00733C9D">
        <w:rPr>
          <w:szCs w:val="20"/>
        </w:rPr>
        <w:t>Rojíčka</w:t>
      </w:r>
      <w:proofErr w:type="spellEnd"/>
      <w:r w:rsidRPr="00733C9D">
        <w:rPr>
          <w:szCs w:val="20"/>
        </w:rPr>
        <w:t xml:space="preserve"> a Spěváčka je s</w:t>
      </w:r>
      <w:r w:rsidR="0055574C" w:rsidRPr="00733C9D">
        <w:rPr>
          <w:szCs w:val="20"/>
        </w:rPr>
        <w:t>trukturální nezaměstnanost na trhu práce</w:t>
      </w:r>
      <w:r w:rsidR="00F55249" w:rsidRPr="00733C9D">
        <w:rPr>
          <w:szCs w:val="20"/>
        </w:rPr>
        <w:t xml:space="preserve"> dlouhodob</w:t>
      </w:r>
      <w:r w:rsidR="006004C0" w:rsidRPr="00733C9D">
        <w:rPr>
          <w:szCs w:val="20"/>
        </w:rPr>
        <w:t>á</w:t>
      </w:r>
      <w:r w:rsidR="002C5D92" w:rsidRPr="00733C9D">
        <w:rPr>
          <w:szCs w:val="20"/>
        </w:rPr>
        <w:t xml:space="preserve"> </w:t>
      </w:r>
      <w:r w:rsidR="00831737" w:rsidRPr="00733C9D">
        <w:rPr>
          <w:szCs w:val="20"/>
        </w:rPr>
        <w:t>nezaměstnanost.</w:t>
      </w:r>
      <w:r w:rsidR="00831737" w:rsidRPr="00733C9D">
        <w:rPr>
          <w:rStyle w:val="Znakapoznpodarou"/>
          <w:szCs w:val="20"/>
        </w:rPr>
        <w:footnoteReference w:id="41"/>
      </w:r>
    </w:p>
    <w:p w14:paraId="0B52005E" w14:textId="17C8A3F2" w:rsidR="00210BCD" w:rsidRPr="00733C9D" w:rsidRDefault="00733C9D" w:rsidP="00733C9D">
      <w:pPr>
        <w:spacing w:after="200" w:line="276" w:lineRule="auto"/>
        <w:ind w:firstLine="0"/>
        <w:jc w:val="left"/>
        <w:rPr>
          <w:szCs w:val="20"/>
        </w:rPr>
      </w:pPr>
      <w:r>
        <w:rPr>
          <w:szCs w:val="20"/>
        </w:rPr>
        <w:br w:type="page"/>
      </w:r>
    </w:p>
    <w:p w14:paraId="3FC8EA79" w14:textId="2C0C7161" w:rsidR="006004C0" w:rsidRPr="006004C0" w:rsidRDefault="00733C9D" w:rsidP="00733C9D">
      <w:pPr>
        <w:pStyle w:val="Nadpis4"/>
        <w:numPr>
          <w:ilvl w:val="0"/>
          <w:numId w:val="0"/>
        </w:numPr>
      </w:pPr>
      <w:r>
        <w:lastRenderedPageBreak/>
        <w:t>Cyklická nezaměstnanost</w:t>
      </w:r>
    </w:p>
    <w:p w14:paraId="5E152111" w14:textId="3DD54E1A" w:rsidR="00E17465" w:rsidRPr="00F55249" w:rsidRDefault="0055574C" w:rsidP="00F55249">
      <w:pPr>
        <w:rPr>
          <w:vertAlign w:val="superscript"/>
        </w:rPr>
      </w:pPr>
      <w:r>
        <w:t xml:space="preserve">K cyklické nezaměstnanosti dochází z důvodů změn cyklického </w:t>
      </w:r>
      <w:r w:rsidR="002C5D92" w:rsidRPr="002C5D92">
        <w:t>vývoje</w:t>
      </w:r>
      <w:r w:rsidRPr="002C5D92">
        <w:t xml:space="preserve"> v ekonomice.</w:t>
      </w:r>
      <w:r>
        <w:t xml:space="preserve"> </w:t>
      </w:r>
      <w:r w:rsidR="00895B65">
        <w:t>Při recesi na trhu práce dochází ke zvyšování cyklické nezaměstnanosti. Pokud dojde na trhu práce k</w:t>
      </w:r>
      <w:r w:rsidR="004D2D4B">
        <w:t> </w:t>
      </w:r>
      <w:r w:rsidR="00895B65">
        <w:t>expanzi</w:t>
      </w:r>
      <w:r w:rsidR="004D2D4B">
        <w:t>,</w:t>
      </w:r>
      <w:r w:rsidR="00895B65">
        <w:t xml:space="preserve"> </w:t>
      </w:r>
      <w:r w:rsidR="00F55249">
        <w:t xml:space="preserve">cyklická nezaměstnanost klesá. </w:t>
      </w:r>
      <w:r w:rsidR="00E17465">
        <w:t xml:space="preserve">Délka této nezaměstnanosti může být odlišná, protože </w:t>
      </w:r>
      <w:r w:rsidR="00E17465" w:rsidRPr="005E786E">
        <w:t xml:space="preserve">na </w:t>
      </w:r>
      <w:r w:rsidR="006004C0" w:rsidRPr="005E786E">
        <w:t>ni</w:t>
      </w:r>
      <w:r w:rsidR="006004C0">
        <w:t xml:space="preserve"> </w:t>
      </w:r>
      <w:r w:rsidR="00E17465">
        <w:t xml:space="preserve">působí </w:t>
      </w:r>
      <w:r w:rsidR="008A466E">
        <w:t xml:space="preserve">další faktor, kterým </w:t>
      </w:r>
      <w:r w:rsidR="00D9611C" w:rsidRPr="00D9611C">
        <w:rPr>
          <w:color w:val="000000" w:themeColor="text1"/>
        </w:rPr>
        <w:t>lze rozumět</w:t>
      </w:r>
      <w:r w:rsidR="008A466E" w:rsidRPr="00D9611C">
        <w:rPr>
          <w:color w:val="000000" w:themeColor="text1"/>
        </w:rPr>
        <w:t xml:space="preserve"> </w:t>
      </w:r>
      <w:r w:rsidR="008A466E">
        <w:t xml:space="preserve">dobu, jak dlouho trvá ekonomický cyklus. </w:t>
      </w:r>
      <w:r w:rsidR="008B689A">
        <w:t>Cyklická nezaměstnanost je velmi ne</w:t>
      </w:r>
      <w:r w:rsidR="00733C9D">
        <w:t>gativní, protože zasahuje celý vývoj v ekonomic</w:t>
      </w:r>
      <w:r w:rsidR="00733C9D" w:rsidRPr="00733C9D">
        <w:t>e.</w:t>
      </w:r>
      <w:r w:rsidR="003B2A20" w:rsidRPr="00733C9D">
        <w:rPr>
          <w:rStyle w:val="Znakapoznpodarou"/>
          <w:color w:val="000000" w:themeColor="text1"/>
        </w:rPr>
        <w:footnoteReference w:id="42"/>
      </w:r>
    </w:p>
    <w:p w14:paraId="2CA0EBE6" w14:textId="5C388033" w:rsidR="005C1640" w:rsidRDefault="00BB7CAD" w:rsidP="005C1640">
      <w:pPr>
        <w:spacing w:after="240"/>
      </w:pPr>
      <w:r>
        <w:t xml:space="preserve">Jednotlivé fáze hospodářského </w:t>
      </w:r>
      <w:r w:rsidRPr="00D9611C">
        <w:rPr>
          <w:color w:val="000000" w:themeColor="text1"/>
        </w:rPr>
        <w:t xml:space="preserve">cyklu </w:t>
      </w:r>
      <w:r w:rsidR="00733C9D">
        <w:rPr>
          <w:color w:val="000000" w:themeColor="text1"/>
        </w:rPr>
        <w:t>zobrazuje</w:t>
      </w:r>
      <w:r w:rsidR="00733C9D">
        <w:t xml:space="preserve"> obrázek</w:t>
      </w:r>
      <w:r>
        <w:t xml:space="preserve"> č. </w:t>
      </w:r>
      <w:r w:rsidR="00D55C77">
        <w:t>2</w:t>
      </w:r>
      <w:r>
        <w:t xml:space="preserve">. Tento cyklus se v ekonomice pravidelně </w:t>
      </w:r>
      <w:r w:rsidRPr="00893BB0">
        <w:t>opakuje.</w:t>
      </w:r>
      <w:r w:rsidR="00600354" w:rsidRPr="00893BB0">
        <w:t xml:space="preserve"> Jednotlivé </w:t>
      </w:r>
      <w:r w:rsidR="00600354" w:rsidRPr="00916168">
        <w:rPr>
          <w:color w:val="000000" w:themeColor="text1"/>
        </w:rPr>
        <w:t>etapy hospodářského cyklu jsou expanze, vrchol,</w:t>
      </w:r>
      <w:r w:rsidR="00422A73">
        <w:rPr>
          <w:color w:val="000000" w:themeColor="text1"/>
        </w:rPr>
        <w:t xml:space="preserve"> kontrakce a dno.</w:t>
      </w:r>
      <w:r w:rsidR="003B2A20">
        <w:rPr>
          <w:rStyle w:val="Znakapoznpodarou"/>
        </w:rPr>
        <w:footnoteReference w:id="43"/>
      </w:r>
    </w:p>
    <w:p w14:paraId="46F16A30" w14:textId="14EA991A" w:rsidR="005C1640" w:rsidRDefault="00D55C77" w:rsidP="00077996">
      <w:pPr>
        <w:ind w:firstLine="0"/>
      </w:pPr>
      <w:r>
        <w:rPr>
          <w:noProof/>
        </w:rPr>
        <w:drawing>
          <wp:inline distT="0" distB="0" distL="0" distR="0" wp14:anchorId="77EDB16B" wp14:editId="70A9F2AE">
            <wp:extent cx="4082902" cy="2094614"/>
            <wp:effectExtent l="0" t="0" r="0" b="127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7419" t="45617" r="13652" b="22221"/>
                    <a:stretch/>
                  </pic:blipFill>
                  <pic:spPr bwMode="auto">
                    <a:xfrm>
                      <a:off x="0" y="0"/>
                      <a:ext cx="4081396" cy="2093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39F09" w14:textId="0E13D9FB" w:rsidR="005C1640" w:rsidRPr="005C1640" w:rsidRDefault="005C1640" w:rsidP="00077996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bookmarkStart w:id="20" w:name="_Toc15639638"/>
      <w:r w:rsidRPr="005C1640">
        <w:rPr>
          <w:color w:val="000000" w:themeColor="text1"/>
          <w:sz w:val="20"/>
          <w:szCs w:val="20"/>
        </w:rPr>
        <w:t xml:space="preserve">Obrázek </w:t>
      </w:r>
      <w:r w:rsidRPr="005C1640">
        <w:rPr>
          <w:color w:val="000000" w:themeColor="text1"/>
          <w:sz w:val="20"/>
          <w:szCs w:val="20"/>
        </w:rPr>
        <w:fldChar w:fldCharType="begin"/>
      </w:r>
      <w:r w:rsidRPr="005C1640">
        <w:rPr>
          <w:color w:val="000000" w:themeColor="text1"/>
          <w:sz w:val="20"/>
          <w:szCs w:val="20"/>
        </w:rPr>
        <w:instrText xml:space="preserve"> SEQ Obrázek \* ARABIC </w:instrText>
      </w:r>
      <w:r w:rsidRPr="005C1640">
        <w:rPr>
          <w:color w:val="000000" w:themeColor="text1"/>
          <w:sz w:val="20"/>
          <w:szCs w:val="20"/>
        </w:rPr>
        <w:fldChar w:fldCharType="separate"/>
      </w:r>
      <w:r w:rsidR="0040267A">
        <w:rPr>
          <w:noProof/>
          <w:color w:val="000000" w:themeColor="text1"/>
          <w:sz w:val="20"/>
          <w:szCs w:val="20"/>
        </w:rPr>
        <w:t>2</w:t>
      </w:r>
      <w:r w:rsidRPr="005C1640">
        <w:rPr>
          <w:color w:val="000000" w:themeColor="text1"/>
          <w:sz w:val="20"/>
          <w:szCs w:val="20"/>
        </w:rPr>
        <w:fldChar w:fldCharType="end"/>
      </w:r>
      <w:r>
        <w:rPr>
          <w:color w:val="000000" w:themeColor="text1"/>
          <w:sz w:val="20"/>
          <w:szCs w:val="20"/>
        </w:rPr>
        <w:t xml:space="preserve"> </w:t>
      </w:r>
      <w:r w:rsidRPr="005C1640">
        <w:rPr>
          <w:color w:val="000000" w:themeColor="text1"/>
          <w:sz w:val="20"/>
          <w:szCs w:val="20"/>
        </w:rPr>
        <w:t>Hospodářský cyklus</w:t>
      </w:r>
      <w:bookmarkEnd w:id="20"/>
    </w:p>
    <w:p w14:paraId="4CE384F8" w14:textId="12BDF78C" w:rsidR="00355A44" w:rsidRDefault="005C1640" w:rsidP="00077996">
      <w:pPr>
        <w:spacing w:after="360"/>
        <w:ind w:firstLine="0"/>
        <w:rPr>
          <w:i/>
          <w:color w:val="000000" w:themeColor="text1"/>
          <w:sz w:val="20"/>
          <w:szCs w:val="20"/>
        </w:rPr>
      </w:pPr>
      <w:r w:rsidRPr="005C1640">
        <w:rPr>
          <w:i/>
          <w:color w:val="000000" w:themeColor="text1"/>
          <w:sz w:val="20"/>
          <w:szCs w:val="20"/>
        </w:rPr>
        <w:t>Zdroj: Makroekonomie, Václav Jurečka, 2017, s. 262</w:t>
      </w:r>
      <w:r w:rsidR="00893BB0">
        <w:rPr>
          <w:i/>
          <w:color w:val="000000" w:themeColor="text1"/>
          <w:sz w:val="20"/>
          <w:szCs w:val="20"/>
        </w:rPr>
        <w:t>,</w:t>
      </w:r>
    </w:p>
    <w:p w14:paraId="1886C47E" w14:textId="77777777" w:rsidR="00355A44" w:rsidRDefault="00355A44">
      <w:pPr>
        <w:spacing w:after="200" w:line="276" w:lineRule="auto"/>
        <w:ind w:firstLine="0"/>
        <w:jc w:val="lef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br w:type="page"/>
      </w:r>
    </w:p>
    <w:p w14:paraId="7416438D" w14:textId="3954EFC1" w:rsidR="006004C0" w:rsidRPr="006004C0" w:rsidRDefault="00583D78" w:rsidP="00C155B6">
      <w:pPr>
        <w:pStyle w:val="Nadpis4"/>
        <w:numPr>
          <w:ilvl w:val="0"/>
          <w:numId w:val="0"/>
        </w:numPr>
      </w:pPr>
      <w:r w:rsidRPr="007206F7">
        <w:lastRenderedPageBreak/>
        <w:t>Sezónní</w:t>
      </w:r>
      <w:r w:rsidR="00893BB0">
        <w:t xml:space="preserve"> nezaměstnanost</w:t>
      </w:r>
    </w:p>
    <w:p w14:paraId="4E6C2004" w14:textId="08AB7ED7" w:rsidR="00F21DA3" w:rsidRDefault="00F21DA3" w:rsidP="00F21DA3">
      <w:r>
        <w:t xml:space="preserve">Sezónní nezaměstnanost vzniká tam, kde pracovníky ovlivňuje </w:t>
      </w:r>
      <w:r w:rsidRPr="002C5D92">
        <w:t>počasí</w:t>
      </w:r>
      <w:r w:rsidR="004C27B0" w:rsidRPr="002C5D92">
        <w:t xml:space="preserve"> </w:t>
      </w:r>
      <w:r w:rsidR="004C27B0" w:rsidRPr="002C5D92">
        <w:rPr>
          <w:color w:val="4A442A" w:themeColor="background2" w:themeShade="40"/>
        </w:rPr>
        <w:t xml:space="preserve">nebo jiný </w:t>
      </w:r>
      <w:r w:rsidR="004C27B0" w:rsidRPr="002C5D92">
        <w:rPr>
          <w:color w:val="000000" w:themeColor="text1"/>
        </w:rPr>
        <w:t>sezónní jev</w:t>
      </w:r>
      <w:r w:rsidRPr="002C5D92">
        <w:rPr>
          <w:color w:val="000000" w:themeColor="text1"/>
        </w:rPr>
        <w:t xml:space="preserve">. Do sezónní nezaměstnanosti spadají většinou </w:t>
      </w:r>
      <w:r>
        <w:t xml:space="preserve">zemědělci, ale </w:t>
      </w:r>
      <w:r w:rsidRPr="003B376B">
        <w:t xml:space="preserve">také </w:t>
      </w:r>
      <w:r w:rsidR="006004C0" w:rsidRPr="003B376B">
        <w:t xml:space="preserve">se </w:t>
      </w:r>
      <w:r w:rsidRPr="003B376B">
        <w:t>může</w:t>
      </w:r>
      <w:r>
        <w:t xml:space="preserve"> </w:t>
      </w:r>
      <w:r w:rsidR="006004C0">
        <w:t>týkat stavebního průmyslu</w:t>
      </w:r>
      <w:r w:rsidR="00F0278A">
        <w:t>.</w:t>
      </w:r>
      <w:r w:rsidR="005C1640">
        <w:rPr>
          <w:rStyle w:val="Znakapoznpodarou"/>
        </w:rPr>
        <w:footnoteReference w:id="44"/>
      </w:r>
    </w:p>
    <w:p w14:paraId="7AAFE678" w14:textId="0A7E97C2" w:rsidR="006004C0" w:rsidRPr="006004C0" w:rsidRDefault="00E27803" w:rsidP="00C155B6">
      <w:pPr>
        <w:pStyle w:val="Nadpis4"/>
        <w:numPr>
          <w:ilvl w:val="0"/>
          <w:numId w:val="0"/>
        </w:numPr>
      </w:pPr>
      <w:r>
        <w:t xml:space="preserve">Dobrovolná </w:t>
      </w:r>
      <w:r w:rsidRPr="00ED23A0">
        <w:t>nezaměstnanost</w:t>
      </w:r>
    </w:p>
    <w:p w14:paraId="38F67D81" w14:textId="35B56470" w:rsidR="001570B8" w:rsidRDefault="00E27803" w:rsidP="00B47CDB">
      <w:pPr>
        <w:rPr>
          <w:vertAlign w:val="superscript"/>
        </w:rPr>
      </w:pPr>
      <w:r>
        <w:t xml:space="preserve">Dobrovolnou </w:t>
      </w:r>
      <w:r w:rsidR="000F6619">
        <w:t>nezaměstnanost vzniká při dobrovolném rozhodnutí jedince</w:t>
      </w:r>
      <w:r>
        <w:t>. Trh práce nabízí člověku práci, ale jedinec o tuto práci nejeví zájem.</w:t>
      </w:r>
      <w:r w:rsidR="00C155B6">
        <w:t xml:space="preserve"> Člověk nejeví zájem, protože</w:t>
      </w:r>
      <w:r>
        <w:t xml:space="preserve"> </w:t>
      </w:r>
      <w:r w:rsidR="00EA7BE8">
        <w:t>nepotřebuje finanční prostředky</w:t>
      </w:r>
      <w:r w:rsidR="00C155B6">
        <w:t xml:space="preserve">, nebo nehodlá </w:t>
      </w:r>
      <w:r>
        <w:t>pracovat.</w:t>
      </w:r>
      <w:r w:rsidR="009E49DF">
        <w:rPr>
          <w:rStyle w:val="Znakapoznpodarou"/>
        </w:rPr>
        <w:footnoteReference w:id="45"/>
      </w:r>
    </w:p>
    <w:p w14:paraId="492989A5" w14:textId="35909C62" w:rsidR="006004C0" w:rsidRPr="006004C0" w:rsidRDefault="00583D78" w:rsidP="00C155B6">
      <w:pPr>
        <w:pStyle w:val="Nadpis4"/>
        <w:numPr>
          <w:ilvl w:val="0"/>
          <w:numId w:val="0"/>
        </w:numPr>
      </w:pPr>
      <w:r>
        <w:t xml:space="preserve">Nedobrovolná </w:t>
      </w:r>
      <w:r w:rsidRPr="00ED23A0">
        <w:t>nezaměstnanost</w:t>
      </w:r>
    </w:p>
    <w:p w14:paraId="70E03618" w14:textId="1086F210" w:rsidR="00C155B6" w:rsidRDefault="006004C0" w:rsidP="00C155B6">
      <w:pPr>
        <w:rPr>
          <w:color w:val="000000" w:themeColor="text1"/>
        </w:rPr>
      </w:pPr>
      <w:r w:rsidRPr="005938B0">
        <w:t>Uvedená</w:t>
      </w:r>
      <w:r>
        <w:t xml:space="preserve"> </w:t>
      </w:r>
      <w:r w:rsidR="00C033D6" w:rsidRPr="006004C0">
        <w:t>nezaměstnanost</w:t>
      </w:r>
      <w:r w:rsidR="00C033D6">
        <w:t xml:space="preserve"> je označov</w:t>
      </w:r>
      <w:r w:rsidR="00881E64">
        <w:t>ána</w:t>
      </w:r>
      <w:r w:rsidR="00C033D6">
        <w:t xml:space="preserve"> i jako keynesiánská nezaměstnanost. Keynesiánská nezaměstnanost </w:t>
      </w:r>
      <w:r w:rsidR="00A43DA4">
        <w:t xml:space="preserve">v ekonomice </w:t>
      </w:r>
      <w:r w:rsidR="00C033D6">
        <w:t xml:space="preserve">vzniká při </w:t>
      </w:r>
      <w:r w:rsidR="00C65001">
        <w:t>příliš vysokých mzdových sazbách.</w:t>
      </w:r>
      <w:r w:rsidR="00600354">
        <w:t xml:space="preserve"> </w:t>
      </w:r>
      <w:proofErr w:type="gramStart"/>
      <w:r w:rsidR="00DE686B">
        <w:rPr>
          <w:color w:val="000000" w:themeColor="text1"/>
        </w:rPr>
        <w:t>t</w:t>
      </w:r>
      <w:r w:rsidR="00600354" w:rsidRPr="00916168">
        <w:rPr>
          <w:color w:val="000000" w:themeColor="text1"/>
        </w:rPr>
        <w:t>zn.</w:t>
      </w:r>
      <w:proofErr w:type="gramEnd"/>
      <w:r w:rsidR="00600354" w:rsidRPr="00916168">
        <w:rPr>
          <w:color w:val="000000" w:themeColor="text1"/>
        </w:rPr>
        <w:t xml:space="preserve"> firmy nechtějí vynakládat vysoké náklady na mzdy zaměstnanců, aby v</w:t>
      </w:r>
      <w:r w:rsidR="00916168" w:rsidRPr="00916168">
        <w:rPr>
          <w:color w:val="000000" w:themeColor="text1"/>
        </w:rPr>
        <w:t>znikla rovnováha na trhu práce.</w:t>
      </w:r>
      <w:r w:rsidR="009E49DF" w:rsidRPr="00916168">
        <w:rPr>
          <w:rStyle w:val="Znakapoznpodarou"/>
          <w:color w:val="000000" w:themeColor="text1"/>
        </w:rPr>
        <w:footnoteReference w:id="46"/>
      </w:r>
    </w:p>
    <w:p w14:paraId="2558818D" w14:textId="77777777" w:rsidR="00C155B6" w:rsidRPr="00B47CDB" w:rsidRDefault="00C155B6" w:rsidP="00C155B6">
      <w:pPr>
        <w:pStyle w:val="Nadpis4"/>
        <w:numPr>
          <w:ilvl w:val="0"/>
          <w:numId w:val="0"/>
        </w:numPr>
        <w:rPr>
          <w:vertAlign w:val="superscript"/>
        </w:rPr>
      </w:pPr>
      <w:r>
        <w:t>Skrytá nezaměstnanost</w:t>
      </w:r>
    </w:p>
    <w:p w14:paraId="64882CF4" w14:textId="3D82C637" w:rsidR="00C155B6" w:rsidRPr="00C155B6" w:rsidRDefault="00C155B6" w:rsidP="00C155B6">
      <w:r w:rsidRPr="005938B0">
        <w:t>Skrytá nezaměstnanost je druhem nezaměstnanosti, která se</w:t>
      </w:r>
      <w:r>
        <w:t xml:space="preserve"> neuvádí ve statistických průzkumech. Ve skupině skryté nezaměstnanosti jsou lidé, kteří nehledají práci, a to z toho důvodu, že se nehodlají podřizovat, případně přizpůsobovat svému zaměstnavateli. Skrytá nezaměstnanost se objevuje i v zemích, </w:t>
      </w:r>
      <w:r w:rsidRPr="003B376B">
        <w:t>kde je na trhu velká účast zemědělství. V  zemědělství se nachází vysoký nadbytek zaměstnanců, který je ale skrytý. Skrytý nadbytek lze objevit pouze, když vzniknou nové pracovní příležitosti pro pracovníky a tyto pracovní pozice jsou obsazeny zaměstnanci ze zemědělské činnosti, přičemž nedojd</w:t>
      </w:r>
      <w:r>
        <w:t>e k úpadku zemědělské činnosti.</w:t>
      </w:r>
      <w:r>
        <w:rPr>
          <w:rStyle w:val="Znakapoznpodarou"/>
        </w:rPr>
        <w:footnoteReference w:id="47"/>
      </w:r>
    </w:p>
    <w:p w14:paraId="1013C962" w14:textId="77777777" w:rsidR="00A85B3D" w:rsidRDefault="00A85B3D">
      <w:pPr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4695836" w14:textId="2FABE400" w:rsidR="006004C0" w:rsidRPr="006004C0" w:rsidRDefault="00C46ABC" w:rsidP="00DC2557">
      <w:pPr>
        <w:pStyle w:val="Nadpis3"/>
      </w:pPr>
      <w:bookmarkStart w:id="21" w:name="_Toc15889384"/>
      <w:r>
        <w:lastRenderedPageBreak/>
        <w:t xml:space="preserve">Dynamika na trhu práce – </w:t>
      </w:r>
      <w:proofErr w:type="spellStart"/>
      <w:r>
        <w:t>Beveridgeova</w:t>
      </w:r>
      <w:proofErr w:type="spellEnd"/>
      <w:r>
        <w:t xml:space="preserve"> křivka</w:t>
      </w:r>
      <w:bookmarkEnd w:id="21"/>
    </w:p>
    <w:p w14:paraId="533C5FFF" w14:textId="77777777" w:rsidR="000223D3" w:rsidRDefault="00965488" w:rsidP="000223D3">
      <w:pPr>
        <w:spacing w:after="120"/>
        <w:rPr>
          <w:b/>
        </w:rPr>
      </w:pPr>
      <w:r>
        <w:t>Dynamiku na trhu</w:t>
      </w:r>
      <w:r w:rsidR="00C46ABC">
        <w:t xml:space="preserve"> </w:t>
      </w:r>
      <w:r w:rsidR="000E2D53">
        <w:t>práce lze</w:t>
      </w:r>
      <w:r w:rsidR="00C46ABC">
        <w:t xml:space="preserve"> zachytit pomocí</w:t>
      </w:r>
      <w:r w:rsidR="00B02C7B">
        <w:t xml:space="preserve"> křivky, </w:t>
      </w:r>
      <w:r w:rsidR="000E2D53">
        <w:t xml:space="preserve">kterou nazýváme </w:t>
      </w:r>
      <w:proofErr w:type="spellStart"/>
      <w:r w:rsidR="000E2D53">
        <w:t>Beveridgeova</w:t>
      </w:r>
      <w:proofErr w:type="spellEnd"/>
      <w:r w:rsidR="000E2D53">
        <w:t xml:space="preserve"> křivka</w:t>
      </w:r>
      <w:r w:rsidR="00C46ABC">
        <w:t xml:space="preserve">. </w:t>
      </w:r>
      <w:r w:rsidR="00EA7BE8">
        <w:t xml:space="preserve">Křivka porovnává stav </w:t>
      </w:r>
      <w:r w:rsidR="00C46ABC">
        <w:t>voln</w:t>
      </w:r>
      <w:r w:rsidR="00EA7BE8">
        <w:t>ých</w:t>
      </w:r>
      <w:r w:rsidR="00C46ABC">
        <w:t xml:space="preserve"> pracovní</w:t>
      </w:r>
      <w:r w:rsidR="00EA7BE8">
        <w:t>ch míst</w:t>
      </w:r>
      <w:r w:rsidR="00C46ABC">
        <w:t xml:space="preserve"> s množstvím </w:t>
      </w:r>
      <w:r w:rsidR="00C46ABC" w:rsidRPr="003B376B">
        <w:t xml:space="preserve">nezaměstnaných lidí. Při pohybování křivky </w:t>
      </w:r>
      <w:r w:rsidR="004D40A6" w:rsidRPr="003B376B">
        <w:t xml:space="preserve">se </w:t>
      </w:r>
      <w:r w:rsidR="00C46ABC" w:rsidRPr="003B376B">
        <w:t xml:space="preserve">neobsazená pracovní místa a nezaměstnanost </w:t>
      </w:r>
      <w:r w:rsidR="004D40A6" w:rsidRPr="003B376B">
        <w:t xml:space="preserve">pohybují </w:t>
      </w:r>
      <w:r w:rsidR="00C46ABC" w:rsidRPr="003B376B">
        <w:t>protisměrn</w:t>
      </w:r>
      <w:r w:rsidR="004D40A6" w:rsidRPr="003B376B">
        <w:t>ě</w:t>
      </w:r>
      <w:r w:rsidR="003B376B" w:rsidRPr="003B376B">
        <w:t xml:space="preserve">. </w:t>
      </w:r>
      <w:r w:rsidR="00C46ABC" w:rsidRPr="003B376B">
        <w:t>Tento protisměr je dán cyklick</w:t>
      </w:r>
      <w:r w:rsidRPr="003B376B">
        <w:t>ým pohybem, ke kterému dochází v ekonomice. Pohyb veličin v </w:t>
      </w:r>
      <w:proofErr w:type="spellStart"/>
      <w:r w:rsidRPr="003B376B">
        <w:t>Beveridgeově</w:t>
      </w:r>
      <w:proofErr w:type="spellEnd"/>
      <w:r w:rsidRPr="003B376B">
        <w:t xml:space="preserve"> křivce znázorňuje buď </w:t>
      </w:r>
      <w:r w:rsidR="00EA7BE8" w:rsidRPr="00EA7BE8">
        <w:t>pozitivní, nebo negativní</w:t>
      </w:r>
      <w:r w:rsidR="00D9075D" w:rsidRPr="003B376B">
        <w:t xml:space="preserve"> činnost</w:t>
      </w:r>
      <w:r w:rsidR="000E2D53" w:rsidRPr="003B376B">
        <w:t xml:space="preserve"> na</w:t>
      </w:r>
      <w:r w:rsidR="00830163">
        <w:t xml:space="preserve"> trhu práce.</w:t>
      </w:r>
      <w:r w:rsidR="00D10DC2">
        <w:rPr>
          <w:rStyle w:val="Znakapoznpodarou"/>
        </w:rPr>
        <w:footnoteReference w:id="48"/>
      </w:r>
    </w:p>
    <w:p w14:paraId="1EBF3137" w14:textId="64E683EA" w:rsidR="00DD2D5A" w:rsidRPr="000223D3" w:rsidRDefault="00C46ABC" w:rsidP="000223D3">
      <w:pPr>
        <w:spacing w:after="120"/>
        <w:rPr>
          <w:b/>
        </w:rPr>
      </w:pPr>
      <w:r w:rsidRPr="003B376B">
        <w:t xml:space="preserve">Jednotlivé druhy nezaměstnanosti lze znázornit pomocí </w:t>
      </w:r>
      <w:proofErr w:type="spellStart"/>
      <w:r w:rsidRPr="003B376B">
        <w:t>Beveridgeovy</w:t>
      </w:r>
      <w:proofErr w:type="spellEnd"/>
      <w:r w:rsidRPr="003B376B">
        <w:t xml:space="preserve"> křivky. Příkladem </w:t>
      </w:r>
      <w:r w:rsidR="008979D2" w:rsidRPr="003B376B">
        <w:t>mů</w:t>
      </w:r>
      <w:r w:rsidR="00807C29" w:rsidRPr="003B376B">
        <w:t xml:space="preserve">že být frikční nezaměstnanost. </w:t>
      </w:r>
      <w:r w:rsidR="008979D2" w:rsidRPr="003B376B">
        <w:t>P</w:t>
      </w:r>
      <w:r w:rsidRPr="003B376B">
        <w:t xml:space="preserve">okud </w:t>
      </w:r>
      <w:r w:rsidR="004D40A6" w:rsidRPr="003B376B">
        <w:t xml:space="preserve">frikční </w:t>
      </w:r>
      <w:r w:rsidRPr="003B376B">
        <w:t xml:space="preserve">nezaměstnanost </w:t>
      </w:r>
      <w:r w:rsidR="004D40A6" w:rsidRPr="003B376B">
        <w:t xml:space="preserve">trvá </w:t>
      </w:r>
      <w:r w:rsidRPr="003B376B">
        <w:t>velmi krátkou dobo</w:t>
      </w:r>
      <w:r w:rsidR="008979D2" w:rsidRPr="003B376B">
        <w:t>u, tak v </w:t>
      </w:r>
      <w:proofErr w:type="spellStart"/>
      <w:r w:rsidR="008979D2" w:rsidRPr="003B376B">
        <w:t>Beveridgeově</w:t>
      </w:r>
      <w:proofErr w:type="spellEnd"/>
      <w:r w:rsidR="008979D2" w:rsidRPr="003B376B">
        <w:t xml:space="preserve"> křivce ji </w:t>
      </w:r>
      <w:r w:rsidR="00965488" w:rsidRPr="003B376B">
        <w:t>lz</w:t>
      </w:r>
      <w:r w:rsidRPr="003B376B">
        <w:t>e nalézt na zrodu této křivky. Na obrázku č.</w:t>
      </w:r>
      <w:r w:rsidR="00965488" w:rsidRPr="003B376B">
        <w:t xml:space="preserve"> </w:t>
      </w:r>
      <w:r w:rsidR="00E55D96" w:rsidRPr="003B376B">
        <w:t>3</w:t>
      </w:r>
      <w:r w:rsidRPr="003B376B">
        <w:t xml:space="preserve"> </w:t>
      </w:r>
      <w:r w:rsidR="00807C29" w:rsidRPr="003B376B">
        <w:t>lze vidět, že tato</w:t>
      </w:r>
      <w:r w:rsidRPr="003B376B">
        <w:t xml:space="preserve"> nezaměstnanost se na</w:t>
      </w:r>
      <w:r w:rsidR="00835137" w:rsidRPr="003B376B">
        <w:t xml:space="preserve">chází v první polovině křivky. </w:t>
      </w:r>
      <w:r w:rsidR="00D9611C">
        <w:t>Pokud se jedná o</w:t>
      </w:r>
      <w:r w:rsidRPr="003B376B">
        <w:t xml:space="preserve"> frikční krátkodobou nezaměstnanost</w:t>
      </w:r>
      <w:r w:rsidR="008979D2" w:rsidRPr="003B376B">
        <w:t>,</w:t>
      </w:r>
      <w:r w:rsidRPr="003B376B">
        <w:t xml:space="preserve"> křivka poukazuje na to, že je nízká míra nezaměstnanosti.</w:t>
      </w:r>
      <w:r w:rsidR="00DD2D5A" w:rsidRPr="003B376B">
        <w:t xml:space="preserve"> Když vzn</w:t>
      </w:r>
      <w:r w:rsidR="00B02C7B" w:rsidRPr="003B376B">
        <w:t xml:space="preserve">ikne nízká míra nezaměstnanosti, </w:t>
      </w:r>
      <w:r w:rsidR="00DD2D5A" w:rsidRPr="003B376B">
        <w:t xml:space="preserve">vznikne velká pravděpodobnost, </w:t>
      </w:r>
      <w:r w:rsidR="00EA7BE8">
        <w:t xml:space="preserve">že počet registrovaných jedinců na úřadu práce se sníží. </w:t>
      </w:r>
      <w:r w:rsidRPr="003B376B">
        <w:t>V </w:t>
      </w:r>
      <w:proofErr w:type="spellStart"/>
      <w:r w:rsidRPr="003B376B">
        <w:t>Beveridgeově</w:t>
      </w:r>
      <w:proofErr w:type="spellEnd"/>
      <w:r w:rsidRPr="003B376B">
        <w:t xml:space="preserve"> </w:t>
      </w:r>
      <w:r w:rsidRPr="00D9611C">
        <w:rPr>
          <w:color w:val="000000" w:themeColor="text1"/>
        </w:rPr>
        <w:t xml:space="preserve">křivce </w:t>
      </w:r>
      <w:r w:rsidR="00D9611C" w:rsidRPr="00D9611C">
        <w:rPr>
          <w:color w:val="000000" w:themeColor="text1"/>
        </w:rPr>
        <w:t xml:space="preserve">lze </w:t>
      </w:r>
      <w:r w:rsidRPr="00D9611C">
        <w:rPr>
          <w:color w:val="000000" w:themeColor="text1"/>
        </w:rPr>
        <w:t xml:space="preserve">zjistit </w:t>
      </w:r>
      <w:r w:rsidRPr="003B376B">
        <w:t>velikos</w:t>
      </w:r>
      <w:r w:rsidR="00807C29" w:rsidRPr="003B376B">
        <w:t xml:space="preserve">t strukturální nezaměstnanosti. </w:t>
      </w:r>
      <w:r w:rsidRPr="003B376B">
        <w:t>Strukturální nezaměs</w:t>
      </w:r>
      <w:r w:rsidR="000304AE" w:rsidRPr="003B376B">
        <w:t xml:space="preserve">tnanost v této </w:t>
      </w:r>
      <w:r w:rsidR="000304AE" w:rsidRPr="00D9611C">
        <w:rPr>
          <w:color w:val="000000" w:themeColor="text1"/>
        </w:rPr>
        <w:t xml:space="preserve">křivce </w:t>
      </w:r>
      <w:r w:rsidR="00D9611C" w:rsidRPr="00D9611C">
        <w:rPr>
          <w:color w:val="000000" w:themeColor="text1"/>
        </w:rPr>
        <w:t>se zjišťuje</w:t>
      </w:r>
      <w:r w:rsidR="000304AE" w:rsidRPr="00D9611C">
        <w:rPr>
          <w:color w:val="000000" w:themeColor="text1"/>
        </w:rPr>
        <w:t xml:space="preserve"> </w:t>
      </w:r>
      <w:r w:rsidRPr="00D9611C">
        <w:rPr>
          <w:color w:val="000000" w:themeColor="text1"/>
        </w:rPr>
        <w:t xml:space="preserve">pomocí </w:t>
      </w:r>
      <w:r w:rsidRPr="003B376B">
        <w:t xml:space="preserve">45° osy, </w:t>
      </w:r>
      <w:r w:rsidRPr="00D9611C">
        <w:rPr>
          <w:color w:val="000000" w:themeColor="text1"/>
        </w:rPr>
        <w:t xml:space="preserve">kterou </w:t>
      </w:r>
      <w:r w:rsidR="00D9611C" w:rsidRPr="00D9611C">
        <w:rPr>
          <w:color w:val="000000" w:themeColor="text1"/>
        </w:rPr>
        <w:t xml:space="preserve">lze </w:t>
      </w:r>
      <w:r w:rsidRPr="00D9611C">
        <w:rPr>
          <w:color w:val="000000" w:themeColor="text1"/>
        </w:rPr>
        <w:t xml:space="preserve">vidět na obrázku č. </w:t>
      </w:r>
      <w:r w:rsidR="00E55D96" w:rsidRPr="00D9611C">
        <w:rPr>
          <w:color w:val="000000" w:themeColor="text1"/>
        </w:rPr>
        <w:t>3</w:t>
      </w:r>
      <w:r w:rsidR="004D40A6" w:rsidRPr="00D9611C">
        <w:rPr>
          <w:color w:val="000000" w:themeColor="text1"/>
        </w:rPr>
        <w:t xml:space="preserve"> </w:t>
      </w:r>
      <w:r w:rsidR="00807C29" w:rsidRPr="00D9611C">
        <w:rPr>
          <w:color w:val="000000" w:themeColor="text1"/>
        </w:rPr>
        <w:t xml:space="preserve">v polovině křivky. </w:t>
      </w:r>
      <w:proofErr w:type="spellStart"/>
      <w:r w:rsidR="00DD2D5A" w:rsidRPr="00D9611C">
        <w:rPr>
          <w:color w:val="000000" w:themeColor="text1"/>
        </w:rPr>
        <w:t>Beveridgova</w:t>
      </w:r>
      <w:proofErr w:type="spellEnd"/>
      <w:r w:rsidR="00DD2D5A" w:rsidRPr="00D9611C">
        <w:rPr>
          <w:color w:val="000000" w:themeColor="text1"/>
        </w:rPr>
        <w:t xml:space="preserve"> křivka znázorňuje velikost </w:t>
      </w:r>
      <w:r w:rsidR="00DD2D5A" w:rsidRPr="003B376B">
        <w:rPr>
          <w:color w:val="000000" w:themeColor="text1"/>
        </w:rPr>
        <w:t xml:space="preserve">cyklické nezaměstnanosti, kterou lze vidět na </w:t>
      </w:r>
      <w:r w:rsidR="00DD2D5A" w:rsidRPr="003B376B">
        <w:t xml:space="preserve">obrázku č. </w:t>
      </w:r>
      <w:r w:rsidR="00E55D96" w:rsidRPr="003B376B">
        <w:t>3</w:t>
      </w:r>
      <w:r w:rsidR="00DD2D5A" w:rsidRPr="003B376B">
        <w:t xml:space="preserve"> níže</w:t>
      </w:r>
      <w:r w:rsidR="00D10DC2">
        <w:rPr>
          <w:color w:val="9BBB59" w:themeColor="accent3"/>
        </w:rPr>
        <w:t>.</w:t>
      </w:r>
      <w:r w:rsidR="00D10DC2" w:rsidRPr="00D10DC2">
        <w:rPr>
          <w:rStyle w:val="Znakapoznpodarou"/>
        </w:rPr>
        <w:footnoteReference w:id="49"/>
      </w:r>
    </w:p>
    <w:p w14:paraId="6B74A306" w14:textId="7A5F8CA2" w:rsidR="00916168" w:rsidRDefault="00DC2140" w:rsidP="00916168">
      <w:pPr>
        <w:ind w:firstLine="0"/>
      </w:pPr>
      <w:r w:rsidRPr="00D10DC2">
        <w:rPr>
          <w:noProof/>
        </w:rPr>
        <w:drawing>
          <wp:anchor distT="0" distB="0" distL="114300" distR="114300" simplePos="0" relativeHeight="251654144" behindDoc="0" locked="0" layoutInCell="1" allowOverlap="1" wp14:anchorId="2DF74FEE" wp14:editId="3EA320E2">
            <wp:simplePos x="0" y="0"/>
            <wp:positionH relativeFrom="column">
              <wp:posOffset>-21590</wp:posOffset>
            </wp:positionH>
            <wp:positionV relativeFrom="paragraph">
              <wp:posOffset>31115</wp:posOffset>
            </wp:positionV>
            <wp:extent cx="2545080" cy="114935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87" t="51525" r="12361" b="17955"/>
                    <a:stretch/>
                  </pic:blipFill>
                  <pic:spPr bwMode="auto">
                    <a:xfrm>
                      <a:off x="0" y="0"/>
                      <a:ext cx="2545080" cy="114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6E1CE" w14:textId="33EAA0B5" w:rsidR="00E14DCB" w:rsidRPr="00D10DC2" w:rsidRDefault="00E14DCB" w:rsidP="00916168">
      <w:pPr>
        <w:ind w:firstLine="0"/>
        <w:rPr>
          <w:b/>
        </w:rPr>
      </w:pPr>
    </w:p>
    <w:p w14:paraId="1A8DAF8F" w14:textId="78061C30" w:rsidR="00C46ABC" w:rsidRPr="00D10DC2" w:rsidRDefault="00C46ABC" w:rsidP="00A85B3D">
      <w:pPr>
        <w:ind w:firstLine="0"/>
      </w:pPr>
    </w:p>
    <w:p w14:paraId="314B2383" w14:textId="77777777" w:rsidR="00DC2140" w:rsidRDefault="00DC2140" w:rsidP="00BD3080">
      <w:pPr>
        <w:pStyle w:val="Titulek"/>
        <w:spacing w:after="0" w:line="360" w:lineRule="auto"/>
        <w:ind w:firstLine="0"/>
        <w:rPr>
          <w:color w:val="auto"/>
          <w:sz w:val="20"/>
        </w:rPr>
      </w:pPr>
    </w:p>
    <w:p w14:paraId="088534D3" w14:textId="77777777" w:rsidR="00DC2140" w:rsidRDefault="00DC2140" w:rsidP="00BD3080">
      <w:pPr>
        <w:pStyle w:val="Titulek"/>
        <w:spacing w:after="0" w:line="360" w:lineRule="auto"/>
        <w:ind w:firstLine="0"/>
        <w:rPr>
          <w:color w:val="auto"/>
          <w:sz w:val="20"/>
        </w:rPr>
      </w:pPr>
    </w:p>
    <w:p w14:paraId="562A23F1" w14:textId="133145A9" w:rsidR="00DC2140" w:rsidRPr="00DC2140" w:rsidRDefault="00BD3080" w:rsidP="00DC2140">
      <w:pPr>
        <w:pStyle w:val="Titulek"/>
        <w:spacing w:after="0" w:line="360" w:lineRule="auto"/>
        <w:ind w:firstLine="0"/>
        <w:rPr>
          <w:color w:val="auto"/>
          <w:sz w:val="20"/>
        </w:rPr>
      </w:pPr>
      <w:bookmarkStart w:id="22" w:name="_Toc15639639"/>
      <w:r w:rsidRPr="00BD3080">
        <w:rPr>
          <w:color w:val="auto"/>
          <w:sz w:val="20"/>
        </w:rPr>
        <w:t xml:space="preserve">Obrázek </w:t>
      </w:r>
      <w:r w:rsidRPr="00BD3080">
        <w:rPr>
          <w:color w:val="auto"/>
          <w:sz w:val="20"/>
        </w:rPr>
        <w:fldChar w:fldCharType="begin"/>
      </w:r>
      <w:r w:rsidRPr="00BD3080">
        <w:rPr>
          <w:color w:val="auto"/>
          <w:sz w:val="20"/>
        </w:rPr>
        <w:instrText xml:space="preserve"> SEQ Obrázek \* ARABIC </w:instrText>
      </w:r>
      <w:r w:rsidRPr="00BD3080">
        <w:rPr>
          <w:color w:val="auto"/>
          <w:sz w:val="20"/>
        </w:rPr>
        <w:fldChar w:fldCharType="separate"/>
      </w:r>
      <w:r w:rsidR="0040267A">
        <w:rPr>
          <w:noProof/>
          <w:color w:val="auto"/>
          <w:sz w:val="20"/>
        </w:rPr>
        <w:t>3</w:t>
      </w:r>
      <w:r w:rsidRPr="00BD3080">
        <w:rPr>
          <w:color w:val="auto"/>
          <w:sz w:val="20"/>
        </w:rPr>
        <w:fldChar w:fldCharType="end"/>
      </w:r>
      <w:r w:rsidRPr="00BD3080">
        <w:rPr>
          <w:color w:val="auto"/>
          <w:sz w:val="20"/>
        </w:rPr>
        <w:t xml:space="preserve"> </w:t>
      </w:r>
      <w:proofErr w:type="spellStart"/>
      <w:r w:rsidRPr="00BD3080">
        <w:rPr>
          <w:color w:val="auto"/>
          <w:sz w:val="20"/>
        </w:rPr>
        <w:t>Beveridgeova</w:t>
      </w:r>
      <w:proofErr w:type="spellEnd"/>
      <w:r w:rsidRPr="00BD3080">
        <w:rPr>
          <w:color w:val="auto"/>
          <w:sz w:val="20"/>
        </w:rPr>
        <w:t xml:space="preserve"> křivka</w:t>
      </w:r>
      <w:bookmarkEnd w:id="22"/>
    </w:p>
    <w:p w14:paraId="4EE99680" w14:textId="4A5F7EAA" w:rsidR="00830163" w:rsidRDefault="00BD3080" w:rsidP="00BD3080">
      <w:pPr>
        <w:pStyle w:val="Titulek"/>
        <w:spacing w:after="0" w:line="360" w:lineRule="auto"/>
        <w:ind w:firstLine="0"/>
        <w:rPr>
          <w:color w:val="262626" w:themeColor="text1" w:themeTint="D9"/>
          <w:sz w:val="20"/>
        </w:rPr>
      </w:pPr>
      <w:r w:rsidRPr="00BD3080">
        <w:rPr>
          <w:color w:val="262626" w:themeColor="text1" w:themeTint="D9"/>
          <w:sz w:val="20"/>
        </w:rPr>
        <w:t>Zdroj: Makroekonomie, Václav Jurečka, 2017, s. 161,</w:t>
      </w:r>
    </w:p>
    <w:p w14:paraId="0AA3D643" w14:textId="0D98C8D2" w:rsidR="00BD3080" w:rsidRPr="00830163" w:rsidRDefault="00830163" w:rsidP="00830163">
      <w:pPr>
        <w:spacing w:after="200" w:line="276" w:lineRule="auto"/>
        <w:ind w:firstLine="0"/>
        <w:jc w:val="left"/>
        <w:rPr>
          <w:i/>
          <w:iCs/>
          <w:color w:val="262626" w:themeColor="text1" w:themeTint="D9"/>
          <w:sz w:val="20"/>
          <w:szCs w:val="18"/>
        </w:rPr>
      </w:pPr>
      <w:r>
        <w:rPr>
          <w:color w:val="262626" w:themeColor="text1" w:themeTint="D9"/>
          <w:sz w:val="20"/>
        </w:rPr>
        <w:br w:type="page"/>
      </w:r>
    </w:p>
    <w:p w14:paraId="7347C154" w14:textId="358DD7F5" w:rsidR="008F1E9B" w:rsidRPr="00BD3080" w:rsidRDefault="00BD3080" w:rsidP="00DC2557">
      <w:pPr>
        <w:pStyle w:val="Nadpis3"/>
        <w:rPr>
          <w:sz w:val="20"/>
          <w:szCs w:val="18"/>
        </w:rPr>
      </w:pPr>
      <w:r w:rsidRPr="00BD3080">
        <w:rPr>
          <w:color w:val="262626" w:themeColor="text1" w:themeTint="D9"/>
          <w:sz w:val="20"/>
        </w:rPr>
        <w:lastRenderedPageBreak/>
        <w:t xml:space="preserve"> </w:t>
      </w:r>
      <w:bookmarkStart w:id="23" w:name="_Toc15889385"/>
      <w:r w:rsidR="004D40A6" w:rsidRPr="00E96F4F">
        <w:t xml:space="preserve">Negativní důsledky </w:t>
      </w:r>
      <w:r w:rsidR="008F1E9B" w:rsidRPr="00E96F4F">
        <w:t>nezaměstnanost</w:t>
      </w:r>
      <w:r>
        <w:t>i</w:t>
      </w:r>
      <w:bookmarkEnd w:id="23"/>
    </w:p>
    <w:p w14:paraId="59C6E8FA" w14:textId="77777777" w:rsidR="006D4EE7" w:rsidRDefault="00B367B4" w:rsidP="006D4EE7">
      <w:pPr>
        <w:spacing w:after="240"/>
      </w:pPr>
      <w:r w:rsidRPr="003B376B">
        <w:t>Nezaměstnanost má hodně negativních důsledků, příkladem mohou být s</w:t>
      </w:r>
      <w:r w:rsidR="000E2D53" w:rsidRPr="003B376B">
        <w:t xml:space="preserve">ociální </w:t>
      </w:r>
      <w:r w:rsidR="000E2D53" w:rsidRPr="003B376B">
        <w:br/>
        <w:t xml:space="preserve">a ekonomické důsledky. </w:t>
      </w:r>
      <w:r w:rsidRPr="00D9611C">
        <w:rPr>
          <w:color w:val="000000" w:themeColor="text1"/>
        </w:rPr>
        <w:t xml:space="preserve">Pokud </w:t>
      </w:r>
      <w:r w:rsidR="00D9611C" w:rsidRPr="00D9611C">
        <w:rPr>
          <w:color w:val="000000" w:themeColor="text1"/>
        </w:rPr>
        <w:t xml:space="preserve">se </w:t>
      </w:r>
      <w:r w:rsidRPr="00D9611C">
        <w:rPr>
          <w:color w:val="000000" w:themeColor="text1"/>
        </w:rPr>
        <w:t>ho</w:t>
      </w:r>
      <w:r w:rsidR="00D9611C" w:rsidRPr="00D9611C">
        <w:rPr>
          <w:color w:val="000000" w:themeColor="text1"/>
        </w:rPr>
        <w:t xml:space="preserve">voří </w:t>
      </w:r>
      <w:r w:rsidRPr="003B376B">
        <w:t xml:space="preserve">o vysokém počtu nezaměstnaných osob, </w:t>
      </w:r>
      <w:r w:rsidR="004D40A6" w:rsidRPr="003B376B">
        <w:t xml:space="preserve">znamená to, že </w:t>
      </w:r>
      <w:r w:rsidRPr="003B376B">
        <w:t xml:space="preserve">stát </w:t>
      </w:r>
      <w:r w:rsidR="00D429E8" w:rsidRPr="003B376B">
        <w:t>neprodukuje tak, jak by měl</w:t>
      </w:r>
      <w:r w:rsidR="004D40A6" w:rsidRPr="003B376B">
        <w:t>,</w:t>
      </w:r>
      <w:r w:rsidR="00D429E8" w:rsidRPr="003B376B">
        <w:t xml:space="preserve"> a d</w:t>
      </w:r>
      <w:r w:rsidR="004D40A6" w:rsidRPr="003B376B">
        <w:t>ochází k nevyužití všech zdrojů (pracovní síla,</w:t>
      </w:r>
      <w:r w:rsidR="0028011C">
        <w:t xml:space="preserve"> </w:t>
      </w:r>
      <w:r w:rsidR="00D429E8" w:rsidRPr="003B376B">
        <w:t>kapitál</w:t>
      </w:r>
      <w:r w:rsidR="00351957">
        <w:t xml:space="preserve">). </w:t>
      </w:r>
      <w:r w:rsidR="004D40A6" w:rsidRPr="003B376B">
        <w:t xml:space="preserve">V důsledku </w:t>
      </w:r>
      <w:r w:rsidR="00DC324F" w:rsidRPr="003B376B">
        <w:t xml:space="preserve">nevyužití všech zdrojů </w:t>
      </w:r>
      <w:r w:rsidR="00D429E8" w:rsidRPr="003B376B">
        <w:t xml:space="preserve">dochází ke ztrátě produktu. Ztrátu </w:t>
      </w:r>
      <w:r w:rsidR="00D429E8" w:rsidRPr="00581B28">
        <w:rPr>
          <w:color w:val="000000" w:themeColor="text1"/>
        </w:rPr>
        <w:t xml:space="preserve">produktu </w:t>
      </w:r>
      <w:r w:rsidR="00581B28" w:rsidRPr="00581B28">
        <w:rPr>
          <w:color w:val="000000" w:themeColor="text1"/>
        </w:rPr>
        <w:t>lze</w:t>
      </w:r>
      <w:r w:rsidR="00D429E8" w:rsidRPr="00581B28">
        <w:rPr>
          <w:color w:val="000000" w:themeColor="text1"/>
        </w:rPr>
        <w:t xml:space="preserve"> </w:t>
      </w:r>
      <w:r w:rsidR="00D429E8" w:rsidRPr="003B376B">
        <w:t xml:space="preserve">definovat pomocí </w:t>
      </w:r>
      <w:proofErr w:type="spellStart"/>
      <w:r w:rsidR="00D429E8" w:rsidRPr="003B376B">
        <w:t>Okunova</w:t>
      </w:r>
      <w:proofErr w:type="spellEnd"/>
      <w:r w:rsidR="00D429E8" w:rsidRPr="003B376B">
        <w:t xml:space="preserve"> zákona. </w:t>
      </w:r>
      <w:r w:rsidR="00C30EC4" w:rsidRPr="003B376B">
        <w:t xml:space="preserve">Dalším negativem nezaměstnanosti může být schodek ve státním rozpočtu. </w:t>
      </w:r>
      <w:r w:rsidR="004D40A6" w:rsidRPr="003B376B">
        <w:t>S</w:t>
      </w:r>
      <w:r w:rsidR="00C30EC4" w:rsidRPr="003B376B">
        <w:t>chodek je ve stát</w:t>
      </w:r>
      <w:r w:rsidR="003B376B" w:rsidRPr="003B376B">
        <w:t xml:space="preserve">ním rozpočtu z několika důvodů. </w:t>
      </w:r>
      <w:r w:rsidR="004D40A6" w:rsidRPr="003B376B">
        <w:t xml:space="preserve">Jedním z nich </w:t>
      </w:r>
      <w:r w:rsidR="00C30EC4" w:rsidRPr="003B376B">
        <w:t>je nutnost platit nezaměstnaným lidem podporu v nezaměstnanosti</w:t>
      </w:r>
      <w:r w:rsidR="00830163">
        <w:t>.</w:t>
      </w:r>
      <w:r w:rsidR="00830163">
        <w:rPr>
          <w:rStyle w:val="Znakapoznpodarou"/>
        </w:rPr>
        <w:footnoteReference w:id="50"/>
      </w:r>
    </w:p>
    <w:p w14:paraId="62DAC54F" w14:textId="6DEEBD1E" w:rsidR="00B24499" w:rsidRDefault="00EF7E3C" w:rsidP="00B14634">
      <w:pPr>
        <w:spacing w:after="240"/>
      </w:pPr>
      <w:r>
        <w:t>V</w:t>
      </w:r>
      <w:r w:rsidR="00645569">
        <w:t xml:space="preserve"> České republice v </w:t>
      </w:r>
      <w:r>
        <w:t>roce 2017 byly vyplaceny podpory v nezaměstnanosti ve výši 8,22 MLD. K</w:t>
      </w:r>
      <w:r w:rsidR="00645569">
        <w:t>č, kdy celkové výdaje byly ve výši 1 219,84 MLD Kč</w:t>
      </w:r>
      <w:r w:rsidR="00DE686B">
        <w:t>.</w:t>
      </w:r>
      <w:r w:rsidR="00C960C6" w:rsidRPr="00C960C6">
        <w:t xml:space="preserve"> </w:t>
      </w:r>
      <w:r w:rsidR="00C960C6" w:rsidRPr="00C960C6">
        <w:t xml:space="preserve">Vyplacené podpory v nezaměstnanosti se v České </w:t>
      </w:r>
      <w:r w:rsidR="00B14634">
        <w:t>republice snižuj</w:t>
      </w:r>
      <w:r w:rsidR="00DE686B">
        <w:t>í</w:t>
      </w:r>
      <w:r w:rsidR="00C960C6" w:rsidRPr="00C960C6">
        <w:t>, protože v roce 2016 byly vyplacené ve výši 8,28 MLD. K</w:t>
      </w:r>
      <w:r w:rsidR="00B14634">
        <w:t>č</w:t>
      </w:r>
      <w:r w:rsidR="00645569">
        <w:t>.</w:t>
      </w:r>
      <w:r w:rsidR="00645569">
        <w:rPr>
          <w:rStyle w:val="Znakapoznpodarou"/>
        </w:rPr>
        <w:footnoteReference w:id="51"/>
      </w:r>
    </w:p>
    <w:p w14:paraId="0752237E" w14:textId="1EE8FE24" w:rsidR="0015124A" w:rsidRDefault="00DD2D5A" w:rsidP="00351957">
      <w:r>
        <w:t>Se vznikem</w:t>
      </w:r>
      <w:r w:rsidR="00F004AF">
        <w:t xml:space="preserve"> nezaměstnanosti dochází i ke ztrátě daňových příjmů, které platí zaměstnanci ze svých mezd státu. </w:t>
      </w:r>
      <w:r w:rsidR="00F004AF" w:rsidRPr="00644447">
        <w:t>V</w:t>
      </w:r>
      <w:r w:rsidR="005C0767" w:rsidRPr="00644447">
        <w:t xml:space="preserve"> období </w:t>
      </w:r>
      <w:r w:rsidR="00F004AF" w:rsidRPr="00644447">
        <w:t>nezaměstnanosti</w:t>
      </w:r>
      <w:r w:rsidR="00F004AF" w:rsidRPr="003B376B">
        <w:t xml:space="preserve"> </w:t>
      </w:r>
      <w:r w:rsidR="00AF37B8" w:rsidRPr="003B376B">
        <w:t>se snižuje i výběr nepřímých daní</w:t>
      </w:r>
      <w:r w:rsidR="00EF3284">
        <w:t xml:space="preserve">, </w:t>
      </w:r>
      <w:r w:rsidR="00DD43D1" w:rsidRPr="003B376B">
        <w:t xml:space="preserve">do </w:t>
      </w:r>
      <w:r w:rsidR="00DD43D1" w:rsidRPr="00581B28">
        <w:rPr>
          <w:color w:val="000000" w:themeColor="text1"/>
        </w:rPr>
        <w:t xml:space="preserve">kterých </w:t>
      </w:r>
      <w:r w:rsidR="00581B28" w:rsidRPr="00581B28">
        <w:rPr>
          <w:color w:val="000000" w:themeColor="text1"/>
        </w:rPr>
        <w:t>lze zahrnout</w:t>
      </w:r>
      <w:r w:rsidR="00DD43D1" w:rsidRPr="00581B28">
        <w:rPr>
          <w:color w:val="000000" w:themeColor="text1"/>
        </w:rPr>
        <w:t xml:space="preserve"> </w:t>
      </w:r>
      <w:r w:rsidR="00DD43D1" w:rsidRPr="003B376B">
        <w:t xml:space="preserve">DPH </w:t>
      </w:r>
      <w:r w:rsidR="00F004AF" w:rsidRPr="003B376B">
        <w:t xml:space="preserve">nebo spotřební daně. </w:t>
      </w:r>
      <w:r w:rsidR="00DD43D1" w:rsidRPr="003B376B">
        <w:t>Tento jev vzniká, protože lidé</w:t>
      </w:r>
      <w:r w:rsidR="0077705E" w:rsidRPr="003B376B">
        <w:t xml:space="preserve"> šetří své peníze</w:t>
      </w:r>
      <w:r w:rsidRPr="003B376B">
        <w:t xml:space="preserve"> </w:t>
      </w:r>
      <w:r w:rsidR="0089385D">
        <w:br/>
      </w:r>
      <w:r w:rsidRPr="003B376B">
        <w:t>a neutrácejí za zbytečné věci, které nepotřebují.</w:t>
      </w:r>
      <w:r w:rsidR="0089385D">
        <w:t xml:space="preserve"> </w:t>
      </w:r>
      <w:r w:rsidR="0077705E">
        <w:t>Pokud vznikne dlouhodobá nezaměstnanost, d</w:t>
      </w:r>
      <w:r w:rsidR="003B376B">
        <w:t>ochází</w:t>
      </w:r>
      <w:r w:rsidR="0077705E">
        <w:t xml:space="preserve"> k úpadku lidského </w:t>
      </w:r>
      <w:r w:rsidR="0077705E" w:rsidRPr="00A53B9F">
        <w:t>k</w:t>
      </w:r>
      <w:r w:rsidR="00271DBA" w:rsidRPr="00A53B9F">
        <w:t>apitálu, t</w:t>
      </w:r>
      <w:r w:rsidR="0015124A" w:rsidRPr="00A53B9F">
        <w:t>zn.</w:t>
      </w:r>
      <w:r w:rsidR="0015124A">
        <w:t xml:space="preserve"> </w:t>
      </w:r>
      <w:r w:rsidR="00AF37B8">
        <w:t xml:space="preserve">ztrátu </w:t>
      </w:r>
      <w:r w:rsidR="00E50E0A">
        <w:t>zkušeností případně dovedností, které měli lidé předtím, než ztratili svoji původní práci. Lze říci, že člověk, který</w:t>
      </w:r>
      <w:r w:rsidR="005E6B62">
        <w:t xml:space="preserve"> </w:t>
      </w:r>
      <w:r w:rsidR="005E6B62" w:rsidRPr="003B376B">
        <w:t>nastoupil do pracovního poměru po dlouhodobé nezaměstnanosti, není schopen vykonávat práci tak rychle, jak před p</w:t>
      </w:r>
      <w:r w:rsidR="00A348D9">
        <w:t>ropuštěním z pracovního poměru.</w:t>
      </w:r>
    </w:p>
    <w:p w14:paraId="756921A4" w14:textId="34FC17BC" w:rsidR="00B14634" w:rsidRDefault="005D60AE" w:rsidP="0015124A">
      <w:r w:rsidRPr="003B376B">
        <w:t xml:space="preserve">Uchazeči o zaměstnání </w:t>
      </w:r>
      <w:r w:rsidR="00AF37B8" w:rsidRPr="003B376B">
        <w:t xml:space="preserve">se </w:t>
      </w:r>
      <w:r w:rsidRPr="003B376B">
        <w:t xml:space="preserve">často </w:t>
      </w:r>
      <w:r w:rsidR="00AF37B8" w:rsidRPr="003B376B">
        <w:t>setkávají s neúspěchem při hledání práce</w:t>
      </w:r>
      <w:r w:rsidRPr="003B376B">
        <w:t xml:space="preserve">, a proto se </w:t>
      </w:r>
      <w:r w:rsidR="0015124A">
        <w:br/>
      </w:r>
      <w:r w:rsidR="0015124A" w:rsidRPr="003B376B">
        <w:t xml:space="preserve">u </w:t>
      </w:r>
      <w:r w:rsidRPr="003B376B">
        <w:t xml:space="preserve">nich po delší době </w:t>
      </w:r>
      <w:r w:rsidR="00D1544D" w:rsidRPr="003B376B">
        <w:t>vypěstuje</w:t>
      </w:r>
      <w:r w:rsidRPr="003B376B">
        <w:t xml:space="preserve"> nezájem hledat</w:t>
      </w:r>
      <w:r w:rsidR="003B376B" w:rsidRPr="003B376B">
        <w:t xml:space="preserve"> si novou pracovní příležitost. </w:t>
      </w:r>
      <w:r w:rsidR="00AF37B8" w:rsidRPr="003B376B">
        <w:t>N</w:t>
      </w:r>
      <w:r w:rsidR="00E0685E" w:rsidRPr="003B376B">
        <w:t xml:space="preserve">ezájem vzniká </w:t>
      </w:r>
      <w:r w:rsidR="00AF37B8" w:rsidRPr="003B376B">
        <w:t xml:space="preserve">také </w:t>
      </w:r>
      <w:r w:rsidR="00E0685E" w:rsidRPr="003B376B">
        <w:t>z toho dů</w:t>
      </w:r>
      <w:r w:rsidR="00DC3EC6" w:rsidRPr="003B376B">
        <w:t>vodu, že si lidé zvy</w:t>
      </w:r>
      <w:r w:rsidR="00D1544D" w:rsidRPr="003B376B">
        <w:t>k</w:t>
      </w:r>
      <w:r w:rsidR="00AF37B8" w:rsidRPr="003B376B">
        <w:t>nou</w:t>
      </w:r>
      <w:r w:rsidR="00DC3EC6" w:rsidRPr="003B376B">
        <w:t xml:space="preserve"> na podporu od státu a na volný čas, který mohou plně využít, když nepracují. Pokud </w:t>
      </w:r>
      <w:r w:rsidR="00AF37B8" w:rsidRPr="003B376B">
        <w:t xml:space="preserve">se </w:t>
      </w:r>
      <w:r w:rsidR="00DC3EC6" w:rsidRPr="003B376B">
        <w:t>nezaměstnaný</w:t>
      </w:r>
      <w:r w:rsidR="003B376B" w:rsidRPr="003B376B">
        <w:t xml:space="preserve"> </w:t>
      </w:r>
      <w:r w:rsidR="00DC3EC6" w:rsidRPr="003B376B">
        <w:t>rozhodne nevyhledávat práci, protože chce trávit volný čas naplno a stačí mu pouze příspěvek od státu</w:t>
      </w:r>
      <w:r w:rsidR="003B376B" w:rsidRPr="003B376B">
        <w:t>,</w:t>
      </w:r>
      <w:r w:rsidR="00DC3EC6" w:rsidRPr="003B376B">
        <w:t xml:space="preserve"> dochází k negativnímu důsledku</w:t>
      </w:r>
      <w:r w:rsidR="00AF37B8" w:rsidRPr="003B376B">
        <w:t xml:space="preserve"> tedy ke ztrátě přehledu o čase</w:t>
      </w:r>
      <w:r w:rsidR="00275E13" w:rsidRPr="003B376B">
        <w:t xml:space="preserve">. </w:t>
      </w:r>
      <w:r w:rsidR="00DC3EC6" w:rsidRPr="003B376B">
        <w:t>P</w:t>
      </w:r>
      <w:r w:rsidR="005E2BCC" w:rsidRPr="003B376B">
        <w:t xml:space="preserve">rotože lidem, kteří nepracují, </w:t>
      </w:r>
      <w:r w:rsidR="00AF37B8" w:rsidRPr="003B376B">
        <w:t>ubíhá čas pomaleji</w:t>
      </w:r>
      <w:r w:rsidR="00DC3EC6" w:rsidRPr="003B376B">
        <w:t xml:space="preserve"> než v zaměstnání. </w:t>
      </w:r>
      <w:r w:rsidR="00D1544D" w:rsidRPr="003B376B">
        <w:t xml:space="preserve">Nezaměstnaným se často </w:t>
      </w:r>
      <w:r w:rsidR="00D1544D" w:rsidRPr="00D665EC">
        <w:rPr>
          <w:color w:val="000000" w:themeColor="text1"/>
        </w:rPr>
        <w:t>stává, že nemají přehled o tom, jaký je momentálně den.</w:t>
      </w:r>
      <w:r w:rsidR="00056404">
        <w:rPr>
          <w:rStyle w:val="Znakapoznpodarou"/>
          <w:color w:val="000000" w:themeColor="text1"/>
        </w:rPr>
        <w:footnoteReference w:id="52"/>
      </w:r>
    </w:p>
    <w:p w14:paraId="76BF0382" w14:textId="77777777" w:rsidR="00B14634" w:rsidRDefault="00B14634">
      <w:pPr>
        <w:spacing w:after="200" w:line="276" w:lineRule="auto"/>
        <w:ind w:firstLine="0"/>
        <w:jc w:val="left"/>
      </w:pPr>
      <w:r>
        <w:br w:type="page"/>
      </w:r>
    </w:p>
    <w:p w14:paraId="4CD6250D" w14:textId="5D3C8B76" w:rsidR="00B14634" w:rsidRPr="00B14634" w:rsidRDefault="005E2BCC" w:rsidP="00B14634">
      <w:pPr>
        <w:rPr>
          <w:vanish/>
          <w:specVanish/>
        </w:rPr>
      </w:pPr>
      <w:r w:rsidRPr="003B376B">
        <w:lastRenderedPageBreak/>
        <w:t xml:space="preserve">Po </w:t>
      </w:r>
      <w:r w:rsidR="00AF37B8" w:rsidRPr="003B376B">
        <w:t xml:space="preserve">určité </w:t>
      </w:r>
      <w:r w:rsidRPr="003B376B">
        <w:t>době pro nezaměstnaného</w:t>
      </w:r>
      <w:r w:rsidR="007F48D2">
        <w:t xml:space="preserve"> se</w:t>
      </w:r>
      <w:r w:rsidRPr="003B376B">
        <w:t xml:space="preserve"> </w:t>
      </w:r>
      <w:r w:rsidR="00AF37B8" w:rsidRPr="003B376B">
        <w:t xml:space="preserve">stává </w:t>
      </w:r>
      <w:r w:rsidRPr="003B376B">
        <w:t xml:space="preserve">volný čas nudným životem, protože potřebuje peníze na trávení volného času a podpora mu bohužel nestačí. </w:t>
      </w:r>
      <w:r w:rsidR="00AF37B8" w:rsidRPr="003B376B">
        <w:t>Souvislost mezi nezaměstnaností a zvýšeným počtem trestných činů je rovněž patrná</w:t>
      </w:r>
      <w:r w:rsidR="00B14634">
        <w:t>.</w:t>
      </w:r>
    </w:p>
    <w:p w14:paraId="5DE8B610" w14:textId="77777777" w:rsidR="00B14634" w:rsidRDefault="00B14634" w:rsidP="00B14634">
      <w:pPr>
        <w:rPr>
          <w:vanish/>
        </w:rPr>
      </w:pPr>
      <w:r>
        <w:t xml:space="preserve"> </w:t>
      </w:r>
      <w:r w:rsidR="00947D91" w:rsidRPr="003B376B">
        <w:t>N</w:t>
      </w:r>
      <w:r w:rsidR="003567F3" w:rsidRPr="003B376B">
        <w:t xml:space="preserve">ezaměstnaní lidé se snaží </w:t>
      </w:r>
      <w:r w:rsidR="00947D91" w:rsidRPr="003B376B">
        <w:t xml:space="preserve">nelegálním způsobem </w:t>
      </w:r>
      <w:r w:rsidR="003567F3" w:rsidRPr="003B376B">
        <w:t>získat peníze</w:t>
      </w:r>
      <w:r w:rsidR="00947D91" w:rsidRPr="003B376B">
        <w:t>.</w:t>
      </w:r>
      <w:r w:rsidR="003B376B" w:rsidRPr="003B376B">
        <w:t xml:space="preserve"> </w:t>
      </w:r>
      <w:r w:rsidR="00947D91" w:rsidRPr="003B376B">
        <w:t>S</w:t>
      </w:r>
      <w:r w:rsidR="003567F3" w:rsidRPr="003B376B">
        <w:t xml:space="preserve">tát řeší </w:t>
      </w:r>
      <w:r w:rsidR="00947D91" w:rsidRPr="003B376B">
        <w:t xml:space="preserve">vzrůstající kriminalitu </w:t>
      </w:r>
      <w:r w:rsidR="003567F3" w:rsidRPr="003B376B">
        <w:t>policejním</w:t>
      </w:r>
      <w:r w:rsidR="00947D91" w:rsidRPr="003B376B">
        <w:t>i</w:t>
      </w:r>
      <w:r w:rsidR="003567F3" w:rsidRPr="003B376B">
        <w:t xml:space="preserve"> opatřením</w:t>
      </w:r>
      <w:r w:rsidR="00947D91" w:rsidRPr="003B376B">
        <w:t>i</w:t>
      </w:r>
      <w:r w:rsidR="003567F3" w:rsidRPr="003B376B">
        <w:t>, do kterého musí vkládat své finance.</w:t>
      </w:r>
      <w:r w:rsidR="003567F3">
        <w:t xml:space="preserve"> Když </w:t>
      </w:r>
      <w:r w:rsidR="00581B28" w:rsidRPr="00581B28">
        <w:rPr>
          <w:color w:val="000000" w:themeColor="text1"/>
        </w:rPr>
        <w:t>lidé ztratí</w:t>
      </w:r>
      <w:r w:rsidR="003567F3" w:rsidRPr="00581B28">
        <w:rPr>
          <w:color w:val="000000" w:themeColor="text1"/>
        </w:rPr>
        <w:t xml:space="preserve"> </w:t>
      </w:r>
      <w:r w:rsidR="003567F3">
        <w:t>zaměstnání</w:t>
      </w:r>
      <w:r w:rsidR="00BF0309">
        <w:t>,</w:t>
      </w:r>
      <w:r>
        <w:t xml:space="preserve"> </w:t>
      </w:r>
      <w:r w:rsidR="003567F3">
        <w:t>může docházet i k sociální izolaci jedince, protože tento jedin</w:t>
      </w:r>
      <w:r w:rsidR="00DC324F">
        <w:t>ec</w:t>
      </w:r>
      <w:r w:rsidR="003567F3">
        <w:t xml:space="preserve"> ztratí </w:t>
      </w:r>
      <w:r>
        <w:t xml:space="preserve">kontakty se svými </w:t>
      </w:r>
      <w:r w:rsidR="00644447">
        <w:t>kolegy a spolupracovníky</w:t>
      </w:r>
      <w:r w:rsidR="003B376B" w:rsidRPr="009744D0">
        <w:t>. Nezaměstnanost vede i ke</w:t>
      </w:r>
      <w:r w:rsidR="00947D91" w:rsidRPr="009744D0">
        <w:t xml:space="preserve"> ztrátě</w:t>
      </w:r>
      <w:r w:rsidR="003B376B" w:rsidRPr="009744D0">
        <w:t xml:space="preserve"> a</w:t>
      </w:r>
      <w:r w:rsidR="00947D91" w:rsidRPr="009744D0">
        <w:t>utority a postavení v rodině, p</w:t>
      </w:r>
      <w:r w:rsidR="00CA5191" w:rsidRPr="009744D0">
        <w:t xml:space="preserve">rotože tyto osoby mohou být ovlivněny depresemi. </w:t>
      </w:r>
      <w:r w:rsidR="00947D91" w:rsidRPr="009744D0">
        <w:t>Někteří l</w:t>
      </w:r>
      <w:r w:rsidR="00CA5191" w:rsidRPr="009744D0">
        <w:t xml:space="preserve">idé nenavštěvují </w:t>
      </w:r>
      <w:r w:rsidR="009744D0" w:rsidRPr="009744D0">
        <w:t xml:space="preserve">odborníky, kteří </w:t>
      </w:r>
      <w:r w:rsidR="00DC324F" w:rsidRPr="009744D0">
        <w:t>ji</w:t>
      </w:r>
      <w:r w:rsidR="004A25D6" w:rsidRPr="009744D0">
        <w:t xml:space="preserve">m </w:t>
      </w:r>
      <w:r w:rsidR="00947D91" w:rsidRPr="009744D0">
        <w:t>mohou pomoci</w:t>
      </w:r>
      <w:r w:rsidR="004A25D6" w:rsidRPr="009744D0">
        <w:t xml:space="preserve">, </w:t>
      </w:r>
      <w:r w:rsidR="00947D91" w:rsidRPr="009744D0">
        <w:t xml:space="preserve">jiní </w:t>
      </w:r>
      <w:r w:rsidR="00CA5191" w:rsidRPr="009744D0">
        <w:t>al</w:t>
      </w:r>
      <w:r w:rsidR="00947D91" w:rsidRPr="009744D0">
        <w:t>e svoje problémy s nezaměstnaností</w:t>
      </w:r>
      <w:r w:rsidR="00CA5191" w:rsidRPr="009744D0">
        <w:t xml:space="preserve"> řeší </w:t>
      </w:r>
      <w:r w:rsidR="00947D91" w:rsidRPr="009744D0">
        <w:t xml:space="preserve">prostřednictvím </w:t>
      </w:r>
      <w:r w:rsidR="00CA5191" w:rsidRPr="009744D0">
        <w:t xml:space="preserve">alkoholu, </w:t>
      </w:r>
      <w:r w:rsidR="00B25783" w:rsidRPr="009744D0">
        <w:t>drog a jiných omamných látek.</w:t>
      </w:r>
      <w:r w:rsidR="004A25D6" w:rsidRPr="009744D0">
        <w:t xml:space="preserve"> Deprese nezaměstnaných osob </w:t>
      </w:r>
      <w:r w:rsidR="004807F3" w:rsidRPr="009744D0">
        <w:t xml:space="preserve">vedou k sebevraždám. </w:t>
      </w:r>
      <w:r w:rsidR="007F48D2">
        <w:t xml:space="preserve">Dalším problémem, který vzniká </w:t>
      </w:r>
      <w:r w:rsidR="004807F3" w:rsidRPr="009744D0">
        <w:t xml:space="preserve">u </w:t>
      </w:r>
      <w:r w:rsidR="004807F3" w:rsidRPr="0039096D">
        <w:t>nezaměstnaného</w:t>
      </w:r>
      <w:r w:rsidR="00271DBA" w:rsidRPr="0039096D">
        <w:t>,</w:t>
      </w:r>
      <w:r w:rsidR="004807F3" w:rsidRPr="0039096D">
        <w:t xml:space="preserve"> je ztráta </w:t>
      </w:r>
      <w:r w:rsidR="004807F3" w:rsidRPr="009744D0">
        <w:t>sebeúcty, tento člověk si sebe</w:t>
      </w:r>
      <w:r w:rsidR="00947D91" w:rsidRPr="009744D0">
        <w:t xml:space="preserve"> </w:t>
      </w:r>
      <w:r w:rsidR="00351957">
        <w:t>neváží.</w:t>
      </w:r>
      <w:r w:rsidR="00351957">
        <w:rPr>
          <w:rStyle w:val="Znakapoznpodarou"/>
        </w:rPr>
        <w:footnoteReference w:id="53"/>
      </w:r>
      <w:bookmarkStart w:id="24" w:name="_Toc15889386"/>
    </w:p>
    <w:p w14:paraId="6D46BCC9" w14:textId="08C80E34" w:rsidR="00984231" w:rsidRPr="008D22CD" w:rsidRDefault="00984231" w:rsidP="00056404">
      <w:pPr>
        <w:pStyle w:val="Nadpis3"/>
        <w:rPr>
          <w:vertAlign w:val="superscript"/>
        </w:rPr>
      </w:pPr>
      <w:r w:rsidRPr="00F53FA4">
        <w:t xml:space="preserve">Spojitost </w:t>
      </w:r>
      <w:r>
        <w:t xml:space="preserve">nezaměstnanosti a produktu – </w:t>
      </w:r>
      <w:proofErr w:type="spellStart"/>
      <w:r>
        <w:t>Okunův</w:t>
      </w:r>
      <w:proofErr w:type="spellEnd"/>
      <w:r>
        <w:t xml:space="preserve"> </w:t>
      </w:r>
      <w:r w:rsidR="005428F5">
        <w:t>zákon</w:t>
      </w:r>
      <w:bookmarkEnd w:id="24"/>
    </w:p>
    <w:p w14:paraId="288728B4" w14:textId="2E9D7DEA" w:rsidR="00431AB7" w:rsidRDefault="000144A2" w:rsidP="0089385D">
      <w:pPr>
        <w:rPr>
          <w:rStyle w:val="st"/>
        </w:rPr>
      </w:pPr>
      <w:proofErr w:type="spellStart"/>
      <w:r>
        <w:t>Okunův</w:t>
      </w:r>
      <w:proofErr w:type="spellEnd"/>
      <w:r>
        <w:t xml:space="preserve"> zákon</w:t>
      </w:r>
      <w:r w:rsidRPr="00581B28">
        <w:rPr>
          <w:color w:val="000000" w:themeColor="text1"/>
        </w:rPr>
        <w:t xml:space="preserve"> </w:t>
      </w:r>
      <w:r w:rsidR="00581B28" w:rsidRPr="00581B28">
        <w:rPr>
          <w:color w:val="000000" w:themeColor="text1"/>
        </w:rPr>
        <w:t>lze</w:t>
      </w:r>
      <w:r w:rsidRPr="00581B28">
        <w:rPr>
          <w:color w:val="000000" w:themeColor="text1"/>
        </w:rPr>
        <w:t xml:space="preserve"> </w:t>
      </w:r>
      <w:r>
        <w:t>vyjádřit pomocí vzorce, který je tvořen z rovnice. Le</w:t>
      </w:r>
      <w:r w:rsidR="006410F6">
        <w:t>vá strana vzorce je složená z indikátorů</w:t>
      </w:r>
      <w:r>
        <w:t xml:space="preserve"> </w:t>
      </w:r>
      <w:proofErr w:type="spellStart"/>
      <w:r w:rsidRPr="00581B28">
        <w:rPr>
          <w:i/>
        </w:rPr>
        <w:t>y</w:t>
      </w:r>
      <w:r w:rsidR="00B25783" w:rsidRPr="00581B28">
        <w:rPr>
          <w:i/>
          <w:vertAlign w:val="subscript"/>
        </w:rPr>
        <w:t>t</w:t>
      </w:r>
      <w:proofErr w:type="spellEnd"/>
      <w:r w:rsidRPr="00581B28">
        <w:rPr>
          <w:i/>
          <w:vertAlign w:val="subscript"/>
        </w:rPr>
        <w:t xml:space="preserve"> - </w:t>
      </w:r>
      <w:proofErr w:type="spellStart"/>
      <w:r w:rsidRPr="00581B28">
        <w:rPr>
          <w:i/>
          <w:vertAlign w:val="subscript"/>
        </w:rPr>
        <w:t>Yt</w:t>
      </w:r>
      <w:proofErr w:type="spellEnd"/>
      <w:r w:rsidR="00DC324F" w:rsidRPr="00581B28">
        <w:rPr>
          <w:i/>
        </w:rPr>
        <w:t>,</w:t>
      </w:r>
      <w:r w:rsidR="00DC324F">
        <w:t xml:space="preserve"> což je označováno</w:t>
      </w:r>
      <w:r w:rsidR="004E28EC">
        <w:t xml:space="preserve"> jako mezera produktu. </w:t>
      </w:r>
      <w:r w:rsidR="000612B6">
        <w:t xml:space="preserve">Na </w:t>
      </w:r>
      <w:r w:rsidR="006410F6">
        <w:t xml:space="preserve">pravé straně </w:t>
      </w:r>
      <w:r w:rsidR="006410F6" w:rsidRPr="009744D0">
        <w:t xml:space="preserve">rovnice </w:t>
      </w:r>
      <w:r w:rsidR="00947D91" w:rsidRPr="009744D0">
        <w:t xml:space="preserve">figurují </w:t>
      </w:r>
      <w:r w:rsidR="006410F6" w:rsidRPr="009744D0">
        <w:t>indikátory</w:t>
      </w:r>
      <w:r w:rsidR="000612B6" w:rsidRPr="009744D0">
        <w:t xml:space="preserve"> </w:t>
      </w:r>
      <w:r w:rsidR="000612B6" w:rsidRPr="00581B28">
        <w:rPr>
          <w:i/>
        </w:rPr>
        <w:t>(</w:t>
      </w:r>
      <w:proofErr w:type="spellStart"/>
      <w:r w:rsidR="000612B6" w:rsidRPr="00581B28">
        <w:rPr>
          <w:i/>
        </w:rPr>
        <w:t>u</w:t>
      </w:r>
      <w:r w:rsidR="000612B6" w:rsidRPr="00581B28">
        <w:rPr>
          <w:i/>
          <w:vertAlign w:val="superscript"/>
        </w:rPr>
        <w:t>p</w:t>
      </w:r>
      <w:r w:rsidR="000612B6" w:rsidRPr="00581B28">
        <w:rPr>
          <w:i/>
          <w:vertAlign w:val="subscript"/>
        </w:rPr>
        <w:t>t</w:t>
      </w:r>
      <w:proofErr w:type="spellEnd"/>
      <w:r w:rsidR="000612B6" w:rsidRPr="00581B28">
        <w:rPr>
          <w:i/>
        </w:rPr>
        <w:t xml:space="preserve"> – </w:t>
      </w:r>
      <w:proofErr w:type="spellStart"/>
      <w:r w:rsidR="000612B6" w:rsidRPr="00581B28">
        <w:rPr>
          <w:i/>
        </w:rPr>
        <w:t>u</w:t>
      </w:r>
      <w:r w:rsidR="000612B6" w:rsidRPr="00581B28">
        <w:rPr>
          <w:i/>
          <w:vertAlign w:val="subscript"/>
        </w:rPr>
        <w:t>t</w:t>
      </w:r>
      <w:proofErr w:type="spellEnd"/>
      <w:r w:rsidR="003F66B8" w:rsidRPr="00581B28">
        <w:rPr>
          <w:i/>
        </w:rPr>
        <w:t>)</w:t>
      </w:r>
      <w:r w:rsidR="001E221F" w:rsidRPr="00581B28">
        <w:rPr>
          <w:rStyle w:val="Nadpis1Char"/>
          <w:i/>
        </w:rPr>
        <w:t xml:space="preserve"> </w:t>
      </w:r>
      <w:r w:rsidR="001E221F" w:rsidRPr="00581B28">
        <w:rPr>
          <w:rStyle w:val="st"/>
          <w:i/>
        </w:rPr>
        <w:t>λ</w:t>
      </w:r>
      <w:r w:rsidR="001E221F" w:rsidRPr="009744D0">
        <w:rPr>
          <w:rStyle w:val="st"/>
        </w:rPr>
        <w:t xml:space="preserve">. </w:t>
      </w:r>
      <w:r w:rsidR="00947D91" w:rsidRPr="009744D0">
        <w:rPr>
          <w:rStyle w:val="st"/>
        </w:rPr>
        <w:t>U</w:t>
      </w:r>
      <w:r w:rsidR="006410F6" w:rsidRPr="009744D0">
        <w:rPr>
          <w:rStyle w:val="st"/>
        </w:rPr>
        <w:t>kazatelem</w:t>
      </w:r>
      <w:r w:rsidR="001E221F" w:rsidRPr="009744D0">
        <w:rPr>
          <w:rStyle w:val="st"/>
        </w:rPr>
        <w:t xml:space="preserve"> </w:t>
      </w:r>
      <w:proofErr w:type="spellStart"/>
      <w:r w:rsidR="001E221F" w:rsidRPr="00581B28">
        <w:rPr>
          <w:rStyle w:val="st"/>
          <w:i/>
        </w:rPr>
        <w:t>u</w:t>
      </w:r>
      <w:r w:rsidR="001E221F" w:rsidRPr="00581B28">
        <w:rPr>
          <w:rStyle w:val="st"/>
          <w:i/>
          <w:vertAlign w:val="superscript"/>
        </w:rPr>
        <w:t>p</w:t>
      </w:r>
      <w:r w:rsidR="001E221F" w:rsidRPr="00581B28">
        <w:rPr>
          <w:rStyle w:val="st"/>
          <w:i/>
          <w:vertAlign w:val="subscript"/>
        </w:rPr>
        <w:t>t</w:t>
      </w:r>
      <w:proofErr w:type="spellEnd"/>
      <w:r w:rsidR="001E221F" w:rsidRPr="009744D0">
        <w:rPr>
          <w:rStyle w:val="st"/>
        </w:rPr>
        <w:t xml:space="preserve"> </w:t>
      </w:r>
      <w:r w:rsidR="00B25783" w:rsidRPr="009744D0">
        <w:rPr>
          <w:rStyle w:val="st"/>
        </w:rPr>
        <w:t>lze znázornit</w:t>
      </w:r>
      <w:r w:rsidR="001E221F" w:rsidRPr="009744D0">
        <w:rPr>
          <w:rStyle w:val="st"/>
        </w:rPr>
        <w:t xml:space="preserve"> výši nezaměstnanosti, když </w:t>
      </w:r>
      <w:r w:rsidR="006410F6" w:rsidRPr="009744D0">
        <w:rPr>
          <w:rStyle w:val="st"/>
        </w:rPr>
        <w:t>je plná zaměstnanost. Ukazatel</w:t>
      </w:r>
      <w:r w:rsidR="001E221F" w:rsidRPr="009744D0">
        <w:rPr>
          <w:rStyle w:val="st"/>
        </w:rPr>
        <w:t xml:space="preserve"> </w:t>
      </w:r>
      <w:proofErr w:type="spellStart"/>
      <w:r w:rsidR="001E221F" w:rsidRPr="009744D0">
        <w:rPr>
          <w:rStyle w:val="st"/>
        </w:rPr>
        <w:t>u</w:t>
      </w:r>
      <w:r w:rsidR="001E221F" w:rsidRPr="009744D0">
        <w:rPr>
          <w:rStyle w:val="st"/>
          <w:vertAlign w:val="subscript"/>
        </w:rPr>
        <w:t>t</w:t>
      </w:r>
      <w:proofErr w:type="spellEnd"/>
      <w:r w:rsidR="001E221F" w:rsidRPr="009744D0">
        <w:rPr>
          <w:rStyle w:val="st"/>
        </w:rPr>
        <w:t xml:space="preserve"> znázorňuje pravou výši nezaměstnanosti. Index</w:t>
      </w:r>
      <w:r w:rsidR="00B25783" w:rsidRPr="009744D0">
        <w:rPr>
          <w:rStyle w:val="st"/>
        </w:rPr>
        <w:t>em</w:t>
      </w:r>
      <w:r w:rsidR="001E221F" w:rsidRPr="009744D0">
        <w:rPr>
          <w:rStyle w:val="st"/>
        </w:rPr>
        <w:t xml:space="preserve"> </w:t>
      </w:r>
      <w:r w:rsidR="001E221F" w:rsidRPr="00581B28">
        <w:rPr>
          <w:rStyle w:val="st"/>
          <w:i/>
        </w:rPr>
        <w:t xml:space="preserve">λ </w:t>
      </w:r>
      <w:r w:rsidR="00B25783" w:rsidRPr="009744D0">
        <w:rPr>
          <w:rStyle w:val="st"/>
        </w:rPr>
        <w:t>lze</w:t>
      </w:r>
      <w:r w:rsidR="001E221F" w:rsidRPr="009744D0">
        <w:rPr>
          <w:rStyle w:val="st"/>
        </w:rPr>
        <w:t xml:space="preserve"> vyj</w:t>
      </w:r>
      <w:r w:rsidR="00B25783" w:rsidRPr="009744D0">
        <w:rPr>
          <w:rStyle w:val="st"/>
        </w:rPr>
        <w:t>ádřit</w:t>
      </w:r>
      <w:r w:rsidR="001E221F" w:rsidRPr="009744D0">
        <w:rPr>
          <w:rStyle w:val="st"/>
        </w:rPr>
        <w:t xml:space="preserve"> průlom produktu na průlom nezaměstnanosti. </w:t>
      </w:r>
      <w:r w:rsidR="00431AB7" w:rsidRPr="009744D0">
        <w:rPr>
          <w:rStyle w:val="st"/>
        </w:rPr>
        <w:t>U tohoto indexu dochází k čas</w:t>
      </w:r>
      <w:r w:rsidR="0089385D">
        <w:rPr>
          <w:rStyle w:val="st"/>
        </w:rPr>
        <w:t>tým změnám mezi okolními státy.</w:t>
      </w:r>
      <w:r w:rsidR="0089385D">
        <w:rPr>
          <w:rStyle w:val="Znakapoznpodarou"/>
        </w:rPr>
        <w:footnoteReference w:id="54"/>
      </w:r>
    </w:p>
    <w:p w14:paraId="4F1396D4" w14:textId="7F6CA927" w:rsidR="00431AB7" w:rsidRDefault="00C512A0" w:rsidP="004807F3">
      <w:pPr>
        <w:ind w:left="3402" w:firstLine="567"/>
        <w:rPr>
          <w:rStyle w:val="st"/>
        </w:rPr>
      </w:pPr>
      <m:oMath>
        <m:d>
          <m:dPr>
            <m:ctrlPr>
              <w:rPr>
                <w:rStyle w:val="st"/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Style w:val="st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st"/>
                    <w:rFonts w:ascii="Cambria Math" w:hAnsi="Cambria Math"/>
                  </w:rPr>
                  <m:t>y</m:t>
                </m:r>
              </m:e>
              <m:sub>
                <m:r>
                  <w:rPr>
                    <w:rStyle w:val="st"/>
                    <w:rFonts w:ascii="Cambria Math" w:hAnsi="Cambria Math"/>
                  </w:rPr>
                  <m:t>t</m:t>
                </m:r>
              </m:sub>
            </m:sSub>
            <m:r>
              <w:rPr>
                <w:rStyle w:val="st"/>
                <w:rFonts w:ascii="Cambria Math" w:hAnsi="Cambria Math"/>
              </w:rPr>
              <m:t xml:space="preserve">- </m:t>
            </m:r>
            <m:sSubSup>
              <m:sSubSupPr>
                <m:ctrlPr>
                  <w:rPr>
                    <w:rStyle w:val="st"/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Style w:val="st"/>
                    <w:rFonts w:ascii="Cambria Math" w:hAnsi="Cambria Math"/>
                  </w:rPr>
                  <m:t>y</m:t>
                </m:r>
              </m:e>
              <m:sub>
                <m:r>
                  <w:rPr>
                    <w:rStyle w:val="st"/>
                    <w:rFonts w:ascii="Cambria Math" w:hAnsi="Cambria Math"/>
                  </w:rPr>
                  <m:t>t</m:t>
                </m:r>
              </m:sub>
              <m:sup>
                <m:r>
                  <w:rPr>
                    <w:rStyle w:val="st"/>
                    <w:rFonts w:ascii="Cambria Math" w:hAnsi="Cambria Math"/>
                  </w:rPr>
                  <m:t>p</m:t>
                </m:r>
              </m:sup>
            </m:sSubSup>
          </m:e>
        </m:d>
        <m:r>
          <w:rPr>
            <w:rStyle w:val="st"/>
            <w:rFonts w:ascii="Cambria Math" w:hAnsi="Cambria Math"/>
          </w:rPr>
          <m:t>=</m:t>
        </m:r>
        <m:r>
          <m:rPr>
            <m:sty m:val="p"/>
          </m:rPr>
          <w:rPr>
            <w:rStyle w:val="st"/>
            <w:rFonts w:ascii="Cambria Math" w:hAnsi="Cambria Math"/>
          </w:rPr>
          <m:t>λ(</m:t>
        </m:r>
        <m:sSubSup>
          <m:sSubSupPr>
            <m:ctrlPr>
              <w:rPr>
                <w:rStyle w:val="st"/>
                <w:rFonts w:ascii="Cambria Math" w:hAnsi="Cambria Math"/>
              </w:rPr>
            </m:ctrlPr>
          </m:sSubSupPr>
          <m:e>
            <m:r>
              <w:rPr>
                <w:rStyle w:val="st"/>
                <w:rFonts w:ascii="Cambria Math" w:hAnsi="Cambria Math"/>
              </w:rPr>
              <m:t>u</m:t>
            </m:r>
          </m:e>
          <m:sub>
            <m:r>
              <w:rPr>
                <w:rStyle w:val="st"/>
                <w:rFonts w:ascii="Cambria Math" w:hAnsi="Cambria Math"/>
              </w:rPr>
              <m:t>t</m:t>
            </m:r>
          </m:sub>
          <m:sup>
            <m:r>
              <w:rPr>
                <w:rStyle w:val="st"/>
                <w:rFonts w:ascii="Cambria Math" w:hAnsi="Cambria Math"/>
              </w:rPr>
              <m:t>p</m:t>
            </m:r>
          </m:sup>
        </m:sSubSup>
        <m:r>
          <w:rPr>
            <w:rStyle w:val="st"/>
            <w:rFonts w:ascii="Cambria Math" w:hAnsi="Cambria Math"/>
          </w:rPr>
          <m:t>-</m:t>
        </m:r>
        <m:sSub>
          <m:sSubPr>
            <m:ctrlPr>
              <w:rPr>
                <w:rStyle w:val="st"/>
                <w:rFonts w:ascii="Cambria Math" w:hAnsi="Cambria Math"/>
                <w:i/>
              </w:rPr>
            </m:ctrlPr>
          </m:sSubPr>
          <m:e>
            <m:r>
              <w:rPr>
                <w:rStyle w:val="st"/>
                <w:rFonts w:ascii="Cambria Math" w:hAnsi="Cambria Math"/>
              </w:rPr>
              <m:t>u</m:t>
            </m:r>
          </m:e>
          <m:sub>
            <m:r>
              <w:rPr>
                <w:rStyle w:val="st"/>
                <w:rFonts w:ascii="Cambria Math" w:hAnsi="Cambria Math"/>
              </w:rPr>
              <m:t>t</m:t>
            </m:r>
          </m:sub>
        </m:sSub>
        <m:r>
          <w:rPr>
            <w:rStyle w:val="st"/>
            <w:rFonts w:ascii="Cambria Math" w:hAnsi="Cambria Math"/>
          </w:rPr>
          <m:t>)</m:t>
        </m:r>
      </m:oMath>
      <w:r w:rsidR="00BF0309" w:rsidRPr="00BF0309">
        <w:rPr>
          <w:rStyle w:val="st"/>
        </w:rPr>
        <w:t xml:space="preserve"> </w:t>
      </w:r>
    </w:p>
    <w:p w14:paraId="66F175EB" w14:textId="455CEBA6" w:rsidR="00093948" w:rsidRDefault="0089385D" w:rsidP="00BD3080">
      <w:pPr>
        <w:pStyle w:val="Titulek"/>
        <w:spacing w:after="0" w:line="360" w:lineRule="auto"/>
        <w:ind w:firstLine="0"/>
        <w:rPr>
          <w:color w:val="auto"/>
          <w:sz w:val="20"/>
          <w:szCs w:val="20"/>
        </w:rPr>
      </w:pPr>
      <w:bookmarkStart w:id="25" w:name="_Toc15639793"/>
      <w:r w:rsidRPr="00600354">
        <w:rPr>
          <w:color w:val="auto"/>
          <w:sz w:val="20"/>
          <w:szCs w:val="20"/>
        </w:rPr>
        <w:t xml:space="preserve">Vzorec </w:t>
      </w:r>
      <w:r w:rsidRPr="00600354">
        <w:rPr>
          <w:color w:val="auto"/>
          <w:sz w:val="20"/>
          <w:szCs w:val="20"/>
        </w:rPr>
        <w:fldChar w:fldCharType="begin"/>
      </w:r>
      <w:r w:rsidRPr="00600354">
        <w:rPr>
          <w:color w:val="auto"/>
          <w:sz w:val="20"/>
          <w:szCs w:val="20"/>
        </w:rPr>
        <w:instrText xml:space="preserve"> SEQ Vzorec \* ARABIC </w:instrText>
      </w:r>
      <w:r w:rsidRPr="00600354">
        <w:rPr>
          <w:color w:val="auto"/>
          <w:sz w:val="20"/>
          <w:szCs w:val="20"/>
        </w:rPr>
        <w:fldChar w:fldCharType="separate"/>
      </w:r>
      <w:r w:rsidR="0040267A">
        <w:rPr>
          <w:noProof/>
          <w:color w:val="auto"/>
          <w:sz w:val="20"/>
          <w:szCs w:val="20"/>
        </w:rPr>
        <w:t>8</w:t>
      </w:r>
      <w:r w:rsidRPr="00600354">
        <w:rPr>
          <w:color w:val="auto"/>
          <w:sz w:val="20"/>
          <w:szCs w:val="20"/>
        </w:rPr>
        <w:fldChar w:fldCharType="end"/>
      </w:r>
      <w:r w:rsidRPr="00600354">
        <w:rPr>
          <w:color w:val="auto"/>
          <w:sz w:val="20"/>
          <w:szCs w:val="20"/>
        </w:rPr>
        <w:t xml:space="preserve"> </w:t>
      </w:r>
      <w:proofErr w:type="spellStart"/>
      <w:r w:rsidRPr="00600354">
        <w:rPr>
          <w:color w:val="auto"/>
          <w:sz w:val="20"/>
          <w:szCs w:val="20"/>
        </w:rPr>
        <w:t>Okunův</w:t>
      </w:r>
      <w:proofErr w:type="spellEnd"/>
      <w:r w:rsidRPr="00600354">
        <w:rPr>
          <w:color w:val="auto"/>
          <w:sz w:val="20"/>
          <w:szCs w:val="20"/>
        </w:rPr>
        <w:t xml:space="preserve"> zákon</w:t>
      </w:r>
      <w:bookmarkEnd w:id="25"/>
    </w:p>
    <w:p w14:paraId="03D16803" w14:textId="00B08BAA" w:rsidR="00600354" w:rsidRDefault="0089385D" w:rsidP="00BD3080">
      <w:pPr>
        <w:pStyle w:val="Titulek"/>
        <w:spacing w:after="0" w:line="360" w:lineRule="auto"/>
        <w:ind w:firstLine="0"/>
        <w:rPr>
          <w:color w:val="000000" w:themeColor="text1"/>
          <w:sz w:val="20"/>
          <w:szCs w:val="20"/>
        </w:rPr>
      </w:pPr>
      <w:r w:rsidRPr="0089385D">
        <w:rPr>
          <w:color w:val="000000" w:themeColor="text1"/>
          <w:sz w:val="20"/>
          <w:szCs w:val="20"/>
        </w:rPr>
        <w:t>Zdroj: Makroekonomická analýza teorie a praxe, V. Spěváček, V. Žďárek, s. 233,</w:t>
      </w:r>
    </w:p>
    <w:p w14:paraId="0FF06502" w14:textId="4F623F70" w:rsidR="006A1BC9" w:rsidRPr="009744D0" w:rsidRDefault="006A1BC9" w:rsidP="00DC2557">
      <w:pPr>
        <w:pStyle w:val="Nadpis3"/>
      </w:pPr>
      <w:bookmarkStart w:id="26" w:name="_Toc15889387"/>
      <w:r w:rsidRPr="009744D0">
        <w:t>Pozitiva nezaměstnanosti</w:t>
      </w:r>
      <w:bookmarkEnd w:id="26"/>
    </w:p>
    <w:p w14:paraId="17F481F2" w14:textId="79F24C22" w:rsidR="00056404" w:rsidRDefault="006410F6" w:rsidP="00243D74">
      <w:r w:rsidRPr="009744D0">
        <w:t xml:space="preserve">Nezaměstnanost vytváří </w:t>
      </w:r>
      <w:r w:rsidR="00B516C8" w:rsidRPr="009744D0">
        <w:t xml:space="preserve">také </w:t>
      </w:r>
      <w:r w:rsidRPr="009744D0">
        <w:t>pozitiva v ekonomice.</w:t>
      </w:r>
      <w:r w:rsidR="005D35B0" w:rsidRPr="009744D0">
        <w:t xml:space="preserve"> K  </w:t>
      </w:r>
      <w:r w:rsidR="00B516C8" w:rsidRPr="009744D0">
        <w:t xml:space="preserve">nim </w:t>
      </w:r>
      <w:r w:rsidR="005D35B0" w:rsidRPr="009744D0">
        <w:t xml:space="preserve">dochází, pokud je nezaměstnanost krátkodobá. </w:t>
      </w:r>
      <w:r w:rsidR="00A73778" w:rsidRPr="009744D0">
        <w:t>Pozitivem nezaměstnanosti je optimální alokace zdrojů. Lidé hleda</w:t>
      </w:r>
      <w:r w:rsidR="003B4B85" w:rsidRPr="009744D0">
        <w:t xml:space="preserve">jí vhodnou práci na trhu práce. </w:t>
      </w:r>
      <w:r w:rsidR="00A73778" w:rsidRPr="009744D0">
        <w:t xml:space="preserve">Uchazeči o zaměstnání </w:t>
      </w:r>
      <w:r w:rsidR="00B516C8" w:rsidRPr="009744D0">
        <w:t xml:space="preserve">však </w:t>
      </w:r>
      <w:r w:rsidR="00A73778" w:rsidRPr="009744D0">
        <w:t xml:space="preserve">nevyberou hned první pracovní místo, ale až to další. Protože si vybírají pracovní místo podle svých přání </w:t>
      </w:r>
      <w:r w:rsidR="00541CC0">
        <w:br/>
      </w:r>
      <w:r w:rsidR="00A73778" w:rsidRPr="009744D0">
        <w:t xml:space="preserve">a stanovených cílů, </w:t>
      </w:r>
      <w:r w:rsidR="00F32942" w:rsidRPr="009744D0">
        <w:t>lidé</w:t>
      </w:r>
      <w:r w:rsidR="00B516C8" w:rsidRPr="009744D0">
        <w:t xml:space="preserve"> jsou pak</w:t>
      </w:r>
      <w:r w:rsidR="00F32942" w:rsidRPr="009744D0">
        <w:t xml:space="preserve"> </w:t>
      </w:r>
      <w:r w:rsidR="00A73778" w:rsidRPr="009744D0">
        <w:t>šťastnější</w:t>
      </w:r>
      <w:r w:rsidR="00F32942" w:rsidRPr="009744D0">
        <w:t xml:space="preserve"> </w:t>
      </w:r>
      <w:r w:rsidR="00A73778" w:rsidRPr="009744D0">
        <w:t xml:space="preserve">a práce </w:t>
      </w:r>
      <w:r w:rsidR="00B516C8" w:rsidRPr="009744D0">
        <w:t xml:space="preserve">se pro ně </w:t>
      </w:r>
      <w:r w:rsidR="00A73778" w:rsidRPr="009744D0">
        <w:t xml:space="preserve">může </w:t>
      </w:r>
      <w:r w:rsidR="00B516C8" w:rsidRPr="009744D0">
        <w:t xml:space="preserve">stát </w:t>
      </w:r>
      <w:r w:rsidR="00250365" w:rsidRPr="009744D0">
        <w:t>koníčkem</w:t>
      </w:r>
      <w:r w:rsidR="00B25783" w:rsidRPr="009744D0">
        <w:t xml:space="preserve"> </w:t>
      </w:r>
      <w:r w:rsidR="00541CC0">
        <w:br/>
      </w:r>
      <w:r w:rsidR="00B25783" w:rsidRPr="009744D0">
        <w:t>a motivátorem</w:t>
      </w:r>
      <w:r w:rsidR="00250365" w:rsidRPr="009744D0">
        <w:t>. Pokud jsou</w:t>
      </w:r>
      <w:r w:rsidR="00F32942" w:rsidRPr="009744D0">
        <w:t xml:space="preserve"> zaměstnanci pracovně motivováni</w:t>
      </w:r>
      <w:r w:rsidR="00250365" w:rsidRPr="009744D0">
        <w:t>, dochází k lepším výkonů</w:t>
      </w:r>
      <w:r w:rsidR="009744D0" w:rsidRPr="009744D0">
        <w:t>m při jejich pracovní činnosti.</w:t>
      </w:r>
      <w:r w:rsidR="00056404">
        <w:rPr>
          <w:rStyle w:val="Znakapoznpodarou"/>
        </w:rPr>
        <w:footnoteReference w:id="55"/>
      </w:r>
    </w:p>
    <w:p w14:paraId="542176D7" w14:textId="77777777" w:rsidR="00056404" w:rsidRDefault="00056404">
      <w:pPr>
        <w:spacing w:after="200" w:line="276" w:lineRule="auto"/>
        <w:ind w:firstLine="0"/>
        <w:jc w:val="left"/>
      </w:pPr>
      <w:r>
        <w:br w:type="page"/>
      </w:r>
    </w:p>
    <w:p w14:paraId="19AA973E" w14:textId="22D9006E" w:rsidR="00243D74" w:rsidRDefault="00B516C8" w:rsidP="00243D74">
      <w:r w:rsidRPr="009744D0">
        <w:lastRenderedPageBreak/>
        <w:t xml:space="preserve">Jestliže </w:t>
      </w:r>
      <w:r w:rsidR="008F1E9B" w:rsidRPr="009744D0">
        <w:t xml:space="preserve">je na trhu práce málo volných pracovních míst, dochází k tomu, že </w:t>
      </w:r>
      <w:r w:rsidR="00C61009" w:rsidRPr="009744D0">
        <w:t xml:space="preserve">se </w:t>
      </w:r>
      <w:r w:rsidR="008F1E9B" w:rsidRPr="009744D0">
        <w:t xml:space="preserve">pracovníci snaží podávat co největší výkony, aby je zaměstnavatel </w:t>
      </w:r>
      <w:r w:rsidR="00C61009" w:rsidRPr="009744D0">
        <w:t xml:space="preserve">nepropustil </w:t>
      </w:r>
      <w:r w:rsidR="007F48D2">
        <w:br/>
      </w:r>
      <w:r w:rsidR="009744D0" w:rsidRPr="009744D0">
        <w:t>a nenašel si někoho</w:t>
      </w:r>
      <w:r w:rsidR="008F1E9B" w:rsidRPr="009744D0">
        <w:t xml:space="preserve">, kdo by </w:t>
      </w:r>
      <w:r w:rsidR="00C61009" w:rsidRPr="009744D0">
        <w:t xml:space="preserve">ho </w:t>
      </w:r>
      <w:r w:rsidR="008F1E9B" w:rsidRPr="009744D0">
        <w:t xml:space="preserve">nahradil </w:t>
      </w:r>
      <w:r w:rsidR="00C61009" w:rsidRPr="009744D0">
        <w:t xml:space="preserve">na </w:t>
      </w:r>
      <w:r w:rsidR="008F1E9B" w:rsidRPr="009744D0">
        <w:t xml:space="preserve">jeho pozici. </w:t>
      </w:r>
      <w:r w:rsidR="005673E9" w:rsidRPr="009744D0">
        <w:t>Díky pracovitosti zaměstnanců dochází v ekonomice a v podnicích k efektivnosti, která se pozitiv</w:t>
      </w:r>
      <w:r w:rsidR="00CF656D">
        <w:t>ním výkonem pracovníků zvyšuje.</w:t>
      </w:r>
      <w:r w:rsidR="00CF656D">
        <w:rPr>
          <w:rStyle w:val="Znakapoznpodarou"/>
        </w:rPr>
        <w:footnoteReference w:id="56"/>
      </w:r>
    </w:p>
    <w:p w14:paraId="30E767AF" w14:textId="41615E0F" w:rsidR="00827BC5" w:rsidRDefault="00563058" w:rsidP="00DC2557">
      <w:pPr>
        <w:pStyle w:val="Nadpis3"/>
      </w:pPr>
      <w:bookmarkStart w:id="27" w:name="_Toc15889388"/>
      <w:r>
        <w:t>Snižování nezaměstnanosti</w:t>
      </w:r>
      <w:bookmarkEnd w:id="27"/>
    </w:p>
    <w:p w14:paraId="48BB58E2" w14:textId="6B6A6405" w:rsidR="00243D74" w:rsidRDefault="00C54C46" w:rsidP="00164364">
      <w:pPr>
        <w:spacing w:after="120"/>
      </w:pPr>
      <w:r>
        <w:t xml:space="preserve">Snižovat nezaměstnanost může </w:t>
      </w:r>
      <w:r w:rsidR="00BB771D">
        <w:t>vláda</w:t>
      </w:r>
      <w:r w:rsidR="00FE2160">
        <w:t>. Vláda může</w:t>
      </w:r>
      <w:r w:rsidR="00D8695F">
        <w:t xml:space="preserve"> nezaměstnanost ovlivnit, a to</w:t>
      </w:r>
      <w:r w:rsidR="00775F80">
        <w:t xml:space="preserve"> </w:t>
      </w:r>
      <w:r w:rsidR="00B27CE5">
        <w:t>pomocí f</w:t>
      </w:r>
      <w:r w:rsidR="00756D3B">
        <w:t xml:space="preserve">iskální a </w:t>
      </w:r>
      <w:r w:rsidR="00756D3B" w:rsidRPr="009744D0">
        <w:t>monetární politiky státu. Snižování nezaměstnanosti funguje tak, že se vláda snaží dosáhn</w:t>
      </w:r>
      <w:r w:rsidR="009744D0" w:rsidRPr="009744D0">
        <w:t>out</w:t>
      </w:r>
      <w:r w:rsidR="00D8695F" w:rsidRPr="009744D0">
        <w:t xml:space="preserve"> </w:t>
      </w:r>
      <w:r w:rsidR="00C61009" w:rsidRPr="009744D0">
        <w:t xml:space="preserve">co </w:t>
      </w:r>
      <w:r w:rsidR="00D8695F" w:rsidRPr="009744D0">
        <w:t xml:space="preserve">nejvyššího ekonomického růstu. </w:t>
      </w:r>
      <w:r w:rsidR="00366CC8" w:rsidRPr="009744D0">
        <w:t>Ke snížení nezaměstnanosti vláda používá politi</w:t>
      </w:r>
      <w:r w:rsidR="009744D0" w:rsidRPr="009744D0">
        <w:t>ku zaměstnanosti. Tato politika</w:t>
      </w:r>
      <w:r w:rsidR="00366CC8" w:rsidRPr="009744D0">
        <w:t xml:space="preserve"> </w:t>
      </w:r>
      <w:r w:rsidR="00E56958" w:rsidRPr="009744D0">
        <w:t xml:space="preserve">funguje </w:t>
      </w:r>
      <w:r w:rsidR="00C61009" w:rsidRPr="009744D0">
        <w:t xml:space="preserve">na základě </w:t>
      </w:r>
      <w:r w:rsidR="00E56958" w:rsidRPr="009744D0">
        <w:t>dotac</w:t>
      </w:r>
      <w:r w:rsidR="00C61009" w:rsidRPr="009744D0">
        <w:t>í</w:t>
      </w:r>
      <w:r w:rsidR="00E56958" w:rsidRPr="009744D0">
        <w:t xml:space="preserve"> pro podnikatele. Stát pomáhá při hospodářském cyklu malým a velkým podnikům</w:t>
      </w:r>
      <w:r w:rsidR="00984231" w:rsidRPr="009744D0">
        <w:t>, protože od nich očekává využití nezaměstnaných osob, které jsou na úřadu</w:t>
      </w:r>
      <w:r w:rsidR="00583136">
        <w:t xml:space="preserve"> práce</w:t>
      </w:r>
      <w:r w:rsidR="00775F80">
        <w:t>.</w:t>
      </w:r>
      <w:r w:rsidR="00CF656D">
        <w:rPr>
          <w:rStyle w:val="Znakapoznpodarou"/>
        </w:rPr>
        <w:footnoteReference w:id="57"/>
      </w:r>
    </w:p>
    <w:p w14:paraId="5219C13D" w14:textId="416E5937" w:rsidR="00164364" w:rsidRDefault="00F97D6F" w:rsidP="00164364">
      <w:pPr>
        <w:spacing w:after="120"/>
        <w:rPr>
          <w:color w:val="000000" w:themeColor="text1"/>
        </w:rPr>
      </w:pPr>
      <w:r w:rsidRPr="00916168">
        <w:rPr>
          <w:color w:val="000000" w:themeColor="text1"/>
        </w:rPr>
        <w:t>Obce a neziskové organizace nabízejí ke snižování nezaměstnanosti dotované práce. Pro občana jsou dotované práce výhodné, protože je evidován na úřadu práce a zároveň získává důchod pro svoji potřeb</w:t>
      </w:r>
      <w:r w:rsidR="00164364">
        <w:rPr>
          <w:color w:val="000000" w:themeColor="text1"/>
        </w:rPr>
        <w:t>u.</w:t>
      </w:r>
      <w:r w:rsidRPr="00916168">
        <w:rPr>
          <w:rStyle w:val="Znakapoznpodarou"/>
          <w:color w:val="000000" w:themeColor="text1"/>
        </w:rPr>
        <w:footnoteReference w:id="58"/>
      </w:r>
    </w:p>
    <w:p w14:paraId="56D7AF8D" w14:textId="77777777" w:rsidR="00DC2140" w:rsidRDefault="00DC2140" w:rsidP="00DC2140">
      <w:r>
        <w:rPr>
          <w:rStyle w:val="st"/>
          <w:color w:val="000000" w:themeColor="text1"/>
        </w:rPr>
        <w:t xml:space="preserve">Stát snižuje nezaměstnanost aktivní politikou zaměstnanosti: </w:t>
      </w:r>
      <w:r w:rsidRPr="00916168">
        <w:rPr>
          <w:rStyle w:val="st"/>
          <w:i/>
          <w:color w:val="000000" w:themeColor="text1"/>
        </w:rPr>
        <w:t>„organizace veřejných prospěšných prací, rekvalifikační programy, vytváření pracovišť pro občany se zdravotním postižením</w:t>
      </w:r>
      <w:r w:rsidRPr="00916168">
        <w:rPr>
          <w:rStyle w:val="Nadpis1Char"/>
          <w:i/>
          <w:color w:val="000000" w:themeColor="text1"/>
        </w:rPr>
        <w:t xml:space="preserve"> </w:t>
      </w:r>
      <w:r w:rsidRPr="00916168">
        <w:rPr>
          <w:rStyle w:val="st"/>
          <w:i/>
          <w:color w:val="000000" w:themeColor="text1"/>
        </w:rPr>
        <w:t>“</w:t>
      </w:r>
      <w:r w:rsidRPr="00916168">
        <w:t xml:space="preserve"> Nezaměstnanost lze snížit podporou malého a středního podnikání, protože podniky pro svoji činnost potřebují zaměstnance, kteří pro ně budou pracovat. </w:t>
      </w:r>
      <w:r>
        <w:t xml:space="preserve">Pohyblivostí </w:t>
      </w:r>
      <w:r w:rsidRPr="00916168">
        <w:t xml:space="preserve">pracovních sil lze zmenšit počet nezaměstnaných na úřadu práce. </w:t>
      </w:r>
      <w:r>
        <w:t>Mobilitou</w:t>
      </w:r>
      <w:r w:rsidRPr="00916168">
        <w:t xml:space="preserve"> pracovních sil lze dosáhnout při dostupnosti bytů, v místě </w:t>
      </w:r>
      <w:r>
        <w:t>pracovníkova nového zaměstnání.</w:t>
      </w:r>
      <w:r w:rsidRPr="00916168">
        <w:rPr>
          <w:rStyle w:val="Znakapoznpodarou"/>
          <w:color w:val="000000" w:themeColor="text1"/>
        </w:rPr>
        <w:footnoteReference w:id="59"/>
      </w:r>
    </w:p>
    <w:p w14:paraId="5A46A522" w14:textId="77777777" w:rsidR="00164364" w:rsidRDefault="00164364">
      <w:pPr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C6AB2A9" w14:textId="24C53F17" w:rsidR="00243D74" w:rsidRDefault="00A041F6" w:rsidP="00DC2557">
      <w:pPr>
        <w:pStyle w:val="Nadpis3"/>
      </w:pPr>
      <w:bookmarkStart w:id="28" w:name="_Toc15889389"/>
      <w:r>
        <w:lastRenderedPageBreak/>
        <w:t>Podpora nezaměstnaných</w:t>
      </w:r>
      <w:bookmarkEnd w:id="28"/>
    </w:p>
    <w:p w14:paraId="1B32BD08" w14:textId="7EC5F578" w:rsidR="00243D74" w:rsidRDefault="00A041F6" w:rsidP="00600354">
      <w:r>
        <w:t>Podporu v nezaměstnanosti</w:t>
      </w:r>
      <w:r w:rsidR="00D0048D" w:rsidRPr="009744D0">
        <w:t xml:space="preserve"> </w:t>
      </w:r>
      <w:r w:rsidR="00C61009" w:rsidRPr="009744D0">
        <w:t xml:space="preserve">vyplácí </w:t>
      </w:r>
      <w:r w:rsidR="00D0048D" w:rsidRPr="009744D0">
        <w:t xml:space="preserve">stát, protože chce zamezit </w:t>
      </w:r>
      <w:r w:rsidR="00C61009" w:rsidRPr="009744D0">
        <w:t xml:space="preserve">růstu </w:t>
      </w:r>
      <w:r w:rsidR="00D0048D" w:rsidRPr="009744D0">
        <w:t>nezaměstnanosti, která se vytváří</w:t>
      </w:r>
      <w:r w:rsidR="00C61009" w:rsidRPr="009744D0">
        <w:t xml:space="preserve"> v době, kdy nezaměstnaný hledá nové pracovní uplatnění.</w:t>
      </w:r>
      <w:r w:rsidR="00D0048D" w:rsidRPr="009744D0">
        <w:t xml:space="preserve"> Pokud zaměstnanec ztratí zaměstnání tak pojištění v nezaměstnanosti má funkci ochranou pro zaměstnance.</w:t>
      </w:r>
      <w:r w:rsidR="00C92B26" w:rsidRPr="009744D0">
        <w:t xml:space="preserve"> </w:t>
      </w:r>
      <w:r w:rsidR="003A6D9B" w:rsidRPr="009744D0">
        <w:t>Pojištění v nezaměstnanosti nepobírají osoby, které byl</w:t>
      </w:r>
      <w:r w:rsidR="00546631" w:rsidRPr="009744D0">
        <w:t xml:space="preserve">y </w:t>
      </w:r>
      <w:r w:rsidR="003A6D9B" w:rsidRPr="009744D0">
        <w:t>z nějaké příčiny propuštěn</w:t>
      </w:r>
      <w:r w:rsidR="00546631" w:rsidRPr="009744D0">
        <w:t>y</w:t>
      </w:r>
      <w:r w:rsidR="00CF656D">
        <w:t xml:space="preserve"> ze zaměstnání.</w:t>
      </w:r>
      <w:r w:rsidR="00CF656D">
        <w:rPr>
          <w:rStyle w:val="Znakapoznpodarou"/>
        </w:rPr>
        <w:footnoteReference w:id="60"/>
      </w:r>
      <w:r w:rsidR="00600354">
        <w:t xml:space="preserve"> </w:t>
      </w:r>
      <w:r w:rsidR="00546631" w:rsidRPr="00DC2140">
        <w:t>Podporu</w:t>
      </w:r>
      <w:r w:rsidR="009955E0" w:rsidRPr="00DC2140">
        <w:t xml:space="preserve"> v nezaměstnanosti lze pobírat, pokud zaměstnavatel </w:t>
      </w:r>
      <w:r w:rsidR="00DC2140">
        <w:t xml:space="preserve">nechce zaměstnávat zaměstnance (z nadbytečnosti, změna pracovní technologie). </w:t>
      </w:r>
      <w:r w:rsidR="002D32FA" w:rsidRPr="009744D0">
        <w:t>Výše podpory v nezaměst</w:t>
      </w:r>
      <w:r w:rsidR="009E1653">
        <w:t>nanosti se v každém státu</w:t>
      </w:r>
      <w:r w:rsidR="009E1653" w:rsidRPr="009E1653">
        <w:rPr>
          <w:color w:val="000000" w:themeColor="text1"/>
        </w:rPr>
        <w:t xml:space="preserve"> liší, na porovnání lze uvést</w:t>
      </w:r>
      <w:r w:rsidR="00692256" w:rsidRPr="009E1653">
        <w:rPr>
          <w:color w:val="000000" w:themeColor="text1"/>
        </w:rPr>
        <w:t xml:space="preserve"> </w:t>
      </w:r>
      <w:r w:rsidR="009E1653" w:rsidRPr="009E1653">
        <w:rPr>
          <w:color w:val="000000" w:themeColor="text1"/>
        </w:rPr>
        <w:t>v</w:t>
      </w:r>
      <w:r w:rsidR="002D32FA" w:rsidRPr="009E1653">
        <w:rPr>
          <w:color w:val="000000" w:themeColor="text1"/>
        </w:rPr>
        <w:t xml:space="preserve"> Americe dostávají </w:t>
      </w:r>
      <w:r w:rsidR="00A17945" w:rsidRPr="009744D0">
        <w:t>nezaměst</w:t>
      </w:r>
      <w:r w:rsidR="00536A8B" w:rsidRPr="009744D0">
        <w:t>naní 50% ze své minimální mzdy.</w:t>
      </w:r>
      <w:r w:rsidR="00DC2140">
        <w:t xml:space="preserve"> Pod</w:t>
      </w:r>
      <w:r w:rsidR="00A17945" w:rsidRPr="009744D0">
        <w:t xml:space="preserve">poru v nezaměstnanosti mohou Američané využít </w:t>
      </w:r>
      <w:r w:rsidR="00546631" w:rsidRPr="009744D0">
        <w:t xml:space="preserve">po dobu </w:t>
      </w:r>
      <w:r w:rsidR="00A17945" w:rsidRPr="009744D0">
        <w:t xml:space="preserve">26 týdnů od propuštění ze zaměstnání. </w:t>
      </w:r>
      <w:r w:rsidR="00497DC3" w:rsidRPr="009744D0">
        <w:t>S pojištěním v nezaměstnanosti dochází k růstu nezam</w:t>
      </w:r>
      <w:r w:rsidR="003A6D9B" w:rsidRPr="009744D0">
        <w:t>ěstnaných p</w:t>
      </w:r>
      <w:r w:rsidR="00DC2140">
        <w:t>racovníků.</w:t>
      </w:r>
      <w:r w:rsidR="00CF656D">
        <w:rPr>
          <w:rStyle w:val="Znakapoznpodarou"/>
        </w:rPr>
        <w:footnoteReference w:id="61"/>
      </w:r>
    </w:p>
    <w:p w14:paraId="11E67E9B" w14:textId="1FD10AFB" w:rsidR="00DC2140" w:rsidRDefault="00DC2140" w:rsidP="00DC2140">
      <w:pPr>
        <w:spacing w:after="240"/>
      </w:pPr>
      <w:r>
        <w:t>V České republice lidé, kteří pobírají podporu v nezaměstnanosti, musí mít zaplacené důchodové pojištění alespoň za 12 předchozích měsíců. Podpora v nezaměstnanosti se odvíjí od předchozího výdělku jedince ve firmě a délce registrace na úřadu práce.</w:t>
      </w:r>
    </w:p>
    <w:p w14:paraId="5293B8BB" w14:textId="77777777" w:rsidR="00DC2140" w:rsidRPr="00DC2140" w:rsidRDefault="00DC2140" w:rsidP="00DC2140">
      <w:r w:rsidRPr="00DC2140">
        <w:t>Výše podpory v nezaměstnanosti je rozdělená do tří kategorií:</w:t>
      </w:r>
    </w:p>
    <w:p w14:paraId="0822AF29" w14:textId="77777777" w:rsidR="00DC2140" w:rsidRDefault="00DC2140" w:rsidP="00DC2140">
      <w:pPr>
        <w:pStyle w:val="Odstavecseseznamem"/>
        <w:numPr>
          <w:ilvl w:val="0"/>
          <w:numId w:val="4"/>
        </w:numPr>
      </w:pPr>
      <w:r>
        <w:t xml:space="preserve">V první kategorii pobírá registrovaný na úřadu práce 65 % z předchozího průměrného výdělku po dobu 2 měsíců. </w:t>
      </w:r>
    </w:p>
    <w:p w14:paraId="35A6677A" w14:textId="193C7D13" w:rsidR="00DC2140" w:rsidRDefault="00DC2140" w:rsidP="00DC2140">
      <w:pPr>
        <w:pStyle w:val="Odstavecseseznamem"/>
        <w:numPr>
          <w:ilvl w:val="0"/>
          <w:numId w:val="4"/>
        </w:numPr>
      </w:pPr>
      <w:r>
        <w:t xml:space="preserve">V druhé kategorii čerpá jedinec podporu ve výši 50 % z průměrného výdělku po dobu 3 – 4 </w:t>
      </w:r>
      <w:r w:rsidR="0041204D">
        <w:t>měsíců evidence na úřadu práce.</w:t>
      </w:r>
    </w:p>
    <w:p w14:paraId="3395B8FD" w14:textId="0D0570CE" w:rsidR="00DC2140" w:rsidRPr="00600354" w:rsidRDefault="00DC2140" w:rsidP="00DC2140">
      <w:pPr>
        <w:pStyle w:val="Odstavecseseznamem"/>
        <w:numPr>
          <w:ilvl w:val="0"/>
          <w:numId w:val="4"/>
        </w:numPr>
      </w:pPr>
      <w:r>
        <w:t>V poslední kategorii čerpá nezaměstnaný podporu ve výši 45% z průměrného výdělku po celou zbývající dobu na úřadu práce.</w:t>
      </w:r>
      <w:r>
        <w:rPr>
          <w:rStyle w:val="Znakapoznpodarou"/>
        </w:rPr>
        <w:footnoteReference w:id="62"/>
      </w:r>
    </w:p>
    <w:p w14:paraId="6BDCDB7F" w14:textId="3E122E4C" w:rsidR="00250365" w:rsidRPr="00EC4F9C" w:rsidRDefault="00DA3867" w:rsidP="00DC2557">
      <w:pPr>
        <w:pStyle w:val="Nadpis3"/>
      </w:pPr>
      <w:bookmarkStart w:id="29" w:name="_Toc15889390"/>
      <w:proofErr w:type="spellStart"/>
      <w:r w:rsidRPr="00EC4F9C">
        <w:t>Phill</w:t>
      </w:r>
      <w:r w:rsidR="00E14DCB" w:rsidRPr="00EC4F9C">
        <w:t>ip</w:t>
      </w:r>
      <w:r w:rsidR="00C8032F" w:rsidRPr="00EC4F9C">
        <w:t>sova</w:t>
      </w:r>
      <w:proofErr w:type="spellEnd"/>
      <w:r w:rsidR="00C8032F" w:rsidRPr="00EC4F9C">
        <w:t xml:space="preserve"> křivka</w:t>
      </w:r>
      <w:bookmarkEnd w:id="29"/>
    </w:p>
    <w:p w14:paraId="12DD8030" w14:textId="4B31431F" w:rsidR="00EA20C6" w:rsidRPr="009744D0" w:rsidRDefault="00DA3867" w:rsidP="00CC2780">
      <w:proofErr w:type="spellStart"/>
      <w:r>
        <w:t>Phill</w:t>
      </w:r>
      <w:r w:rsidR="00E14DCB">
        <w:t>ip</w:t>
      </w:r>
      <w:r w:rsidR="009B24F2">
        <w:t>sova</w:t>
      </w:r>
      <w:proofErr w:type="spellEnd"/>
      <w:r w:rsidR="009B24F2">
        <w:t xml:space="preserve"> křivka </w:t>
      </w:r>
      <w:r w:rsidR="009B24F2" w:rsidRPr="0039096D">
        <w:t>znázorňuje</w:t>
      </w:r>
      <w:r w:rsidR="00DC2140" w:rsidRPr="0039096D">
        <w:t xml:space="preserve"> </w:t>
      </w:r>
      <w:r w:rsidR="006C23F0" w:rsidRPr="0039096D">
        <w:t xml:space="preserve">vztah </w:t>
      </w:r>
      <w:r w:rsidR="00DC2140" w:rsidRPr="0039096D">
        <w:t>inflace</w:t>
      </w:r>
      <w:r w:rsidR="009B24F2" w:rsidRPr="0039096D">
        <w:t xml:space="preserve"> a nezaměstnanost</w:t>
      </w:r>
      <w:r w:rsidR="00DC2140" w:rsidRPr="0039096D">
        <w:t>i</w:t>
      </w:r>
      <w:r w:rsidR="009B24F2" w:rsidRPr="0039096D">
        <w:t>.</w:t>
      </w:r>
      <w:r w:rsidR="009B24F2">
        <w:t xml:space="preserve"> Tato křivka má několik možných variant. Nejstarší </w:t>
      </w:r>
      <w:proofErr w:type="spellStart"/>
      <w:r w:rsidR="009B24F2">
        <w:t>P</w:t>
      </w:r>
      <w:r>
        <w:t>hill</w:t>
      </w:r>
      <w:r w:rsidR="00113D58">
        <w:t>i</w:t>
      </w:r>
      <w:r w:rsidR="00E14DCB">
        <w:t>p</w:t>
      </w:r>
      <w:r>
        <w:t>so</w:t>
      </w:r>
      <w:r w:rsidR="004D0B3D">
        <w:t>va</w:t>
      </w:r>
      <w:proofErr w:type="spellEnd"/>
      <w:r w:rsidR="004D0B3D">
        <w:t xml:space="preserve"> </w:t>
      </w:r>
      <w:r w:rsidR="00546631" w:rsidRPr="009744D0">
        <w:t>křivka</w:t>
      </w:r>
      <w:r w:rsidR="00546631">
        <w:t xml:space="preserve"> </w:t>
      </w:r>
      <w:r w:rsidR="004D0B3D">
        <w:t>byla zveřejněn</w:t>
      </w:r>
      <w:r w:rsidR="008E2798">
        <w:t>a</w:t>
      </w:r>
      <w:r w:rsidR="004D0B3D">
        <w:t xml:space="preserve"> v roce 1958 a</w:t>
      </w:r>
      <w:r>
        <w:t xml:space="preserve"> je nazýv</w:t>
      </w:r>
      <w:r w:rsidR="008E2798">
        <w:t>ána,</w:t>
      </w:r>
      <w:r>
        <w:t xml:space="preserve"> jako mzdová </w:t>
      </w:r>
      <w:proofErr w:type="spellStart"/>
      <w:r>
        <w:t>Phill</w:t>
      </w:r>
      <w:r w:rsidR="00E14DCB">
        <w:t>ip</w:t>
      </w:r>
      <w:r w:rsidR="004D0B3D">
        <w:t>sova</w:t>
      </w:r>
      <w:proofErr w:type="spellEnd"/>
      <w:r w:rsidR="004D0B3D">
        <w:t xml:space="preserve"> křivka. </w:t>
      </w:r>
      <w:r w:rsidR="00CC2780" w:rsidRPr="00A47511">
        <w:rPr>
          <w:rStyle w:val="st"/>
        </w:rPr>
        <w:t>„</w:t>
      </w:r>
      <w:r w:rsidRPr="00A47511">
        <w:rPr>
          <w:i/>
        </w:rPr>
        <w:t>Z </w:t>
      </w:r>
      <w:r w:rsidR="002219AA" w:rsidRPr="00A47511">
        <w:rPr>
          <w:i/>
        </w:rPr>
        <w:t xml:space="preserve">formálního </w:t>
      </w:r>
      <w:r w:rsidRPr="00A47511">
        <w:rPr>
          <w:i/>
        </w:rPr>
        <w:t xml:space="preserve">hlediska je </w:t>
      </w:r>
      <w:proofErr w:type="spellStart"/>
      <w:r w:rsidRPr="00A47511">
        <w:rPr>
          <w:i/>
        </w:rPr>
        <w:t>Phill</w:t>
      </w:r>
      <w:r w:rsidR="00E14DCB" w:rsidRPr="00A47511">
        <w:rPr>
          <w:i/>
        </w:rPr>
        <w:t>ip</w:t>
      </w:r>
      <w:r w:rsidR="00EA20C6" w:rsidRPr="00A47511">
        <w:rPr>
          <w:i/>
        </w:rPr>
        <w:t>sova</w:t>
      </w:r>
      <w:proofErr w:type="spellEnd"/>
      <w:r w:rsidR="00EA20C6" w:rsidRPr="00A47511">
        <w:rPr>
          <w:i/>
        </w:rPr>
        <w:t xml:space="preserve"> křivka klesající a vyjadřuje skutečnost, že s rostoucí mírou nominálních mezd (w) klesá míra nezaměstnanosti (u)</w:t>
      </w:r>
      <w:r w:rsidR="00DC2140" w:rsidRPr="00A47511">
        <w:rPr>
          <w:rStyle w:val="st"/>
        </w:rPr>
        <w:t>.</w:t>
      </w:r>
      <w:r w:rsidR="00CC2780" w:rsidRPr="00A47511">
        <w:rPr>
          <w:rStyle w:val="st"/>
        </w:rPr>
        <w:t>“</w:t>
      </w:r>
      <w:r w:rsidR="00CF656D" w:rsidRPr="00A47511">
        <w:rPr>
          <w:rStyle w:val="Znakapoznpodarou"/>
        </w:rPr>
        <w:footnoteReference w:id="63"/>
      </w:r>
    </w:p>
    <w:p w14:paraId="26532689" w14:textId="77777777" w:rsidR="00056404" w:rsidRDefault="00056404">
      <w:pPr>
        <w:spacing w:after="200" w:line="276" w:lineRule="auto"/>
        <w:ind w:firstLine="0"/>
        <w:jc w:val="left"/>
      </w:pPr>
      <w:r>
        <w:br w:type="page"/>
      </w:r>
    </w:p>
    <w:p w14:paraId="568B7E63" w14:textId="76228B9E" w:rsidR="00775F80" w:rsidRDefault="00CC2780" w:rsidP="002241A7">
      <w:pPr>
        <w:spacing w:after="240"/>
        <w:ind w:firstLine="0"/>
      </w:pPr>
      <w:r w:rsidRPr="009744D0">
        <w:lastRenderedPageBreak/>
        <w:t>Obrázek č. 4</w:t>
      </w:r>
      <w:r w:rsidR="00746E3E" w:rsidRPr="009744D0">
        <w:t xml:space="preserve"> ukazuje původní křivku, která byla zveřejněná v</w:t>
      </w:r>
      <w:r w:rsidR="00546631" w:rsidRPr="009744D0">
        <w:t> </w:t>
      </w:r>
      <w:r w:rsidR="00746E3E" w:rsidRPr="009744D0">
        <w:t>60</w:t>
      </w:r>
      <w:r w:rsidR="00546631" w:rsidRPr="009744D0">
        <w:t>.</w:t>
      </w:r>
      <w:r w:rsidR="00746E3E" w:rsidRPr="009744D0">
        <w:t xml:space="preserve"> letech</w:t>
      </w:r>
      <w:r w:rsidR="00746E3E">
        <w:t xml:space="preserve"> 20. století. </w:t>
      </w:r>
      <w:r w:rsidR="00DA3867">
        <w:t xml:space="preserve">Od </w:t>
      </w:r>
      <w:proofErr w:type="spellStart"/>
      <w:r w:rsidR="00DA3867">
        <w:t>Phill</w:t>
      </w:r>
      <w:r w:rsidR="00E14DCB">
        <w:t>ip</w:t>
      </w:r>
      <w:r w:rsidR="00DA3867">
        <w:t>s</w:t>
      </w:r>
      <w:r w:rsidR="00EA29AC">
        <w:t>ovy</w:t>
      </w:r>
      <w:proofErr w:type="spellEnd"/>
      <w:r w:rsidR="00EA29AC">
        <w:t xml:space="preserve"> křivky se </w:t>
      </w:r>
      <w:r w:rsidR="00EA29AC" w:rsidRPr="002241A7">
        <w:rPr>
          <w:color w:val="000000" w:themeColor="text1"/>
        </w:rPr>
        <w:t>očekávalo</w:t>
      </w:r>
      <w:r w:rsidR="00EA29AC">
        <w:t xml:space="preserve">, že bude tvořit užitečný návod, jak vytvořit </w:t>
      </w:r>
      <w:r w:rsidR="00DA3867">
        <w:t xml:space="preserve">pravou </w:t>
      </w:r>
      <w:r w:rsidR="00EA29AC">
        <w:t>pod</w:t>
      </w:r>
      <w:r w:rsidR="009744D0">
        <w:t>obu</w:t>
      </w:r>
      <w:r w:rsidR="00056404">
        <w:t xml:space="preserve"> </w:t>
      </w:r>
      <w:r w:rsidR="009744D0">
        <w:t xml:space="preserve">hospodářské politiky. </w:t>
      </w:r>
      <w:r w:rsidR="00DC2140">
        <w:t xml:space="preserve">V historii se </w:t>
      </w:r>
      <w:proofErr w:type="spellStart"/>
      <w:r w:rsidR="00DC2140">
        <w:t>Phillipsova</w:t>
      </w:r>
      <w:proofErr w:type="spellEnd"/>
      <w:r w:rsidR="00DC2140">
        <w:t xml:space="preserve"> křivka několikrát změnila</w:t>
      </w:r>
      <w:r w:rsidR="00EA29AC">
        <w:t xml:space="preserve">. Poslední vývoj, který je </w:t>
      </w:r>
      <w:r w:rsidR="00DA3867">
        <w:t xml:space="preserve">zaznamenán, je rozšíření </w:t>
      </w:r>
      <w:proofErr w:type="spellStart"/>
      <w:r w:rsidR="00DA3867">
        <w:t>Phill</w:t>
      </w:r>
      <w:r w:rsidR="00E14DCB">
        <w:t>ip</w:t>
      </w:r>
      <w:r w:rsidR="00DA3867">
        <w:t>so</w:t>
      </w:r>
      <w:r w:rsidR="00EA29AC">
        <w:t>vy</w:t>
      </w:r>
      <w:proofErr w:type="spellEnd"/>
      <w:r w:rsidR="00EA29AC">
        <w:t xml:space="preserve"> křivky o inflační oče</w:t>
      </w:r>
      <w:r w:rsidR="00CF656D">
        <w:t>kávání.</w:t>
      </w:r>
      <w:r w:rsidR="00CF656D">
        <w:rPr>
          <w:rStyle w:val="Znakapoznpodarou"/>
        </w:rPr>
        <w:footnoteReference w:id="64"/>
      </w:r>
    </w:p>
    <w:p w14:paraId="1EF6F32D" w14:textId="1795E5C0" w:rsidR="00243D74" w:rsidRDefault="00275E13" w:rsidP="001D08DE">
      <w:pPr>
        <w:ind w:firstLine="0"/>
      </w:pPr>
      <w:r>
        <w:rPr>
          <w:noProof/>
        </w:rPr>
        <w:drawing>
          <wp:inline distT="0" distB="0" distL="0" distR="0" wp14:anchorId="1AD41FCE" wp14:editId="3C068D9F">
            <wp:extent cx="3934046" cy="1675610"/>
            <wp:effectExtent l="0" t="0" r="0" b="127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7785" t="52509" r="12362" b="17298"/>
                    <a:stretch/>
                  </pic:blipFill>
                  <pic:spPr bwMode="auto">
                    <a:xfrm>
                      <a:off x="0" y="0"/>
                      <a:ext cx="3932597" cy="1674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180FC" w14:textId="4096F800" w:rsidR="00C47E9F" w:rsidRPr="00C47E9F" w:rsidRDefault="00C47E9F" w:rsidP="00DA6721">
      <w:pPr>
        <w:pStyle w:val="Titulek"/>
        <w:spacing w:after="0" w:line="360" w:lineRule="auto"/>
        <w:ind w:firstLine="0"/>
        <w:rPr>
          <w:color w:val="auto"/>
          <w:sz w:val="20"/>
          <w:szCs w:val="20"/>
        </w:rPr>
      </w:pPr>
      <w:bookmarkStart w:id="30" w:name="_Toc15639640"/>
      <w:r w:rsidRPr="00C47E9F">
        <w:rPr>
          <w:color w:val="auto"/>
          <w:sz w:val="20"/>
          <w:szCs w:val="20"/>
        </w:rPr>
        <w:t xml:space="preserve">Obrázek </w:t>
      </w:r>
      <w:r w:rsidRPr="00C47E9F">
        <w:rPr>
          <w:color w:val="auto"/>
          <w:sz w:val="20"/>
          <w:szCs w:val="20"/>
        </w:rPr>
        <w:fldChar w:fldCharType="begin"/>
      </w:r>
      <w:r w:rsidRPr="00C47E9F">
        <w:rPr>
          <w:color w:val="auto"/>
          <w:sz w:val="20"/>
          <w:szCs w:val="20"/>
        </w:rPr>
        <w:instrText xml:space="preserve"> SEQ Obrázek \* ARABIC </w:instrText>
      </w:r>
      <w:r w:rsidRPr="00C47E9F">
        <w:rPr>
          <w:color w:val="auto"/>
          <w:sz w:val="20"/>
          <w:szCs w:val="20"/>
        </w:rPr>
        <w:fldChar w:fldCharType="separate"/>
      </w:r>
      <w:r w:rsidR="0040267A">
        <w:rPr>
          <w:noProof/>
          <w:color w:val="auto"/>
          <w:sz w:val="20"/>
          <w:szCs w:val="20"/>
        </w:rPr>
        <w:t>4</w:t>
      </w:r>
      <w:r w:rsidRPr="00C47E9F">
        <w:rPr>
          <w:color w:val="auto"/>
          <w:sz w:val="20"/>
          <w:szCs w:val="20"/>
        </w:rPr>
        <w:fldChar w:fldCharType="end"/>
      </w:r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Phill</w:t>
      </w:r>
      <w:r w:rsidR="00275C60">
        <w:rPr>
          <w:color w:val="auto"/>
          <w:sz w:val="20"/>
          <w:szCs w:val="20"/>
        </w:rPr>
        <w:t>ip</w:t>
      </w:r>
      <w:r>
        <w:rPr>
          <w:color w:val="auto"/>
          <w:sz w:val="20"/>
          <w:szCs w:val="20"/>
        </w:rPr>
        <w:t>sova</w:t>
      </w:r>
      <w:proofErr w:type="spellEnd"/>
      <w:r>
        <w:rPr>
          <w:color w:val="auto"/>
          <w:sz w:val="20"/>
          <w:szCs w:val="20"/>
        </w:rPr>
        <w:t xml:space="preserve"> křivka</w:t>
      </w:r>
      <w:bookmarkEnd w:id="30"/>
    </w:p>
    <w:p w14:paraId="4BE21EC6" w14:textId="46A079D5" w:rsidR="00C47E9F" w:rsidRDefault="00C47E9F" w:rsidP="00DA6721">
      <w:pPr>
        <w:ind w:firstLine="0"/>
        <w:rPr>
          <w:i/>
          <w:sz w:val="20"/>
          <w:szCs w:val="20"/>
        </w:rPr>
      </w:pPr>
      <w:r w:rsidRPr="00C47E9F">
        <w:rPr>
          <w:i/>
          <w:sz w:val="20"/>
          <w:szCs w:val="20"/>
        </w:rPr>
        <w:t>Zdroj: Makroekonomie, Václav Ju</w:t>
      </w:r>
      <w:r>
        <w:rPr>
          <w:i/>
          <w:sz w:val="20"/>
          <w:szCs w:val="20"/>
        </w:rPr>
        <w:t>rečka, 2017, s. 171,</w:t>
      </w:r>
    </w:p>
    <w:p w14:paraId="76051568" w14:textId="7AB4F761" w:rsidR="00546631" w:rsidRPr="00546631" w:rsidRDefault="00CC2780" w:rsidP="00DC2557">
      <w:pPr>
        <w:pStyle w:val="Nadpis3"/>
      </w:pPr>
      <w:bookmarkStart w:id="31" w:name="_Toc15889391"/>
      <w:r w:rsidRPr="000F1B61">
        <w:t xml:space="preserve">Vzorec </w:t>
      </w:r>
      <w:proofErr w:type="spellStart"/>
      <w:r w:rsidRPr="000F1B61">
        <w:t>Phill</w:t>
      </w:r>
      <w:r w:rsidR="00E14DCB">
        <w:t>ip</w:t>
      </w:r>
      <w:r w:rsidRPr="000F1B61">
        <w:t>sovy</w:t>
      </w:r>
      <w:proofErr w:type="spellEnd"/>
      <w:r w:rsidRPr="000F1B61">
        <w:t xml:space="preserve"> křivky</w:t>
      </w:r>
      <w:bookmarkEnd w:id="31"/>
    </w:p>
    <w:p w14:paraId="65126B68" w14:textId="51637971" w:rsidR="00CC2780" w:rsidRDefault="00CC2780" w:rsidP="00DA6721">
      <w:pPr>
        <w:spacing w:after="360"/>
      </w:pPr>
      <w:r>
        <w:t xml:space="preserve">Stejně, jako vývoj </w:t>
      </w:r>
      <w:proofErr w:type="spellStart"/>
      <w:r>
        <w:t>Phill</w:t>
      </w:r>
      <w:r w:rsidR="00E14DCB">
        <w:t>ip</w:t>
      </w:r>
      <w:r>
        <w:t>sovy</w:t>
      </w:r>
      <w:proofErr w:type="spellEnd"/>
      <w:r>
        <w:t xml:space="preserve"> křivk</w:t>
      </w:r>
      <w:r w:rsidRPr="00640E3D">
        <w:t>y</w:t>
      </w:r>
      <w:r w:rsidR="00546631" w:rsidRPr="00640E3D">
        <w:t>,</w:t>
      </w:r>
      <w:r>
        <w:t xml:space="preserve"> prošel několikrát </w:t>
      </w:r>
      <w:r w:rsidRPr="00640E3D">
        <w:t>vývojem i její vzo</w:t>
      </w:r>
      <w:r w:rsidRPr="00581B28">
        <w:rPr>
          <w:color w:val="000000" w:themeColor="text1"/>
        </w:rPr>
        <w:t xml:space="preserve">rec. Níže </w:t>
      </w:r>
      <w:r w:rsidR="00581B28" w:rsidRPr="00581B28">
        <w:rPr>
          <w:color w:val="000000" w:themeColor="text1"/>
        </w:rPr>
        <w:t>lze vidět</w:t>
      </w:r>
      <w:r w:rsidRPr="00640E3D">
        <w:t xml:space="preserve"> vzorec </w:t>
      </w:r>
      <w:proofErr w:type="spellStart"/>
      <w:r w:rsidRPr="00640E3D">
        <w:t>Phill</w:t>
      </w:r>
      <w:r w:rsidR="00E14DCB">
        <w:t>ip</w:t>
      </w:r>
      <w:r w:rsidRPr="00640E3D">
        <w:t>sovy</w:t>
      </w:r>
      <w:proofErr w:type="spellEnd"/>
      <w:r w:rsidRPr="00640E3D">
        <w:t xml:space="preserve"> křivky, který je nejvíce</w:t>
      </w:r>
      <w:r w:rsidR="00985A4C" w:rsidRPr="00640E3D">
        <w:t xml:space="preserve"> používán</w:t>
      </w:r>
      <w:r w:rsidRPr="00640E3D">
        <w:t>. Tento vzorec se skládá z </w:t>
      </w:r>
      <w:r w:rsidR="00985A4C" w:rsidRPr="00640E3D">
        <w:t>indik</w:t>
      </w:r>
      <w:r w:rsidR="00546631" w:rsidRPr="00640E3D">
        <w:t>á</w:t>
      </w:r>
      <w:r w:rsidR="00985A4C" w:rsidRPr="00640E3D">
        <w:t>toru</w:t>
      </w:r>
      <w:r w:rsidRPr="00640E3D">
        <w:rPr>
          <w:rFonts w:ascii="Tw Cen MT" w:hAnsi="Tw Cen MT"/>
        </w:rPr>
        <w:t xml:space="preserve"> </w:t>
      </w:r>
      <w:r w:rsidRPr="00581B28">
        <w:rPr>
          <w:rFonts w:ascii="Tw Cen MT" w:hAnsi="Tw Cen MT"/>
          <w:i/>
        </w:rPr>
        <w:t>∆</w:t>
      </w:r>
      <w:proofErr w:type="spellStart"/>
      <w:r w:rsidRPr="00581B28">
        <w:rPr>
          <w:i/>
        </w:rPr>
        <w:t>w</w:t>
      </w:r>
      <w:r w:rsidRPr="00581B28">
        <w:rPr>
          <w:i/>
          <w:vertAlign w:val="subscript"/>
        </w:rPr>
        <w:t>t</w:t>
      </w:r>
      <w:proofErr w:type="spellEnd"/>
      <w:r w:rsidRPr="00640E3D">
        <w:rPr>
          <w:vertAlign w:val="subscript"/>
        </w:rPr>
        <w:t xml:space="preserve">, </w:t>
      </w:r>
      <w:r w:rsidR="00985A4C" w:rsidRPr="00640E3D">
        <w:t>který</w:t>
      </w:r>
      <w:r w:rsidRPr="00640E3D">
        <w:t xml:space="preserve"> označuje </w:t>
      </w:r>
      <w:proofErr w:type="spellStart"/>
      <w:r w:rsidRPr="00640E3D">
        <w:t>Phill</w:t>
      </w:r>
      <w:r w:rsidR="00E14DCB">
        <w:t>ip</w:t>
      </w:r>
      <w:r w:rsidRPr="00640E3D">
        <w:t>sovu</w:t>
      </w:r>
      <w:proofErr w:type="spellEnd"/>
      <w:r w:rsidRPr="00640E3D">
        <w:t xml:space="preserve"> křivku. Výpočet </w:t>
      </w:r>
      <w:proofErr w:type="spellStart"/>
      <w:r w:rsidRPr="00640E3D">
        <w:t>Phill</w:t>
      </w:r>
      <w:r w:rsidR="00E14DCB">
        <w:t>ip</w:t>
      </w:r>
      <w:r w:rsidRPr="00640E3D">
        <w:t>sovy</w:t>
      </w:r>
      <w:proofErr w:type="spellEnd"/>
      <w:r w:rsidRPr="00640E3D">
        <w:t xml:space="preserve"> křivky </w:t>
      </w:r>
      <w:r w:rsidR="00985A4C" w:rsidRPr="00640E3D">
        <w:t xml:space="preserve">lze </w:t>
      </w:r>
      <w:r w:rsidR="00692ADC" w:rsidRPr="00640E3D">
        <w:t>vytvořit</w:t>
      </w:r>
      <w:r w:rsidR="00044C9B">
        <w:rPr>
          <w:strike/>
        </w:rPr>
        <w:t xml:space="preserve"> </w:t>
      </w:r>
      <w:r w:rsidR="00985A4C" w:rsidRPr="00640E3D">
        <w:t>dosazením do vzorce indikátor</w:t>
      </w:r>
      <w:r w:rsidRPr="00640E3D">
        <w:t xml:space="preserve"> mzdových sazeb, který je </w:t>
      </w:r>
      <w:r w:rsidR="00985A4C" w:rsidRPr="00640E3D">
        <w:t xml:space="preserve">označován indexem </w:t>
      </w:r>
      <w:r w:rsidR="00985A4C" w:rsidRPr="00581B28">
        <w:rPr>
          <w:i/>
        </w:rPr>
        <w:t>ε</w:t>
      </w:r>
      <w:r w:rsidR="00581B28">
        <w:t xml:space="preserve">, tímto </w:t>
      </w:r>
      <w:r w:rsidR="00985A4C" w:rsidRPr="00581B28">
        <w:rPr>
          <w:color w:val="000000" w:themeColor="text1"/>
        </w:rPr>
        <w:t xml:space="preserve">indikátorem </w:t>
      </w:r>
      <w:r w:rsidR="00581B28" w:rsidRPr="00581B28">
        <w:rPr>
          <w:color w:val="000000" w:themeColor="text1"/>
        </w:rPr>
        <w:t>se vynásobí</w:t>
      </w:r>
      <w:r w:rsidR="00581B28">
        <w:rPr>
          <w:color w:val="000000" w:themeColor="text1"/>
        </w:rPr>
        <w:t xml:space="preserve"> ukazatel</w:t>
      </w:r>
      <w:r w:rsidRPr="00581B28">
        <w:rPr>
          <w:color w:val="000000" w:themeColor="text1"/>
        </w:rPr>
        <w:t xml:space="preserve"> </w:t>
      </w:r>
      <w:r w:rsidRPr="00581B28">
        <w:rPr>
          <w:rFonts w:ascii="Tw Cen MT" w:hAnsi="Tw Cen MT"/>
          <w:i/>
        </w:rPr>
        <w:t>∆</w:t>
      </w:r>
      <w:proofErr w:type="spellStart"/>
      <w:r w:rsidRPr="00581B28">
        <w:rPr>
          <w:i/>
        </w:rPr>
        <w:t>u</w:t>
      </w:r>
      <w:r w:rsidRPr="00581B28">
        <w:rPr>
          <w:i/>
          <w:vertAlign w:val="subscript"/>
        </w:rPr>
        <w:t>t</w:t>
      </w:r>
      <w:proofErr w:type="spellEnd"/>
      <w:r w:rsidRPr="00640E3D">
        <w:t xml:space="preserve">, kterým </w:t>
      </w:r>
      <w:r w:rsidR="00581B28">
        <w:t>označuje</w:t>
      </w:r>
      <w:r w:rsidR="00985A4C" w:rsidRPr="00640E3D">
        <w:t xml:space="preserve"> </w:t>
      </w:r>
      <w:r w:rsidR="00640E3D" w:rsidRPr="00640E3D">
        <w:t>změnu,</w:t>
      </w:r>
      <w:r w:rsidRPr="00640E3D">
        <w:t xml:space="preserve"> </w:t>
      </w:r>
      <w:r w:rsidR="00546631" w:rsidRPr="00640E3D">
        <w:t xml:space="preserve">jež </w:t>
      </w:r>
      <w:r w:rsidRPr="00640E3D">
        <w:t>n</w:t>
      </w:r>
      <w:r w:rsidR="00985A4C" w:rsidRPr="00640E3D">
        <w:t>astává</w:t>
      </w:r>
      <w:r w:rsidR="00985A4C">
        <w:t xml:space="preserve"> v nezaměstnanosti. Přesnou formu vzorce</w:t>
      </w:r>
      <w:r>
        <w:t xml:space="preserve"> můžem</w:t>
      </w:r>
      <w:r w:rsidR="00243D74">
        <w:t>e vidět níže, kde je vyobrazen.</w:t>
      </w:r>
      <w:r w:rsidR="00243D74">
        <w:rPr>
          <w:rStyle w:val="Znakapoznpodarou"/>
        </w:rPr>
        <w:footnoteReference w:id="65"/>
      </w:r>
    </w:p>
    <w:p w14:paraId="79A6B60E" w14:textId="77777777" w:rsidR="00CC2780" w:rsidRPr="00C47E9F" w:rsidRDefault="00CC2780" w:rsidP="00CC2780"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=-ε×∆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14:paraId="55661EFB" w14:textId="44154E1B" w:rsidR="00C47E9F" w:rsidRPr="00DA6721" w:rsidRDefault="00DA6721" w:rsidP="00DA6721">
      <w:pPr>
        <w:pStyle w:val="Titulek"/>
        <w:spacing w:after="0" w:line="360" w:lineRule="auto"/>
        <w:ind w:firstLine="0"/>
        <w:rPr>
          <w:color w:val="auto"/>
          <w:sz w:val="20"/>
          <w:szCs w:val="20"/>
        </w:rPr>
      </w:pPr>
      <w:bookmarkStart w:id="32" w:name="_Toc15639794"/>
      <w:r w:rsidRPr="00DA6721">
        <w:rPr>
          <w:color w:val="auto"/>
          <w:sz w:val="20"/>
          <w:szCs w:val="20"/>
        </w:rPr>
        <w:t xml:space="preserve">Vzorec </w:t>
      </w:r>
      <w:r w:rsidRPr="00DA6721">
        <w:rPr>
          <w:color w:val="auto"/>
          <w:sz w:val="20"/>
          <w:szCs w:val="20"/>
        </w:rPr>
        <w:fldChar w:fldCharType="begin"/>
      </w:r>
      <w:r w:rsidRPr="00DA6721">
        <w:rPr>
          <w:color w:val="auto"/>
          <w:sz w:val="20"/>
          <w:szCs w:val="20"/>
        </w:rPr>
        <w:instrText xml:space="preserve"> SEQ Vzorec \* ARABIC </w:instrText>
      </w:r>
      <w:r w:rsidRPr="00DA6721">
        <w:rPr>
          <w:color w:val="auto"/>
          <w:sz w:val="20"/>
          <w:szCs w:val="20"/>
        </w:rPr>
        <w:fldChar w:fldCharType="separate"/>
      </w:r>
      <w:r w:rsidR="0040267A">
        <w:rPr>
          <w:noProof/>
          <w:color w:val="auto"/>
          <w:sz w:val="20"/>
          <w:szCs w:val="20"/>
        </w:rPr>
        <w:t>9</w:t>
      </w:r>
      <w:r w:rsidRPr="00DA6721">
        <w:rPr>
          <w:color w:val="auto"/>
          <w:sz w:val="20"/>
          <w:szCs w:val="20"/>
        </w:rPr>
        <w:fldChar w:fldCharType="end"/>
      </w:r>
      <w:r w:rsidR="00EC4F9C">
        <w:rPr>
          <w:color w:val="auto"/>
          <w:sz w:val="20"/>
          <w:szCs w:val="20"/>
        </w:rPr>
        <w:t xml:space="preserve"> </w:t>
      </w:r>
      <w:proofErr w:type="spellStart"/>
      <w:r w:rsidRPr="00DA6721">
        <w:rPr>
          <w:color w:val="auto"/>
          <w:sz w:val="20"/>
          <w:szCs w:val="20"/>
        </w:rPr>
        <w:t>Phillsova</w:t>
      </w:r>
      <w:proofErr w:type="spellEnd"/>
      <w:r w:rsidRPr="00DA6721">
        <w:rPr>
          <w:color w:val="auto"/>
          <w:sz w:val="20"/>
          <w:szCs w:val="20"/>
        </w:rPr>
        <w:t xml:space="preserve"> křivka</w:t>
      </w:r>
      <w:bookmarkEnd w:id="32"/>
    </w:p>
    <w:p w14:paraId="1D5090DD" w14:textId="5CFADDF7" w:rsidR="00056404" w:rsidRDefault="00DA6721" w:rsidP="00DA6721">
      <w:pPr>
        <w:ind w:firstLine="0"/>
        <w:rPr>
          <w:i/>
          <w:sz w:val="20"/>
          <w:szCs w:val="20"/>
        </w:rPr>
      </w:pPr>
      <w:r w:rsidRPr="00DA6721">
        <w:rPr>
          <w:i/>
          <w:sz w:val="20"/>
          <w:szCs w:val="20"/>
        </w:rPr>
        <w:t>Zdroj: Makroekonomická analýza teorie a praxe,</w:t>
      </w:r>
      <w:r>
        <w:rPr>
          <w:i/>
          <w:sz w:val="20"/>
          <w:szCs w:val="20"/>
        </w:rPr>
        <w:t xml:space="preserve"> </w:t>
      </w:r>
      <w:r w:rsidR="0041204D">
        <w:rPr>
          <w:i/>
          <w:color w:val="000000" w:themeColor="text1"/>
          <w:sz w:val="20"/>
        </w:rPr>
        <w:t xml:space="preserve">M. </w:t>
      </w:r>
      <w:proofErr w:type="spellStart"/>
      <w:r w:rsidR="0041204D">
        <w:rPr>
          <w:i/>
          <w:color w:val="000000" w:themeColor="text1"/>
          <w:sz w:val="20"/>
        </w:rPr>
        <w:t>Rojíček</w:t>
      </w:r>
      <w:proofErr w:type="spellEnd"/>
      <w:r w:rsidR="0041204D">
        <w:rPr>
          <w:i/>
          <w:color w:val="000000" w:themeColor="text1"/>
          <w:sz w:val="20"/>
        </w:rPr>
        <w:t>, V.</w:t>
      </w:r>
      <w:r w:rsidR="0041204D" w:rsidRPr="0041204D">
        <w:rPr>
          <w:i/>
          <w:color w:val="000000" w:themeColor="text1"/>
          <w:sz w:val="20"/>
        </w:rPr>
        <w:t xml:space="preserve"> Spěváček a kolektiv</w:t>
      </w:r>
      <w:r w:rsidRPr="00DA6721">
        <w:rPr>
          <w:i/>
          <w:sz w:val="20"/>
          <w:szCs w:val="20"/>
        </w:rPr>
        <w:t>, s. 237</w:t>
      </w:r>
      <w:r>
        <w:rPr>
          <w:i/>
          <w:sz w:val="20"/>
          <w:szCs w:val="20"/>
        </w:rPr>
        <w:t>,</w:t>
      </w:r>
    </w:p>
    <w:p w14:paraId="39B48263" w14:textId="7CAFDAE3" w:rsidR="00DA6721" w:rsidRDefault="00056404" w:rsidP="00056404">
      <w:pPr>
        <w:spacing w:after="200" w:line="276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D0E58E4" w14:textId="6B8C15D1" w:rsidR="00696449" w:rsidRPr="00DA6721" w:rsidRDefault="00696449" w:rsidP="00DC2557">
      <w:pPr>
        <w:pStyle w:val="Nadpis2"/>
        <w:rPr>
          <w:i/>
          <w:sz w:val="20"/>
          <w:szCs w:val="20"/>
        </w:rPr>
      </w:pPr>
      <w:bookmarkStart w:id="33" w:name="_Toc15889392"/>
      <w:r>
        <w:lastRenderedPageBreak/>
        <w:t>Plná zaměstnanost na trhu práce</w:t>
      </w:r>
      <w:bookmarkEnd w:id="33"/>
    </w:p>
    <w:p w14:paraId="107372D2" w14:textId="7786A7B9" w:rsidR="005D607E" w:rsidRPr="00640E3D" w:rsidRDefault="00164364" w:rsidP="00A85432">
      <w:pPr>
        <w:spacing w:before="120"/>
      </w:pPr>
      <w:r w:rsidRPr="00DC2140">
        <w:t>Podle statistik</w:t>
      </w:r>
      <w:r w:rsidR="009C3575" w:rsidRPr="00DC2140">
        <w:t xml:space="preserve"> lze </w:t>
      </w:r>
      <w:r w:rsidR="0063651C" w:rsidRPr="00DC2140">
        <w:t>vidět,</w:t>
      </w:r>
      <w:r w:rsidR="0063651C">
        <w:t xml:space="preserve"> že za posledních p</w:t>
      </w:r>
      <w:r w:rsidR="009A1F32">
        <w:t xml:space="preserve">ár let </w:t>
      </w:r>
      <w:r w:rsidR="00F015D3">
        <w:t xml:space="preserve">křivka míry </w:t>
      </w:r>
      <w:r w:rsidR="009A1F32">
        <w:t>nezaměstnanost</w:t>
      </w:r>
      <w:r w:rsidR="00F015D3">
        <w:t>i</w:t>
      </w:r>
      <w:r w:rsidR="009A1F32">
        <w:t xml:space="preserve"> </w:t>
      </w:r>
      <w:r w:rsidR="00F015D3">
        <w:t>klesá</w:t>
      </w:r>
      <w:r w:rsidR="007A6EC7">
        <w:t xml:space="preserve">. </w:t>
      </w:r>
      <w:r w:rsidR="00295319">
        <w:t>V </w:t>
      </w:r>
      <w:r w:rsidR="00295319" w:rsidRPr="00640E3D">
        <w:t xml:space="preserve">podnicích při plné zaměstnanosti dochází ke zvyšování mzdových výdajů. </w:t>
      </w:r>
      <w:r w:rsidR="009A1F32" w:rsidRPr="00640E3D">
        <w:t>Zvyšování mezd vede k</w:t>
      </w:r>
      <w:r w:rsidR="003565A1" w:rsidRPr="00640E3D">
        <w:t xml:space="preserve">  </w:t>
      </w:r>
      <w:r w:rsidR="00546631" w:rsidRPr="00640E3D">
        <w:t xml:space="preserve">růstu </w:t>
      </w:r>
      <w:r w:rsidR="003565A1" w:rsidRPr="00640E3D">
        <w:t>dalších nákladů ve firmě. Těmito náklady</w:t>
      </w:r>
      <w:r w:rsidR="003565A1" w:rsidRPr="00742C36">
        <w:rPr>
          <w:color w:val="FF0000"/>
        </w:rPr>
        <w:t xml:space="preserve"> </w:t>
      </w:r>
      <w:r w:rsidR="00581B28" w:rsidRPr="00581B28">
        <w:rPr>
          <w:color w:val="000000" w:themeColor="text1"/>
        </w:rPr>
        <w:t>lze rozumět</w:t>
      </w:r>
      <w:r w:rsidR="00546631" w:rsidRPr="00581B28">
        <w:rPr>
          <w:color w:val="000000" w:themeColor="text1"/>
        </w:rPr>
        <w:t xml:space="preserve"> </w:t>
      </w:r>
      <w:r w:rsidR="003565A1" w:rsidRPr="00640E3D">
        <w:t xml:space="preserve">náklady na energii, zdražování nákladů na podnikové půjčky. Při plné zaměstnanosti dochází </w:t>
      </w:r>
      <w:r w:rsidR="00541CC0">
        <w:br/>
      </w:r>
      <w:r w:rsidR="003565A1" w:rsidRPr="00DC2140">
        <w:t>i</w:t>
      </w:r>
      <w:r w:rsidR="003565A1" w:rsidRPr="00640E3D">
        <w:t xml:space="preserve"> k</w:t>
      </w:r>
      <w:r w:rsidR="00CA4316" w:rsidRPr="00640E3D">
        <w:t> poklesu zisku firem. Tento jev může v budoucnu ovlivnit negativně podnikatelskou atmosféru.</w:t>
      </w:r>
      <w:r w:rsidR="00DA6721">
        <w:rPr>
          <w:rStyle w:val="Znakapoznpodarou"/>
        </w:rPr>
        <w:footnoteReference w:id="66"/>
      </w:r>
    </w:p>
    <w:p w14:paraId="5DA55F34" w14:textId="4127A0F1" w:rsidR="008D22CD" w:rsidRDefault="005D607E" w:rsidP="008D22CD">
      <w:r w:rsidRPr="00640E3D">
        <w:t>Plnou zaměstnanost na trhu práce lze měřit prostřed</w:t>
      </w:r>
      <w:r w:rsidR="00640E3D" w:rsidRPr="00640E3D">
        <w:t>nictvím monitorování cen. Pokud</w:t>
      </w:r>
      <w:r w:rsidRPr="00640E3D">
        <w:t xml:space="preserve"> </w:t>
      </w:r>
      <w:r w:rsidR="005F5898" w:rsidRPr="00640E3D">
        <w:t xml:space="preserve">rostou ceny, </w:t>
      </w:r>
      <w:r w:rsidRPr="00640E3D">
        <w:t>je to jasný signál, že obsazenos</w:t>
      </w:r>
      <w:r w:rsidR="00640E3D" w:rsidRPr="00640E3D">
        <w:t>t pracovních míst se přibližuje</w:t>
      </w:r>
      <w:r w:rsidRPr="00640E3D">
        <w:t xml:space="preserve"> </w:t>
      </w:r>
      <w:r w:rsidR="005F5898" w:rsidRPr="00640E3D">
        <w:t xml:space="preserve">plné </w:t>
      </w:r>
      <w:r w:rsidRPr="00640E3D">
        <w:t>kapacitě. Při plné zaměstnanos</w:t>
      </w:r>
      <w:r w:rsidR="00A85432">
        <w:t>ti se průběh inflace zrychluje</w:t>
      </w:r>
      <w:r w:rsidR="009B46C1">
        <w:t xml:space="preserve"> </w:t>
      </w:r>
      <w:r w:rsidR="00DC2140" w:rsidRPr="00DC2140">
        <w:t>a neexistuje cyklická nezaměstnanost.</w:t>
      </w:r>
      <w:r w:rsidR="001E5826" w:rsidRPr="00DC2140">
        <w:rPr>
          <w:rStyle w:val="Znakapoznpodarou"/>
        </w:rPr>
        <w:footnoteReference w:id="67"/>
      </w:r>
      <w:r w:rsidR="00DC2140">
        <w:t xml:space="preserve"> Na trhu práce vzniká nízká míra nezaměstnanosti.</w:t>
      </w:r>
      <w:r>
        <w:t xml:space="preserve"> Na trhu práce není nikdy </w:t>
      </w:r>
      <w:r w:rsidR="00DC2140">
        <w:t>obecná míra nezaměstnanosti nula procent</w:t>
      </w:r>
      <w:r w:rsidR="005F5898">
        <w:t>.</w:t>
      </w:r>
      <w:r w:rsidR="00640E3D">
        <w:t xml:space="preserve"> U </w:t>
      </w:r>
      <w:r>
        <w:t>vyspělých států bývá míra nezaměstnanosti 2% - 3%, což se považuje za plnou zaměstnanost na trhu práce. Plná zaměstnanost na trhu práce se nebud</w:t>
      </w:r>
      <w:r w:rsidR="00640E3D">
        <w:t xml:space="preserve">e vyskytovat pořád. </w:t>
      </w:r>
      <w:proofErr w:type="spellStart"/>
      <w:r w:rsidR="00640E3D">
        <w:t>Sayův</w:t>
      </w:r>
      <w:proofErr w:type="spellEnd"/>
      <w:r w:rsidR="00640E3D">
        <w:t xml:space="preserve"> zákon</w:t>
      </w:r>
      <w:r>
        <w:t xml:space="preserve"> vysvětl</w:t>
      </w:r>
      <w:r w:rsidR="00DC2140">
        <w:t>uje zrod a zánik zaměstnanosti.</w:t>
      </w:r>
      <w:r w:rsidR="00A85432">
        <w:rPr>
          <w:rStyle w:val="Znakapoznpodarou"/>
        </w:rPr>
        <w:footnoteReference w:id="68"/>
      </w:r>
    </w:p>
    <w:p w14:paraId="082F1B02" w14:textId="33DA5B08" w:rsidR="0055463B" w:rsidRPr="008D22CD" w:rsidRDefault="0055463B" w:rsidP="00DC2557">
      <w:pPr>
        <w:pStyle w:val="Nadpis3"/>
        <w:rPr>
          <w:color w:val="000000" w:themeColor="text1"/>
        </w:rPr>
      </w:pPr>
      <w:bookmarkStart w:id="34" w:name="_Toc15889393"/>
      <w:r w:rsidRPr="002B3496">
        <w:t>Důsledky plné zaměstnanosti v ČR</w:t>
      </w:r>
      <w:bookmarkEnd w:id="34"/>
    </w:p>
    <w:p w14:paraId="4A28ADF1" w14:textId="7C023BBF" w:rsidR="00700F16" w:rsidRPr="00600354" w:rsidRDefault="0055463B" w:rsidP="00600354">
      <w:pPr>
        <w:rPr>
          <w:rStyle w:val="Hypertextovodkaz"/>
          <w:color w:val="000000" w:themeColor="text1"/>
        </w:rPr>
      </w:pPr>
      <w:r w:rsidRPr="002B3496">
        <w:rPr>
          <w:color w:val="000000" w:themeColor="text1"/>
        </w:rPr>
        <w:t>Při plné zaměstnanosti dochází k přesídlování f</w:t>
      </w:r>
      <w:r w:rsidR="005F5898" w:rsidRPr="002B3496">
        <w:rPr>
          <w:color w:val="000000" w:themeColor="text1"/>
        </w:rPr>
        <w:t>irem do zahraničí za pracovní si</w:t>
      </w:r>
      <w:r w:rsidRPr="002B3496">
        <w:rPr>
          <w:color w:val="000000" w:themeColor="text1"/>
        </w:rPr>
        <w:t xml:space="preserve">lou. </w:t>
      </w:r>
      <w:r w:rsidR="00692ADC" w:rsidRPr="002B3496">
        <w:rPr>
          <w:color w:val="000000" w:themeColor="text1"/>
        </w:rPr>
        <w:t xml:space="preserve">Při </w:t>
      </w:r>
      <w:r w:rsidR="002E2B59" w:rsidRPr="002B3496">
        <w:rPr>
          <w:color w:val="000000" w:themeColor="text1"/>
        </w:rPr>
        <w:t xml:space="preserve">nízké nezaměstnanosti vznikají překážky ve firmách. Těmito </w:t>
      </w:r>
      <w:r w:rsidR="002E2B59" w:rsidRPr="00581B28">
        <w:rPr>
          <w:color w:val="000000" w:themeColor="text1"/>
        </w:rPr>
        <w:t xml:space="preserve">překážkami </w:t>
      </w:r>
      <w:r w:rsidR="00581B28" w:rsidRPr="00581B28">
        <w:rPr>
          <w:color w:val="000000" w:themeColor="text1"/>
        </w:rPr>
        <w:t>lze</w:t>
      </w:r>
      <w:r w:rsidR="002E2B59" w:rsidRPr="00581B28">
        <w:rPr>
          <w:color w:val="000000" w:themeColor="text1"/>
        </w:rPr>
        <w:t xml:space="preserve"> rozumět omez</w:t>
      </w:r>
      <w:r w:rsidR="00A85432" w:rsidRPr="00581B28">
        <w:rPr>
          <w:color w:val="000000" w:themeColor="text1"/>
        </w:rPr>
        <w:t>ení výroby.</w:t>
      </w:r>
      <w:r w:rsidR="00A85432" w:rsidRPr="00581B28">
        <w:rPr>
          <w:rStyle w:val="Znakapoznpodarou"/>
          <w:color w:val="000000" w:themeColor="text1"/>
        </w:rPr>
        <w:footnoteReference w:id="69"/>
      </w:r>
    </w:p>
    <w:p w14:paraId="09D989FD" w14:textId="6623BEE0" w:rsidR="00974D9B" w:rsidRPr="00700F16" w:rsidRDefault="00AB086F" w:rsidP="00700F16">
      <w:pPr>
        <w:rPr>
          <w:color w:val="000000" w:themeColor="text1"/>
        </w:rPr>
      </w:pPr>
      <w:r w:rsidRPr="002B3496">
        <w:rPr>
          <w:rStyle w:val="Hypertextovodkaz"/>
          <w:color w:val="000000" w:themeColor="text1"/>
          <w:u w:val="none"/>
        </w:rPr>
        <w:t xml:space="preserve">Dalším důsledkem plné </w:t>
      </w:r>
      <w:r w:rsidR="00941063" w:rsidRPr="002B3496">
        <w:rPr>
          <w:rStyle w:val="Hypertextovodkaz"/>
          <w:color w:val="000000" w:themeColor="text1"/>
          <w:u w:val="none"/>
        </w:rPr>
        <w:t>zaměstnanosti je vytváření nových pracovních míst. S novými pracovními místy</w:t>
      </w:r>
      <w:r w:rsidR="00536A8B" w:rsidRPr="002B3496">
        <w:rPr>
          <w:rStyle w:val="Hypertextovodkaz"/>
          <w:color w:val="000000" w:themeColor="text1"/>
          <w:u w:val="none"/>
        </w:rPr>
        <w:t xml:space="preserve"> jsou spjaté i nové kvalifikace</w:t>
      </w:r>
      <w:r w:rsidR="00692ADC" w:rsidRPr="002B3496">
        <w:rPr>
          <w:rStyle w:val="Hypertextovodkaz"/>
          <w:color w:val="000000" w:themeColor="text1"/>
          <w:u w:val="none"/>
        </w:rPr>
        <w:t xml:space="preserve"> zaměstnanců</w:t>
      </w:r>
      <w:r w:rsidR="00536A8B" w:rsidRPr="002B3496">
        <w:rPr>
          <w:rStyle w:val="Hypertextovodkaz"/>
          <w:color w:val="000000" w:themeColor="text1"/>
          <w:u w:val="none"/>
        </w:rPr>
        <w:t xml:space="preserve">, </w:t>
      </w:r>
      <w:r w:rsidR="00941063" w:rsidRPr="002B3496">
        <w:rPr>
          <w:rStyle w:val="Hypertextovodkaz"/>
          <w:color w:val="000000" w:themeColor="text1"/>
          <w:u w:val="none"/>
        </w:rPr>
        <w:t xml:space="preserve">a také rozsáhlejší </w:t>
      </w:r>
      <w:r w:rsidR="00A85432">
        <w:rPr>
          <w:rStyle w:val="Hypertextovodkaz"/>
          <w:color w:val="000000" w:themeColor="text1"/>
          <w:u w:val="none"/>
        </w:rPr>
        <w:t>znalosti uchazečů o zaměstnání.</w:t>
      </w:r>
      <w:r w:rsidR="00A85432">
        <w:rPr>
          <w:rStyle w:val="Znakapoznpodarou"/>
          <w:color w:val="000000" w:themeColor="text1"/>
        </w:rPr>
        <w:footnoteReference w:id="70"/>
      </w:r>
      <w:r w:rsidR="00742C36">
        <w:rPr>
          <w:rStyle w:val="Hypertextovodkaz"/>
          <w:color w:val="000000" w:themeColor="text1"/>
          <w:u w:val="none"/>
        </w:rPr>
        <w:t xml:space="preserve"> </w:t>
      </w:r>
      <w:r w:rsidR="00DC2140">
        <w:t xml:space="preserve">Firmy obsazují pracovní místa </w:t>
      </w:r>
      <w:r w:rsidR="005F5898" w:rsidRPr="00640E3D">
        <w:t>několika způsoby</w:t>
      </w:r>
      <w:r w:rsidR="00B668D2">
        <w:t>:</w:t>
      </w:r>
    </w:p>
    <w:p w14:paraId="798F69E0" w14:textId="4558ED57" w:rsidR="00974D9B" w:rsidRPr="00DC2140" w:rsidRDefault="00974D9B" w:rsidP="00056404">
      <w:pPr>
        <w:pStyle w:val="Odstavecseseznamem"/>
        <w:numPr>
          <w:ilvl w:val="0"/>
          <w:numId w:val="2"/>
        </w:numPr>
        <w:ind w:left="641" w:hanging="357"/>
        <w:rPr>
          <w:i/>
          <w:iCs/>
        </w:rPr>
      </w:pPr>
      <w:r w:rsidRPr="00DC2140">
        <w:rPr>
          <w:i/>
          <w:iCs/>
        </w:rPr>
        <w:t xml:space="preserve">Získávat pracovníky ze střední a </w:t>
      </w:r>
      <w:r w:rsidRPr="00500EEF">
        <w:rPr>
          <w:i/>
          <w:iCs/>
        </w:rPr>
        <w:t xml:space="preserve">východní Evropy. </w:t>
      </w:r>
      <w:r w:rsidR="00500EEF">
        <w:rPr>
          <w:i/>
          <w:iCs/>
        </w:rPr>
        <w:t>(</w:t>
      </w:r>
      <w:r w:rsidRPr="00500EEF">
        <w:rPr>
          <w:i/>
          <w:iCs/>
        </w:rPr>
        <w:t>Protože</w:t>
      </w:r>
      <w:r w:rsidRPr="00DC2140">
        <w:rPr>
          <w:i/>
          <w:iCs/>
        </w:rPr>
        <w:t xml:space="preserve"> do této části Evropy </w:t>
      </w:r>
      <w:r w:rsidR="00B360DD" w:rsidRPr="00DC2140">
        <w:rPr>
          <w:i/>
          <w:iCs/>
        </w:rPr>
        <w:t xml:space="preserve">dříve </w:t>
      </w:r>
      <w:r w:rsidR="00500EEF">
        <w:rPr>
          <w:i/>
          <w:iCs/>
        </w:rPr>
        <w:t>vycestovalo mnoho lidí za prací.)</w:t>
      </w:r>
    </w:p>
    <w:p w14:paraId="0DDDB4B5" w14:textId="4B514057" w:rsidR="00974D9B" w:rsidRPr="00DC2140" w:rsidRDefault="004E4900" w:rsidP="00056404">
      <w:pPr>
        <w:pStyle w:val="Odstavecseseznamem"/>
        <w:numPr>
          <w:ilvl w:val="0"/>
          <w:numId w:val="2"/>
        </w:numPr>
        <w:ind w:left="641" w:hanging="357"/>
        <w:rPr>
          <w:i/>
          <w:iCs/>
        </w:rPr>
      </w:pPr>
      <w:r w:rsidRPr="00DC2140">
        <w:rPr>
          <w:i/>
          <w:iCs/>
        </w:rPr>
        <w:t>Dále mohou podniky přilákat p</w:t>
      </w:r>
      <w:r w:rsidR="00974D9B" w:rsidRPr="00DC2140">
        <w:rPr>
          <w:i/>
          <w:iCs/>
        </w:rPr>
        <w:t xml:space="preserve">racovníky z Ruska či </w:t>
      </w:r>
      <w:r w:rsidR="00974D9B" w:rsidRPr="00500EEF">
        <w:rPr>
          <w:i/>
          <w:iCs/>
        </w:rPr>
        <w:t>Běloruska</w:t>
      </w:r>
      <w:r w:rsidR="00DC2140" w:rsidRPr="00500EEF">
        <w:rPr>
          <w:i/>
          <w:iCs/>
        </w:rPr>
        <w:t>.(Protože v</w:t>
      </w:r>
      <w:r w:rsidR="00DC2140" w:rsidRPr="00DC2140">
        <w:rPr>
          <w:i/>
          <w:iCs/>
        </w:rPr>
        <w:t> České republice jsou lepší pracovní pod</w:t>
      </w:r>
      <w:r w:rsidR="00500EEF">
        <w:rPr>
          <w:i/>
          <w:iCs/>
        </w:rPr>
        <w:t>mínky pro zaměstnance.)</w:t>
      </w:r>
    </w:p>
    <w:p w14:paraId="64A50559" w14:textId="04182F51" w:rsidR="00DC2140" w:rsidRPr="00B50D2F" w:rsidRDefault="00B360DD" w:rsidP="00056404">
      <w:pPr>
        <w:pStyle w:val="Odstavecseseznamem"/>
        <w:numPr>
          <w:ilvl w:val="0"/>
          <w:numId w:val="2"/>
        </w:numPr>
        <w:ind w:left="641" w:hanging="357"/>
        <w:rPr>
          <w:i/>
          <w:iCs/>
          <w:vanish/>
        </w:rPr>
      </w:pPr>
      <w:r w:rsidRPr="00DC2140">
        <w:rPr>
          <w:i/>
          <w:iCs/>
        </w:rPr>
        <w:t xml:space="preserve"> </w:t>
      </w:r>
      <w:r w:rsidR="00DC2140" w:rsidRPr="00DC2140">
        <w:rPr>
          <w:i/>
          <w:iCs/>
        </w:rPr>
        <w:t xml:space="preserve">Automatizací, která </w:t>
      </w:r>
      <w:r w:rsidRPr="00DC2140">
        <w:rPr>
          <w:i/>
          <w:iCs/>
        </w:rPr>
        <w:t>vyvolává lepší výkonnost ve firmách, protože dochází k</w:t>
      </w:r>
      <w:r w:rsidR="004E4900" w:rsidRPr="00DC2140">
        <w:rPr>
          <w:i/>
          <w:iCs/>
        </w:rPr>
        <w:t> </w:t>
      </w:r>
      <w:r w:rsidRPr="00DC2140">
        <w:rPr>
          <w:i/>
          <w:iCs/>
        </w:rPr>
        <w:t>nahrazení</w:t>
      </w:r>
      <w:r w:rsidR="004E4900" w:rsidRPr="00DC2140">
        <w:rPr>
          <w:i/>
          <w:iCs/>
        </w:rPr>
        <w:t xml:space="preserve"> lidské</w:t>
      </w:r>
      <w:r w:rsidRPr="00DC2140">
        <w:rPr>
          <w:i/>
          <w:iCs/>
        </w:rPr>
        <w:t xml:space="preserve"> pracovní síly.</w:t>
      </w:r>
    </w:p>
    <w:p w14:paraId="1DB4D102" w14:textId="29CB1328" w:rsidR="00DC2140" w:rsidRPr="00DC2140" w:rsidRDefault="00DC2140" w:rsidP="00742C36">
      <w:pPr>
        <w:ind w:firstLine="0"/>
        <w:rPr>
          <w:vertAlign w:val="superscript"/>
        </w:rPr>
      </w:pPr>
      <w:r>
        <w:t>Plná zaměstnanost by se v České republice mohla snížit i stagnací.</w:t>
      </w:r>
      <w:r>
        <w:rPr>
          <w:rStyle w:val="Znakapoznpodarou"/>
        </w:rPr>
        <w:footnoteReference w:id="71"/>
      </w:r>
    </w:p>
    <w:p w14:paraId="042F81B6" w14:textId="16605222" w:rsidR="00583D78" w:rsidRDefault="00583D78" w:rsidP="00DC2557">
      <w:pPr>
        <w:pStyle w:val="Nadpis2"/>
      </w:pPr>
      <w:bookmarkStart w:id="35" w:name="_Toc15889394"/>
      <w:r>
        <w:lastRenderedPageBreak/>
        <w:t>Výpočet příjmu</w:t>
      </w:r>
      <w:bookmarkEnd w:id="35"/>
    </w:p>
    <w:p w14:paraId="081970C8" w14:textId="0B8F74B3" w:rsidR="00583D78" w:rsidRPr="00CE0E54" w:rsidRDefault="00575754" w:rsidP="00B511E7">
      <w:pPr>
        <w:spacing w:before="120"/>
        <w:ind w:firstLine="425"/>
        <w:rPr>
          <w:rStyle w:val="st"/>
          <w:i/>
        </w:rPr>
      </w:pPr>
      <w:r>
        <w:t>Výpočet průměrného příj</w:t>
      </w:r>
      <w:r w:rsidR="00583D78">
        <w:t>m</w:t>
      </w:r>
      <w:r>
        <w:t>u</w:t>
      </w:r>
      <w:r w:rsidR="00583D78">
        <w:t xml:space="preserve"> (důchod</w:t>
      </w:r>
      <w:r>
        <w:t>u</w:t>
      </w:r>
      <w:r w:rsidR="00583D78">
        <w:t>) je pr</w:t>
      </w:r>
      <w:r w:rsidR="00DC324F">
        <w:t>o</w:t>
      </w:r>
      <w:r w:rsidR="00DC2140">
        <w:t xml:space="preserve"> zaměstnance nesmírně důležitý </w:t>
      </w:r>
      <w:r w:rsidR="00DC2140" w:rsidRPr="00DC2140">
        <w:t>-</w:t>
      </w:r>
      <w:r w:rsidRPr="00DC2140">
        <w:t xml:space="preserve"> je to</w:t>
      </w:r>
      <w:r>
        <w:t xml:space="preserve"> </w:t>
      </w:r>
      <w:r w:rsidR="00F32942">
        <w:t xml:space="preserve">odměna </w:t>
      </w:r>
      <w:r w:rsidR="00DC324F">
        <w:t xml:space="preserve">zaměstnance </w:t>
      </w:r>
      <w:r>
        <w:t>od zaměstnavatele</w:t>
      </w:r>
      <w:r w:rsidR="00696449">
        <w:t xml:space="preserve"> za vykonanou práci</w:t>
      </w:r>
      <w:r w:rsidR="00DC324F">
        <w:t>.</w:t>
      </w:r>
      <w:r w:rsidR="00583D78">
        <w:t xml:space="preserve"> Průměrný výdělek zaměstnance se počítá každý měsíc.</w:t>
      </w:r>
      <w:r w:rsidR="009B46C1">
        <w:rPr>
          <w:i/>
        </w:rPr>
        <w:t xml:space="preserve"> </w:t>
      </w:r>
      <w:r w:rsidR="00583D78" w:rsidRPr="00161BD2">
        <w:rPr>
          <w:rStyle w:val="st"/>
          <w:i/>
        </w:rPr>
        <w:t>„</w:t>
      </w:r>
      <w:r w:rsidR="00583D78" w:rsidRPr="00161BD2">
        <w:rPr>
          <w:i/>
        </w:rPr>
        <w:t>Určování průměrného výdělku je upraveno v § 351 a násl. zákoníku práce a od stanovených principů právní úpravy se z důvodu jejich povahy nelze odchýlit.</w:t>
      </w:r>
      <w:r w:rsidR="00583D78" w:rsidRPr="005235E8">
        <w:rPr>
          <w:rStyle w:val="Nadpis1Char"/>
        </w:rPr>
        <w:t xml:space="preserve"> </w:t>
      </w:r>
      <w:r w:rsidR="00583D78" w:rsidRPr="00161BD2">
        <w:rPr>
          <w:rStyle w:val="st"/>
          <w:i/>
        </w:rPr>
        <w:t>“</w:t>
      </w:r>
    </w:p>
    <w:p w14:paraId="10EA33AA" w14:textId="03CCB79C" w:rsidR="00DC2140" w:rsidRDefault="00583D78" w:rsidP="00DC2140">
      <w:pPr>
        <w:tabs>
          <w:tab w:val="left" w:pos="2329"/>
        </w:tabs>
        <w:spacing w:before="120"/>
        <w:ind w:firstLine="426"/>
        <w:rPr>
          <w:rStyle w:val="st"/>
        </w:rPr>
      </w:pPr>
      <w:r>
        <w:rPr>
          <w:rStyle w:val="st"/>
        </w:rPr>
        <w:t>Hrubou mzdu člověk nezískává od svého zaměstnavatele, ale tato mzda se musí u</w:t>
      </w:r>
      <w:r w:rsidR="0055315B">
        <w:rPr>
          <w:rStyle w:val="st"/>
        </w:rPr>
        <w:t xml:space="preserve">pravit, aby vznikla čistá mzda, kterou potom zaměstnanec dostává. </w:t>
      </w:r>
      <w:r w:rsidR="00696449">
        <w:rPr>
          <w:rStyle w:val="st"/>
        </w:rPr>
        <w:t>Než se čistá mzda dostane k zaměstnanc</w:t>
      </w:r>
      <w:r w:rsidR="00700F16">
        <w:rPr>
          <w:rStyle w:val="st"/>
        </w:rPr>
        <w:t>i, musí projít několika fázemi.</w:t>
      </w:r>
      <w:r w:rsidR="00700F16">
        <w:rPr>
          <w:rStyle w:val="Znakapoznpodarou"/>
        </w:rPr>
        <w:footnoteReference w:id="72"/>
      </w:r>
    </w:p>
    <w:p w14:paraId="546B7FEB" w14:textId="083B8E1D" w:rsidR="00374630" w:rsidRPr="008D22CD" w:rsidRDefault="00BD1A88" w:rsidP="00DC2557">
      <w:pPr>
        <w:pStyle w:val="Nadpis3"/>
        <w:rPr>
          <w:vertAlign w:val="superscript"/>
        </w:rPr>
      </w:pPr>
      <w:bookmarkStart w:id="36" w:name="_Toc15889395"/>
      <w:r>
        <w:t>Medián mezd</w:t>
      </w:r>
      <w:bookmarkEnd w:id="36"/>
    </w:p>
    <w:p w14:paraId="3A3B924D" w14:textId="77777777" w:rsidR="00E354C4" w:rsidRDefault="00E354C4" w:rsidP="00DC2140">
      <w:pPr>
        <w:ind w:firstLine="0"/>
        <w:rPr>
          <w:rStyle w:val="st"/>
          <w:i/>
        </w:rPr>
      </w:pPr>
      <w:r w:rsidRPr="00E354C4">
        <w:rPr>
          <w:rStyle w:val="st"/>
          <w:i/>
        </w:rPr>
        <w:t>„</w:t>
      </w:r>
      <w:r w:rsidRPr="00E354C4">
        <w:rPr>
          <w:bCs/>
          <w:i/>
        </w:rPr>
        <w:t>Medián mezd</w:t>
      </w:r>
      <w:r w:rsidRPr="00E354C4">
        <w:rPr>
          <w:i/>
        </w:rPr>
        <w:t xml:space="preserve"> je: Střední hodnota mezd: dělí zaměstnance na dvě stejně početné části s nižší a vyšší mzdou; vždy je nižší než průměrná mzda.</w:t>
      </w:r>
      <w:r w:rsidRPr="00E354C4">
        <w:rPr>
          <w:rStyle w:val="st"/>
          <w:i/>
        </w:rPr>
        <w:t>“</w:t>
      </w:r>
      <w:r w:rsidRPr="00E354C4">
        <w:rPr>
          <w:rStyle w:val="Znakapoznpodarou"/>
          <w:i/>
        </w:rPr>
        <w:footnoteReference w:id="73"/>
      </w:r>
    </w:p>
    <w:p w14:paraId="695A0264" w14:textId="7957C389" w:rsidR="00E354C4" w:rsidRDefault="00E354C4" w:rsidP="00DC2140">
      <w:pPr>
        <w:ind w:firstLine="0"/>
        <w:rPr>
          <w:rStyle w:val="st"/>
        </w:rPr>
      </w:pPr>
      <w:r>
        <w:rPr>
          <w:rStyle w:val="st"/>
        </w:rPr>
        <w:t>Ve statistice je medián mezd</w:t>
      </w:r>
      <w:r w:rsidR="00C0152E">
        <w:rPr>
          <w:rStyle w:val="st"/>
        </w:rPr>
        <w:t xml:space="preserve"> rozdělen dle pohlaví. Statistické údaje o mediánu me</w:t>
      </w:r>
      <w:r w:rsidR="00225996">
        <w:rPr>
          <w:rStyle w:val="st"/>
        </w:rPr>
        <w:t>zd jsou zachycené za čtvrtletí.</w:t>
      </w:r>
    </w:p>
    <w:p w14:paraId="17A58515" w14:textId="0A58AC17" w:rsidR="00225996" w:rsidRPr="00E354C4" w:rsidRDefault="00225996" w:rsidP="00DC2140">
      <w:pPr>
        <w:ind w:firstLine="0"/>
        <w:rPr>
          <w:rStyle w:val="st"/>
        </w:rPr>
      </w:pPr>
      <w:r w:rsidRPr="00E354C4">
        <w:rPr>
          <w:rStyle w:val="st"/>
          <w:i/>
        </w:rPr>
        <w:t>„</w:t>
      </w:r>
      <w:r>
        <w:rPr>
          <w:rStyle w:val="Zvraznn"/>
        </w:rPr>
        <w:t>Na rozdíl od průměrné mzdy, která je vypočtena na základě podkladů z podnikového výkaznictví, je medián nutné odvozovat ze statisticko-matematického modelu na podkladě výběrového šetření, protože podnikové výkazy obsahují jen agregované údaje za celý podnik nebo organizaci.</w:t>
      </w:r>
      <w:r w:rsidRPr="00E354C4">
        <w:rPr>
          <w:rStyle w:val="st"/>
          <w:i/>
        </w:rPr>
        <w:t>“</w:t>
      </w:r>
      <w:r>
        <w:rPr>
          <w:rStyle w:val="Znakapoznpodarou"/>
        </w:rPr>
        <w:footnoteReference w:id="74"/>
      </w:r>
    </w:p>
    <w:p w14:paraId="3327C704" w14:textId="1A68681F" w:rsidR="00735E58" w:rsidRPr="00E354C4" w:rsidRDefault="00D379F1" w:rsidP="00DC2140">
      <w:pPr>
        <w:ind w:firstLine="0"/>
        <w:rPr>
          <w:i/>
        </w:rPr>
      </w:pPr>
      <w:r w:rsidRPr="00E354C4">
        <w:rPr>
          <w:i/>
        </w:rPr>
        <w:br w:type="page"/>
      </w:r>
    </w:p>
    <w:p w14:paraId="28F37800" w14:textId="475D1E4F" w:rsidR="00830DB0" w:rsidRDefault="002314EE" w:rsidP="00056404">
      <w:pPr>
        <w:pStyle w:val="Nadpis1"/>
      </w:pPr>
      <w:bookmarkStart w:id="37" w:name="_Toc15889396"/>
      <w:r>
        <w:lastRenderedPageBreak/>
        <w:t>Praktická část</w:t>
      </w:r>
      <w:bookmarkEnd w:id="37"/>
    </w:p>
    <w:p w14:paraId="1B2269B2" w14:textId="77777777" w:rsidR="00EF237F" w:rsidRPr="00661270" w:rsidRDefault="00EF237F" w:rsidP="00DC2557">
      <w:pPr>
        <w:pStyle w:val="Nadpis2"/>
      </w:pPr>
      <w:bookmarkStart w:id="38" w:name="_Toc15889397"/>
      <w:r w:rsidRPr="00661270">
        <w:t>Charakteristika Olomouckého kraje</w:t>
      </w:r>
      <w:bookmarkEnd w:id="38"/>
    </w:p>
    <w:p w14:paraId="73321B85" w14:textId="1162BE33" w:rsidR="00757321" w:rsidRDefault="00EF237F" w:rsidP="00EF237F">
      <w:pPr>
        <w:rPr>
          <w:i/>
        </w:rPr>
      </w:pPr>
      <w:r>
        <w:t>Olomoucký kraj má rozlohu 5 271,55 km</w:t>
      </w:r>
      <w:r w:rsidRPr="00DD2D5A">
        <w:rPr>
          <w:vertAlign w:val="superscript"/>
        </w:rPr>
        <w:t>2</w:t>
      </w:r>
      <w:r>
        <w:t xml:space="preserve">, což je 6,7% z celkové rozlohy České republiky. Olomoucký kraj je </w:t>
      </w:r>
      <w:r w:rsidR="00A8047E">
        <w:t xml:space="preserve">do </w:t>
      </w:r>
      <w:r w:rsidR="00A8047E" w:rsidRPr="00A8047E">
        <w:t xml:space="preserve">rozlohy </w:t>
      </w:r>
      <w:r w:rsidRPr="00A8047E">
        <w:t>12. nejmenší kraj</w:t>
      </w:r>
      <w:r>
        <w:t xml:space="preserve"> ze 14 krajů v České republice. Olomoucký kraj se rozprostírá v </w:t>
      </w:r>
      <w:r w:rsidR="00A8047E">
        <w:t>území</w:t>
      </w:r>
      <w:r>
        <w:t xml:space="preserve"> střední Moravy. </w:t>
      </w:r>
      <w:r w:rsidRPr="00431702">
        <w:rPr>
          <w:rStyle w:val="ilfuvd"/>
          <w:i/>
        </w:rPr>
        <w:t>„</w:t>
      </w:r>
      <w:r w:rsidRPr="00431702">
        <w:rPr>
          <w:i/>
        </w:rPr>
        <w:t>Člení se na pět okresů (Jeseník, Olomouc, Prostějov, Přerov a Šumperk).</w:t>
      </w:r>
      <w:r w:rsidRPr="00431702">
        <w:rPr>
          <w:rStyle w:val="ilfuvd"/>
          <w:i/>
        </w:rPr>
        <w:t>“</w:t>
      </w:r>
      <w:r w:rsidR="00757321">
        <w:rPr>
          <w:rStyle w:val="Znakapoznpodarou"/>
          <w:i/>
        </w:rPr>
        <w:footnoteReference w:id="75"/>
      </w:r>
    </w:p>
    <w:p w14:paraId="123D9541" w14:textId="6D8F7744" w:rsidR="00EF237F" w:rsidRPr="00AB732D" w:rsidRDefault="00431702" w:rsidP="00EF237F">
      <w:pPr>
        <w:rPr>
          <w:rStyle w:val="Hypertextovodkaz"/>
          <w:color w:val="auto"/>
        </w:rPr>
      </w:pPr>
      <w:r>
        <w:t xml:space="preserve">Olomoucký kraj sousedí s: </w:t>
      </w:r>
      <w:r w:rsidR="00757321" w:rsidRPr="00757321">
        <w:rPr>
          <w:rStyle w:val="st"/>
          <w:i/>
        </w:rPr>
        <w:t>„</w:t>
      </w:r>
      <w:proofErr w:type="spellStart"/>
      <w:r w:rsidRPr="00757321">
        <w:rPr>
          <w:i/>
        </w:rPr>
        <w:t>Jihomorovským</w:t>
      </w:r>
      <w:proofErr w:type="spellEnd"/>
      <w:r w:rsidRPr="00757321">
        <w:rPr>
          <w:i/>
        </w:rPr>
        <w:t xml:space="preserve"> krajem</w:t>
      </w:r>
      <w:r w:rsidR="00757321" w:rsidRPr="00757321">
        <w:rPr>
          <w:i/>
        </w:rPr>
        <w:t>, Moravskoslezským krajem, Pardubickým krajem a Zlínským krajem.</w:t>
      </w:r>
      <w:r w:rsidR="00757321">
        <w:rPr>
          <w:rStyle w:val="Znakapoznpodarou"/>
          <w:i/>
        </w:rPr>
        <w:footnoteReference w:id="76"/>
      </w:r>
      <w:r w:rsidR="00757321" w:rsidRPr="00757321">
        <w:rPr>
          <w:i/>
        </w:rPr>
        <w:t xml:space="preserve"> </w:t>
      </w:r>
      <w:r w:rsidR="00EF237F" w:rsidRPr="00757321">
        <w:t>Olomoucký kraj se pyšní velkým množstvím přírodních zajímavostí. Mezi nejnavštěvovanější patří nejvyšší hora Praděd (1 491 m. n. m.), který se nachází na severu tohoto kraje.</w:t>
      </w:r>
      <w:r w:rsidR="00757321" w:rsidRPr="00757321">
        <w:rPr>
          <w:rStyle w:val="st"/>
          <w:i/>
        </w:rPr>
        <w:t>“</w:t>
      </w:r>
      <w:r w:rsidR="00EF237F" w:rsidRPr="00757321">
        <w:rPr>
          <w:rStyle w:val="Znakapoznpodarou"/>
          <w:i/>
        </w:rPr>
        <w:footnoteReference w:id="77"/>
      </w:r>
    </w:p>
    <w:p w14:paraId="3A6C98A2" w14:textId="29511DA6" w:rsidR="00EF237F" w:rsidRDefault="00C2255B" w:rsidP="00757321">
      <w:r>
        <w:t>V Olomouckém kraji bylo</w:t>
      </w:r>
      <w:r w:rsidR="00EF237F">
        <w:t xml:space="preserve"> 402 obcí, pouze 30 obcí z </w:t>
      </w:r>
      <w:r>
        <w:t>nich je městem. Ve  městech žila</w:t>
      </w:r>
      <w:r w:rsidR="00EF237F">
        <w:t xml:space="preserve"> více než polovina obyvatel Olomou</w:t>
      </w:r>
      <w:r w:rsidR="00A8047E">
        <w:t>ckého kraje. Krajským městem je</w:t>
      </w:r>
      <w:r w:rsidR="00EF237F">
        <w:t xml:space="preserve"> město Olomouc. Zalidnění v Olomou</w:t>
      </w:r>
      <w:r w:rsidR="00EF237F" w:rsidRPr="00640E3D">
        <w:t>ckém kraji k datu 31. 12. 2017 je nižší než průměrné zalidnění v České republice. Průměrné zalidnění v tomto kraji je 120,1 žijících obyvatel na 1 km</w:t>
      </w:r>
      <w:r w:rsidR="00EF237F" w:rsidRPr="00640E3D">
        <w:rPr>
          <w:vertAlign w:val="superscript"/>
        </w:rPr>
        <w:t>2</w:t>
      </w:r>
      <w:r w:rsidR="00EF237F" w:rsidRPr="00640E3D">
        <w:t>, v České republice je průměr 134,5 osob na km</w:t>
      </w:r>
      <w:r w:rsidR="00EF237F" w:rsidRPr="00640E3D">
        <w:rPr>
          <w:vertAlign w:val="superscript"/>
        </w:rPr>
        <w:t>2</w:t>
      </w:r>
      <w:r w:rsidR="00EF237F" w:rsidRPr="00640E3D">
        <w:t xml:space="preserve">. Tento průměr je značně ovlivněn okresem Jeseník, který má </w:t>
      </w:r>
      <w:r w:rsidR="00EF237F" w:rsidRPr="006143C0">
        <w:t>nejméně obyvatel žijících na km</w:t>
      </w:r>
      <w:r w:rsidR="00EF237F" w:rsidRPr="006143C0">
        <w:rPr>
          <w:vertAlign w:val="superscript"/>
        </w:rPr>
        <w:t>2</w:t>
      </w:r>
      <w:r w:rsidR="00EF237F" w:rsidRPr="006143C0">
        <w:t xml:space="preserve">. Dalším ovlivňujícím faktorem hustoty zalidnění je porodnost dětí. V Olomouckém kraji roste počet obyvatel ve věku 65 let, tímto jevem dochází ke zvýšení průměrného věku lidí. Ke dni 31. 12. 2017 je průměrný věk obyvatel kraje 42,6 let. </w:t>
      </w:r>
      <w:r w:rsidR="00A8047E">
        <w:t xml:space="preserve">Ke konci </w:t>
      </w:r>
      <w:r w:rsidR="00A8047E" w:rsidRPr="00A8047E">
        <w:t>roku v</w:t>
      </w:r>
      <w:r w:rsidR="00EF237F" w:rsidRPr="00A8047E">
        <w:t> Olomouckém kraji umřelo více lidí, než se narodilo.</w:t>
      </w:r>
      <w:r w:rsidR="00EF237F" w:rsidRPr="006143C0">
        <w:t xml:space="preserve"> Ekonomicky aktivníc</w:t>
      </w:r>
      <w:r w:rsidR="00A8047E">
        <w:t>h obyvatel v Olomouckém kraji bylo</w:t>
      </w:r>
      <w:r>
        <w:t xml:space="preserve"> evidováno</w:t>
      </w:r>
      <w:r w:rsidR="00EF237F" w:rsidRPr="006143C0">
        <w:t xml:space="preserve"> 314,5 </w:t>
      </w:r>
      <w:r>
        <w:t xml:space="preserve">tisíc </w:t>
      </w:r>
      <w:r w:rsidR="00A8047E" w:rsidRPr="00C2255B">
        <w:t xml:space="preserve">ke konci </w:t>
      </w:r>
      <w:r w:rsidR="00EF237F" w:rsidRPr="00C2255B">
        <w:t>roku 2017</w:t>
      </w:r>
      <w:r w:rsidR="00011E64">
        <w:t>.</w:t>
      </w:r>
      <w:r w:rsidR="00EF237F">
        <w:rPr>
          <w:rStyle w:val="Znakapoznpodarou"/>
        </w:rPr>
        <w:footnoteReference w:id="78"/>
      </w:r>
    </w:p>
    <w:p w14:paraId="6CB45D6C" w14:textId="06CEB1B8" w:rsidR="00EF237F" w:rsidRDefault="00C2255B" w:rsidP="00EF237F">
      <w:pPr>
        <w:rPr>
          <w:rStyle w:val="ilfuvd"/>
        </w:rPr>
      </w:pPr>
      <w:r>
        <w:t>Z ekonomického hlediska v Olomouckém kraji je</w:t>
      </w:r>
      <w:r w:rsidR="00EF237F" w:rsidRPr="00640E3D">
        <w:t xml:space="preserve"> nabízeno mnoho služeb od množství firem.</w:t>
      </w:r>
      <w:r w:rsidR="00EF237F">
        <w:t xml:space="preserve"> Olomoucký kraj je také úrodným krajem. </w:t>
      </w:r>
      <w:r w:rsidR="00EF237F">
        <w:rPr>
          <w:rStyle w:val="ilfuvd"/>
        </w:rPr>
        <w:t>„</w:t>
      </w:r>
      <w:r w:rsidR="00EF237F" w:rsidRPr="004A39ED">
        <w:rPr>
          <w:i/>
        </w:rPr>
        <w:t>Průměrné výnosy pěstovaných plodin – ječmene jarního, pšenice ozimé i technické cukrovky dosahují v celé ČR nejvyšších hodnot.</w:t>
      </w:r>
      <w:r w:rsidR="00354752">
        <w:rPr>
          <w:rStyle w:val="ilfuvd"/>
        </w:rPr>
        <w:t>“</w:t>
      </w:r>
      <w:r w:rsidR="00EF237F">
        <w:rPr>
          <w:rStyle w:val="Znakapoznpodarou"/>
        </w:rPr>
        <w:footnoteReference w:id="79"/>
      </w:r>
    </w:p>
    <w:p w14:paraId="7003625A" w14:textId="77777777" w:rsidR="00354752" w:rsidRDefault="00354752">
      <w:pPr>
        <w:spacing w:after="200" w:line="276" w:lineRule="auto"/>
        <w:ind w:firstLine="0"/>
        <w:jc w:val="left"/>
        <w:rPr>
          <w:rStyle w:val="ilfuvd"/>
        </w:rPr>
      </w:pPr>
      <w:r>
        <w:rPr>
          <w:rStyle w:val="ilfuvd"/>
        </w:rPr>
        <w:br w:type="page"/>
      </w:r>
    </w:p>
    <w:p w14:paraId="2FE69551" w14:textId="4FEDD25D" w:rsidR="00B50D2F" w:rsidRPr="00354752" w:rsidRDefault="00EF237F" w:rsidP="00354752">
      <w:pPr>
        <w:rPr>
          <w:rStyle w:val="ilfuvd"/>
        </w:rPr>
      </w:pPr>
      <w:r w:rsidRPr="00640E3D">
        <w:rPr>
          <w:rStyle w:val="ilfuvd"/>
        </w:rPr>
        <w:lastRenderedPageBreak/>
        <w:t>V oblasti průmyslu bylo v roce 2017 evidováno v Olomouckém kraji 157 podniků, které se mohou pyšnit svými výnosy za poskytované statky. Tyto výnosy v roce 2017 činily 136 599 mil. Kč. V roce 2017 je také evidováno 16 firem, které podnikají ve stavebnictví. Zisk těchto firem za rok 2017 byl 322 mil. Kč. V Olomouckém kraji jsou i firmy nabízející ubytování k 31. 12. 2017 bylo evid</w:t>
      </w:r>
      <w:r w:rsidR="00354752">
        <w:rPr>
          <w:rStyle w:val="ilfuvd"/>
        </w:rPr>
        <w:t xml:space="preserve">ováno 455 ubytovacích zařízení. </w:t>
      </w:r>
      <w:r w:rsidRPr="00640E3D">
        <w:rPr>
          <w:rStyle w:val="ilfuvd"/>
        </w:rPr>
        <w:t>V evidenci pro rok 2017 je zapsáno přes 142 tisíc firem a organizací</w:t>
      </w:r>
      <w:r w:rsidRPr="00640E3D">
        <w:rPr>
          <w:rStyle w:val="ilfuvd"/>
          <w:vertAlign w:val="superscript"/>
        </w:rPr>
        <w:t>.</w:t>
      </w:r>
      <w:r>
        <w:rPr>
          <w:rStyle w:val="Znakapoznpodarou"/>
        </w:rPr>
        <w:footnoteReference w:id="80"/>
      </w:r>
      <w:r w:rsidR="00B05FCA" w:rsidRPr="00B05FCA">
        <w:rPr>
          <w:rStyle w:val="ilfuvd"/>
        </w:rPr>
        <w:t xml:space="preserve"> </w:t>
      </w:r>
      <w:r w:rsidR="00B05FCA">
        <w:rPr>
          <w:rStyle w:val="ilfuvd"/>
        </w:rPr>
        <w:t>V Olomouckém kraji byl v roce 2017 evidován hrubý domácí produkt na jednoho obyvatele ve výši 373 727 Kč.</w:t>
      </w:r>
      <w:r w:rsidR="00B05FCA">
        <w:rPr>
          <w:rStyle w:val="Znakapoznpodarou"/>
        </w:rPr>
        <w:footnoteReference w:id="81"/>
      </w:r>
    </w:p>
    <w:p w14:paraId="0359E89F" w14:textId="70CE2822" w:rsidR="00EF237F" w:rsidRPr="00B50D2F" w:rsidRDefault="00EF237F" w:rsidP="00DC2557">
      <w:pPr>
        <w:pStyle w:val="Nadpis2"/>
        <w:rPr>
          <w:vertAlign w:val="superscript"/>
        </w:rPr>
      </w:pPr>
      <w:r>
        <w:br w:type="page"/>
      </w:r>
      <w:bookmarkStart w:id="39" w:name="_Toc15889398"/>
      <w:r w:rsidRPr="007028D6">
        <w:lastRenderedPageBreak/>
        <w:t>Charakteristika Středočeského kraje</w:t>
      </w:r>
      <w:bookmarkEnd w:id="39"/>
    </w:p>
    <w:p w14:paraId="3B5F375A" w14:textId="1EA573CA" w:rsidR="00C2255B" w:rsidRDefault="00EF237F" w:rsidP="00EF237F">
      <w:r>
        <w:t xml:space="preserve">Středočeský kraj je největším </w:t>
      </w:r>
      <w:r w:rsidRPr="00640E3D">
        <w:t>krajem republiky,</w:t>
      </w:r>
      <w:r>
        <w:t xml:space="preserve"> jeho rozloha k 1. 1. 2017 byla vyměřená na 10 299 km</w:t>
      </w:r>
      <w:r w:rsidRPr="00A65E6E">
        <w:rPr>
          <w:vertAlign w:val="superscript"/>
        </w:rPr>
        <w:t>2</w:t>
      </w:r>
      <w:r>
        <w:t xml:space="preserve">. </w:t>
      </w:r>
      <w:r w:rsidR="00C2255B">
        <w:t>Středočeský kraj sousedí s hlavním městem České republiky</w:t>
      </w:r>
      <w:r>
        <w:t>. Dalšími so</w:t>
      </w:r>
      <w:r w:rsidR="00BB43CA">
        <w:t>usedícími kraji jsou</w:t>
      </w:r>
      <w:r>
        <w:t>: Vysočina, Plzeňský, Karlovarský, Ústecký, Liberecký, Královehradecký a Pardubický kraj.</w:t>
      </w:r>
      <w:r w:rsidR="00FA040F">
        <w:rPr>
          <w:rStyle w:val="Znakapoznpodarou"/>
        </w:rPr>
        <w:footnoteReference w:id="82"/>
      </w:r>
      <w:r w:rsidR="00363BF2">
        <w:t xml:space="preserve"> Středočeský kraj se člení na 12 okresů: </w:t>
      </w:r>
      <w:r w:rsidR="00363BF2" w:rsidRPr="00363BF2">
        <w:rPr>
          <w:rStyle w:val="st"/>
          <w:i/>
        </w:rPr>
        <w:t>„</w:t>
      </w:r>
      <w:r w:rsidR="00363BF2">
        <w:rPr>
          <w:rStyle w:val="st"/>
          <w:i/>
        </w:rPr>
        <w:t>Benešov, Beroun, Kladno, Kolín, Kutná Hora, Mělník, Mladá Boleslav, Nymburk, Praha – východ, Praha – západ, Příbram, Rakovník.</w:t>
      </w:r>
      <w:r w:rsidR="00363BF2" w:rsidRPr="00363BF2">
        <w:rPr>
          <w:rStyle w:val="st"/>
          <w:i/>
        </w:rPr>
        <w:t>“</w:t>
      </w:r>
      <w:r w:rsidR="00363BF2">
        <w:rPr>
          <w:rStyle w:val="Znakapoznpodarou"/>
          <w:i/>
        </w:rPr>
        <w:footnoteReference w:id="83"/>
      </w:r>
    </w:p>
    <w:p w14:paraId="2B3DD083" w14:textId="4D8EF50E" w:rsidR="00EF237F" w:rsidRDefault="00EF237F" w:rsidP="00EF237F">
      <w:pPr>
        <w:rPr>
          <w:rStyle w:val="st"/>
          <w:vertAlign w:val="superscript"/>
        </w:rPr>
      </w:pPr>
      <w:r>
        <w:t xml:space="preserve">Nejvyšším místem, které se nachází ve Středočeském kraji </w:t>
      </w:r>
      <w:r>
        <w:rPr>
          <w:rStyle w:val="st"/>
        </w:rPr>
        <w:t>„</w:t>
      </w:r>
      <w:r w:rsidRPr="00F344B4">
        <w:rPr>
          <w:i/>
        </w:rPr>
        <w:t>je vrchol brdských hřebenů Tok</w:t>
      </w:r>
      <w:r>
        <w:rPr>
          <w:rStyle w:val="st"/>
        </w:rPr>
        <w:t>“, který má výšku 865 m. n. m. Středočeský kraj lze rozčlenit na 12 okresů. K </w:t>
      </w:r>
      <w:r w:rsidRPr="00640E3D">
        <w:rPr>
          <w:rStyle w:val="st"/>
        </w:rPr>
        <w:t>datu 1. 1. 2017</w:t>
      </w:r>
      <w:r>
        <w:rPr>
          <w:rStyle w:val="st"/>
        </w:rPr>
        <w:t xml:space="preserve"> </w:t>
      </w:r>
      <w:r w:rsidR="00BB43CA">
        <w:rPr>
          <w:rStyle w:val="st"/>
        </w:rPr>
        <w:t xml:space="preserve">v kraji </w:t>
      </w:r>
      <w:r>
        <w:rPr>
          <w:rStyle w:val="st"/>
        </w:rPr>
        <w:t>bylo evidováno 1 144 obcí. Nejvíce obcí se rozkládá v okresu Příbram a Mladé Boleslavi. V okrese Mělník je nejméně obcí ve Středočeském kraji. K datu 30. 9. 2017 je evidováno 1 348 840 žijících lidí v kraji. Hustota zalidnění je vysoká, protože Středočeský kraj je nejlidnatějším krajem, který se v České republice nachází. Tato hustota je ve výši 123 obyvatel na km</w:t>
      </w:r>
      <w:r w:rsidRPr="00850619">
        <w:rPr>
          <w:rStyle w:val="st"/>
          <w:vertAlign w:val="superscript"/>
        </w:rPr>
        <w:t>2</w:t>
      </w:r>
      <w:r>
        <w:rPr>
          <w:rStyle w:val="st"/>
        </w:rPr>
        <w:t>.</w:t>
      </w:r>
      <w:r>
        <w:rPr>
          <w:rStyle w:val="Znakapoznpodarou"/>
        </w:rPr>
        <w:footnoteReference w:id="84"/>
      </w:r>
    </w:p>
    <w:p w14:paraId="7D7506A1" w14:textId="77777777" w:rsidR="00EF237F" w:rsidRPr="00781C97" w:rsidRDefault="00EF237F" w:rsidP="00EF237F">
      <w:pPr>
        <w:rPr>
          <w:rStyle w:val="st"/>
          <w:vertAlign w:val="superscript"/>
        </w:rPr>
      </w:pPr>
      <w:r w:rsidRPr="006143C0">
        <w:rPr>
          <w:rStyle w:val="st"/>
        </w:rPr>
        <w:t>Nejméně obyvatel bylo ke dni 31. 12. 2017 evidováno v okrese Rakovník ve výši</w:t>
      </w:r>
      <w:r>
        <w:rPr>
          <w:rStyle w:val="st"/>
        </w:rPr>
        <w:br/>
      </w:r>
      <w:r w:rsidRPr="006143C0">
        <w:rPr>
          <w:rStyle w:val="st"/>
        </w:rPr>
        <w:t xml:space="preserve"> 55 407.</w:t>
      </w:r>
      <w:r>
        <w:rPr>
          <w:rStyle w:val="Znakapoznpodarou"/>
        </w:rPr>
        <w:footnoteReference w:id="85"/>
      </w:r>
      <w:r>
        <w:rPr>
          <w:rStyle w:val="st"/>
          <w:vertAlign w:val="superscript"/>
        </w:rPr>
        <w:t xml:space="preserve"> </w:t>
      </w:r>
      <w:r>
        <w:rPr>
          <w:rStyle w:val="st"/>
        </w:rPr>
        <w:t>Demografie kraje dosáhla vysokého rozkvětu v devadesátých letech 20. století n. l., protože zde vznikly nové obytné celky</w:t>
      </w:r>
      <w:r w:rsidRPr="002609AB">
        <w:rPr>
          <w:rStyle w:val="st"/>
        </w:rPr>
        <w:t xml:space="preserve">, které byly vystavěny v okolí hlavního města Prahy. </w:t>
      </w:r>
    </w:p>
    <w:p w14:paraId="0D8C54EA" w14:textId="7A69016B" w:rsidR="00EF237F" w:rsidRPr="002609AB" w:rsidRDefault="00EF237F" w:rsidP="00EF237F">
      <w:pPr>
        <w:shd w:val="clear" w:color="auto" w:fill="FFFFFF" w:themeFill="background1"/>
        <w:rPr>
          <w:rStyle w:val="st"/>
          <w:strike/>
        </w:rPr>
      </w:pPr>
      <w:r w:rsidRPr="00C83BF7">
        <w:rPr>
          <w:rStyle w:val="st"/>
        </w:rPr>
        <w:t>Do Středočeského kraje se s</w:t>
      </w:r>
      <w:r w:rsidRPr="002609AB">
        <w:rPr>
          <w:rStyle w:val="st"/>
        </w:rPr>
        <w:t>těhují mladí lidé, protože nabízí mnoho pracovních míst, nebo využívají snadnou dostupnost do Prahy.</w:t>
      </w:r>
    </w:p>
    <w:p w14:paraId="695949A3" w14:textId="47F29912" w:rsidR="0015011E" w:rsidRDefault="00EF237F" w:rsidP="0015011E">
      <w:pPr>
        <w:rPr>
          <w:rStyle w:val="st"/>
        </w:rPr>
      </w:pPr>
      <w:r w:rsidRPr="002609AB">
        <w:rPr>
          <w:rStyle w:val="st"/>
        </w:rPr>
        <w:t xml:space="preserve">Průměrný věk obyvatelstva byl </w:t>
      </w:r>
      <w:r w:rsidR="00354752">
        <w:rPr>
          <w:rStyle w:val="st"/>
        </w:rPr>
        <w:t>vypočítán</w:t>
      </w:r>
      <w:r w:rsidRPr="002609AB">
        <w:rPr>
          <w:rStyle w:val="st"/>
        </w:rPr>
        <w:t xml:space="preserve"> na 41 let. V roce 2015 se tento průměr vychýlil, protože dle statistiky bylo více starších lidí 65 let a více, n</w:t>
      </w:r>
      <w:r w:rsidR="00FA040F">
        <w:rPr>
          <w:rStyle w:val="st"/>
        </w:rPr>
        <w:t xml:space="preserve">ež žijících jedinců ve věku do </w:t>
      </w:r>
      <w:r w:rsidR="0015011E">
        <w:rPr>
          <w:rStyle w:val="st"/>
        </w:rPr>
        <w:t xml:space="preserve">14 let. </w:t>
      </w:r>
      <w:r>
        <w:rPr>
          <w:rStyle w:val="st"/>
        </w:rPr>
        <w:t xml:space="preserve">Středočeský kraj je nejvíce propleten dopravními sítěmi v zemi. Ve Středočeském kraji funguje i vodní doprava, protože tímto krajem protéká řeka Labe a Vltava. </w:t>
      </w:r>
      <w:r w:rsidR="00354752">
        <w:rPr>
          <w:rStyle w:val="st"/>
        </w:rPr>
        <w:t xml:space="preserve">Průmysl ve Středočeském kraji je rozvinutý. </w:t>
      </w:r>
      <w:r>
        <w:rPr>
          <w:rStyle w:val="st"/>
        </w:rPr>
        <w:t>V zemědělství kraj exceluje v pěstování pšenice, ječmene al</w:t>
      </w:r>
      <w:r w:rsidR="0015011E">
        <w:rPr>
          <w:rStyle w:val="st"/>
        </w:rPr>
        <w:t>e i zeleniny.</w:t>
      </w:r>
      <w:r w:rsidR="0015011E">
        <w:rPr>
          <w:rStyle w:val="Znakapoznpodarou"/>
        </w:rPr>
        <w:footnoteReference w:id="86"/>
      </w:r>
    </w:p>
    <w:p w14:paraId="1B1CF000" w14:textId="77777777" w:rsidR="0015011E" w:rsidRDefault="0015011E">
      <w:pPr>
        <w:spacing w:after="200" w:line="276" w:lineRule="auto"/>
        <w:ind w:firstLine="0"/>
        <w:jc w:val="left"/>
        <w:rPr>
          <w:rStyle w:val="st"/>
        </w:rPr>
      </w:pPr>
      <w:r>
        <w:rPr>
          <w:rStyle w:val="st"/>
        </w:rPr>
        <w:br w:type="page"/>
      </w:r>
    </w:p>
    <w:p w14:paraId="4D92E1AB" w14:textId="045E7A0F" w:rsidR="00EF237F" w:rsidRPr="0015011E" w:rsidRDefault="00EF237F" w:rsidP="0015011E">
      <w:pPr>
        <w:rPr>
          <w:rStyle w:val="st"/>
        </w:rPr>
      </w:pPr>
      <w:r>
        <w:rPr>
          <w:rStyle w:val="st"/>
        </w:rPr>
        <w:lastRenderedPageBreak/>
        <w:t xml:space="preserve">Hlavním průmyslem ve Středočeském kraji je průmysl strojírenský, který </w:t>
      </w:r>
      <w:r w:rsidR="00FA040F">
        <w:rPr>
          <w:rStyle w:val="st"/>
        </w:rPr>
        <w:t>je</w:t>
      </w:r>
      <w:r>
        <w:rPr>
          <w:rStyle w:val="st"/>
        </w:rPr>
        <w:t xml:space="preserve"> pře</w:t>
      </w:r>
      <w:r w:rsidR="00FA040F">
        <w:rPr>
          <w:rStyle w:val="st"/>
        </w:rPr>
        <w:t>vážně v Mladé Boleslavi, kde je</w:t>
      </w:r>
      <w:r>
        <w:rPr>
          <w:rStyle w:val="st"/>
        </w:rPr>
        <w:t xml:space="preserve"> automobilka ŠKODA AUTO a. s. </w:t>
      </w:r>
      <w:r w:rsidRPr="002609AB">
        <w:rPr>
          <w:rStyle w:val="st"/>
        </w:rPr>
        <w:t xml:space="preserve">Dalšími odvětvími průmyslu, která mohou za rozmach kraje, jsou chemický a potravinářský průmysl. </w:t>
      </w:r>
      <w:r w:rsidR="00FA040F">
        <w:rPr>
          <w:rStyle w:val="st"/>
        </w:rPr>
        <w:t xml:space="preserve">Ve Středočeském </w:t>
      </w:r>
      <w:r w:rsidR="00FA040F" w:rsidRPr="00FA040F">
        <w:rPr>
          <w:rStyle w:val="st"/>
        </w:rPr>
        <w:t>kraji</w:t>
      </w:r>
      <w:r w:rsidRPr="00FA040F">
        <w:rPr>
          <w:rStyle w:val="st"/>
        </w:rPr>
        <w:t xml:space="preserve"> rozvinutý turismus</w:t>
      </w:r>
      <w:r w:rsidRPr="006143C0">
        <w:rPr>
          <w:rStyle w:val="st"/>
        </w:rPr>
        <w:t xml:space="preserve">, protože se zde nachází významné památky (Kutná Hora, zámek </w:t>
      </w:r>
      <w:r w:rsidR="00B668D2">
        <w:rPr>
          <w:rStyle w:val="st"/>
        </w:rPr>
        <w:br/>
      </w:r>
      <w:r w:rsidRPr="006143C0">
        <w:rPr>
          <w:rStyle w:val="st"/>
        </w:rPr>
        <w:t>a park P</w:t>
      </w:r>
      <w:r w:rsidR="00FA040F">
        <w:rPr>
          <w:rStyle w:val="st"/>
        </w:rPr>
        <w:t>růhonice a dalš</w:t>
      </w:r>
      <w:r w:rsidR="00FA040F" w:rsidRPr="00FA040F">
        <w:rPr>
          <w:rStyle w:val="st"/>
        </w:rPr>
        <w:t>í).</w:t>
      </w:r>
      <w:r w:rsidRPr="00FA040F">
        <w:rPr>
          <w:rStyle w:val="Znakapoznpodarou"/>
          <w:color w:val="000000" w:themeColor="text1"/>
        </w:rPr>
        <w:footnoteReference w:id="87"/>
      </w:r>
      <w:r w:rsidR="00965142">
        <w:rPr>
          <w:rStyle w:val="st"/>
        </w:rPr>
        <w:t xml:space="preserve"> V roce 2017 byl ve Středočeském kraji evidován hrubý domácí produkt na obyvatele ve výši 445 710 Kč.</w:t>
      </w:r>
      <w:r w:rsidR="00965142">
        <w:rPr>
          <w:rStyle w:val="Znakapoznpodarou"/>
        </w:rPr>
        <w:footnoteReference w:id="88"/>
      </w:r>
    </w:p>
    <w:p w14:paraId="5338C40E" w14:textId="77777777" w:rsidR="00EF237F" w:rsidRDefault="00EF237F" w:rsidP="00EF237F">
      <w:pPr>
        <w:spacing w:after="200" w:line="276" w:lineRule="auto"/>
        <w:ind w:firstLine="0"/>
        <w:jc w:val="left"/>
      </w:pPr>
      <w:r>
        <w:br w:type="page"/>
      </w:r>
    </w:p>
    <w:p w14:paraId="2062CB72" w14:textId="6A335569" w:rsidR="00EF237F" w:rsidRPr="00AC0E2E" w:rsidRDefault="00EF237F" w:rsidP="00DC2557">
      <w:pPr>
        <w:pStyle w:val="Nadpis2"/>
      </w:pPr>
      <w:bookmarkStart w:id="40" w:name="_Toc15889399"/>
      <w:r>
        <w:lastRenderedPageBreak/>
        <w:t>Vývoj obecné míry nezaměstnanosti v Olomouckém kraji</w:t>
      </w:r>
      <w:bookmarkEnd w:id="40"/>
    </w:p>
    <w:p w14:paraId="09238D23" w14:textId="24797FC9" w:rsidR="00EF237F" w:rsidRDefault="00EF237F" w:rsidP="00EF237F">
      <w:r>
        <w:t xml:space="preserve">V následující tabulce  č. 1 lze vidět vývoj míry nezaměstnanosti v Olomouckém kraji. Vývoj míry nezaměstnanosti je nesmírně živý. </w:t>
      </w:r>
      <w:r w:rsidRPr="002609AB">
        <w:t>Podle tabulky č. 1 je patrné, že největší nezaměstnanost byla v roce 20</w:t>
      </w:r>
      <w:r>
        <w:t>13</w:t>
      </w:r>
      <w:r w:rsidRPr="002609AB">
        <w:t>, kdy se obecná m</w:t>
      </w:r>
      <w:r>
        <w:t>íra nezaměstnanosti vyšplhala</w:t>
      </w:r>
      <w:r w:rsidRPr="002609AB">
        <w:t xml:space="preserve"> na </w:t>
      </w:r>
      <w:r>
        <w:t>9,2</w:t>
      </w:r>
      <w:r w:rsidRPr="002609AB">
        <w:t xml:space="preserve">%. </w:t>
      </w:r>
      <w:r>
        <w:t xml:space="preserve">Na obecnou míru nezaměstnanosti v roce 2013 měly vliv recese v předchozích obdobích. Na trhu práce v Olomouckém kraji vzniká poptávka domácnostmi (jedinci) po zaměstnání. </w:t>
      </w:r>
      <w:r w:rsidRPr="002609AB">
        <w:t>Dalším kritickým r</w:t>
      </w:r>
      <w:r>
        <w:t>okem pro úřad práce byl rok 2014,</w:t>
      </w:r>
      <w:r w:rsidRPr="00EF237F">
        <w:rPr>
          <w:color w:val="000000" w:themeColor="text1"/>
        </w:rPr>
        <w:t xml:space="preserve"> kdy </w:t>
      </w:r>
      <w:r>
        <w:t xml:space="preserve">obecná míra nezaměstnanosti byla 7,7 %. Obecná míra nezaměstnanosti v Olomouckém kraji se snížila o 1,5%. V roce 2015 se obecná míra nezaměstnanosti snížila o 1,8%. V roce 2016 došlo ke znatelnému snížení uchazečů na úřadě práce, protože obecná míra nezaměstnanosti se snížila o 2,2%. Dle tabulky č. 1 byla obecná míra nezaměstnanosti v Olomouckém </w:t>
      </w:r>
      <w:r w:rsidRPr="00796950">
        <w:t xml:space="preserve">kraji </w:t>
      </w:r>
      <w:r w:rsidRPr="00796950">
        <w:rPr>
          <w:color w:val="000000" w:themeColor="text1"/>
        </w:rPr>
        <w:t xml:space="preserve">3,7 </w:t>
      </w:r>
      <w:r w:rsidRPr="00796950">
        <w:t>%.</w:t>
      </w:r>
      <w:r>
        <w:t xml:space="preserve"> Na trhu práce začala vznikat poptávka fi</w:t>
      </w:r>
      <w:r w:rsidRPr="00EF237F">
        <w:rPr>
          <w:color w:val="000000" w:themeColor="text1"/>
        </w:rPr>
        <w:t>rem</w:t>
      </w:r>
      <w:r w:rsidR="00D51462">
        <w:t xml:space="preserve"> po zaměstnancích.</w:t>
      </w:r>
    </w:p>
    <w:p w14:paraId="33EA3E73" w14:textId="77777777" w:rsidR="00EF237F" w:rsidRPr="002F5537" w:rsidRDefault="00EF237F" w:rsidP="00EF237F">
      <w:pPr>
        <w:spacing w:after="240"/>
      </w:pPr>
      <w:r w:rsidRPr="002609AB">
        <w:t>Nejnižší obecná míra nezaměst</w:t>
      </w:r>
      <w:r>
        <w:t>nanosti za období 2013–2017 byla</w:t>
      </w:r>
      <w:r w:rsidRPr="002609AB">
        <w:t xml:space="preserve"> v Olomouckém kraji v roce 2017, kdy obecná míra nezaměstnanosti dosah</w:t>
      </w:r>
      <w:r w:rsidRPr="00EF237F">
        <w:rPr>
          <w:color w:val="000000" w:themeColor="text1"/>
        </w:rPr>
        <w:t xml:space="preserve">ovala </w:t>
      </w:r>
      <w:r w:rsidRPr="002609AB">
        <w:t>výše 3,1 %.</w:t>
      </w:r>
    </w:p>
    <w:p w14:paraId="3C6A873D" w14:textId="731150C7" w:rsidR="00EF237F" w:rsidRPr="006C15B9" w:rsidRDefault="00EF237F" w:rsidP="00EF237F">
      <w:pPr>
        <w:pStyle w:val="Titulek"/>
        <w:keepNext/>
        <w:ind w:firstLine="0"/>
        <w:rPr>
          <w:color w:val="auto"/>
          <w:sz w:val="20"/>
        </w:rPr>
      </w:pPr>
      <w:bookmarkStart w:id="41" w:name="_Toc15639646"/>
      <w:r w:rsidRPr="006C15B9">
        <w:rPr>
          <w:color w:val="auto"/>
          <w:sz w:val="20"/>
        </w:rPr>
        <w:t xml:space="preserve">Tabulka </w:t>
      </w:r>
      <w:r w:rsidRPr="006C15B9">
        <w:rPr>
          <w:color w:val="auto"/>
          <w:sz w:val="20"/>
        </w:rPr>
        <w:fldChar w:fldCharType="begin"/>
      </w:r>
      <w:r w:rsidRPr="006C15B9">
        <w:rPr>
          <w:color w:val="auto"/>
          <w:sz w:val="20"/>
        </w:rPr>
        <w:instrText xml:space="preserve"> SEQ Tabulka \* ARABIC </w:instrText>
      </w:r>
      <w:r w:rsidRPr="006C15B9">
        <w:rPr>
          <w:color w:val="auto"/>
          <w:sz w:val="20"/>
        </w:rPr>
        <w:fldChar w:fldCharType="separate"/>
      </w:r>
      <w:r w:rsidR="00343D89">
        <w:rPr>
          <w:noProof/>
          <w:color w:val="auto"/>
          <w:sz w:val="20"/>
        </w:rPr>
        <w:t>1</w:t>
      </w:r>
      <w:r w:rsidRPr="006C15B9">
        <w:rPr>
          <w:color w:val="auto"/>
          <w:sz w:val="20"/>
        </w:rPr>
        <w:fldChar w:fldCharType="end"/>
      </w:r>
      <w:r w:rsidRPr="006C15B9">
        <w:rPr>
          <w:color w:val="auto"/>
          <w:sz w:val="20"/>
        </w:rPr>
        <w:t xml:space="preserve"> Vývoj nezaměstnanosti </w:t>
      </w:r>
      <w:r>
        <w:rPr>
          <w:color w:val="auto"/>
          <w:sz w:val="20"/>
        </w:rPr>
        <w:t>v Olomouckém kraji v období 2013 – 2017</w:t>
      </w:r>
      <w:bookmarkEnd w:id="41"/>
    </w:p>
    <w:tbl>
      <w:tblPr>
        <w:tblW w:w="4948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365"/>
        <w:gridCol w:w="365"/>
        <w:gridCol w:w="365"/>
        <w:gridCol w:w="365"/>
        <w:gridCol w:w="365"/>
      </w:tblGrid>
      <w:tr w:rsidR="00EF237F" w:rsidRPr="00477568" w14:paraId="55AF1556" w14:textId="77777777" w:rsidTr="00EF237F">
        <w:trPr>
          <w:cantSplit/>
          <w:trHeight w:val="438"/>
        </w:trPr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2F13F" w14:textId="77777777" w:rsidR="00EF237F" w:rsidRPr="00477568" w:rsidRDefault="00EF237F" w:rsidP="00EF237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DDFAC" w14:textId="77777777" w:rsidR="00EF237F" w:rsidRPr="00477568" w:rsidRDefault="00EF237F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2013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A7E88" w14:textId="77777777" w:rsidR="00EF237F" w:rsidRPr="00477568" w:rsidRDefault="00EF237F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2014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51853" w14:textId="77777777" w:rsidR="00EF237F" w:rsidRPr="00477568" w:rsidRDefault="00EF237F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2015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30358" w14:textId="77777777" w:rsidR="00EF237F" w:rsidRPr="00477568" w:rsidRDefault="00EF237F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2016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73FC9E" w14:textId="77777777" w:rsidR="00EF237F" w:rsidRPr="00477568" w:rsidRDefault="00EF237F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2017</w:t>
            </w:r>
          </w:p>
        </w:tc>
      </w:tr>
      <w:tr w:rsidR="00EF237F" w:rsidRPr="00477568" w14:paraId="01793E01" w14:textId="77777777" w:rsidTr="00EF237F">
        <w:trPr>
          <w:trHeight w:val="438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5936" w14:textId="77777777" w:rsidR="00EF237F" w:rsidRPr="00477568" w:rsidRDefault="00EF237F" w:rsidP="00EF237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77568">
              <w:rPr>
                <w:b/>
                <w:bCs/>
                <w:color w:val="000000"/>
                <w:sz w:val="22"/>
              </w:rPr>
              <w:t>Míra nezaměstnanosti</w:t>
            </w:r>
            <w:r>
              <w:rPr>
                <w:b/>
                <w:bCs/>
                <w:color w:val="000000"/>
                <w:sz w:val="22"/>
              </w:rPr>
              <w:t xml:space="preserve"> vyjádřena v %</w:t>
            </w:r>
            <w:r w:rsidRPr="00477568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45B4" w14:textId="77777777" w:rsidR="00EF237F" w:rsidRPr="00477568" w:rsidRDefault="00EF237F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477568">
              <w:rPr>
                <w:color w:val="000000"/>
                <w:sz w:val="18"/>
                <w:szCs w:val="22"/>
              </w:rPr>
              <w:t>9,2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0978" w14:textId="77777777" w:rsidR="00EF237F" w:rsidRPr="00477568" w:rsidRDefault="00EF237F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477568">
              <w:rPr>
                <w:color w:val="000000"/>
                <w:sz w:val="18"/>
                <w:szCs w:val="22"/>
              </w:rPr>
              <w:t>7,7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1CD4" w14:textId="77777777" w:rsidR="00EF237F" w:rsidRPr="00477568" w:rsidRDefault="00EF237F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477568">
              <w:rPr>
                <w:color w:val="000000"/>
                <w:sz w:val="18"/>
                <w:szCs w:val="22"/>
              </w:rPr>
              <w:t>5,9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E1DC" w14:textId="77777777" w:rsidR="00EF237F" w:rsidRPr="00477568" w:rsidRDefault="00EF237F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477568">
              <w:rPr>
                <w:color w:val="000000"/>
                <w:sz w:val="18"/>
                <w:szCs w:val="22"/>
              </w:rPr>
              <w:t>3,7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7DAD" w14:textId="77777777" w:rsidR="00EF237F" w:rsidRPr="00477568" w:rsidRDefault="00EF237F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477568">
              <w:rPr>
                <w:color w:val="000000"/>
                <w:sz w:val="18"/>
                <w:szCs w:val="22"/>
              </w:rPr>
              <w:t>3,1</w:t>
            </w:r>
          </w:p>
        </w:tc>
      </w:tr>
    </w:tbl>
    <w:p w14:paraId="234C4BE9" w14:textId="77777777" w:rsidR="00EF237F" w:rsidRPr="00A7112A" w:rsidRDefault="00EF237F" w:rsidP="00EF237F">
      <w:pPr>
        <w:tabs>
          <w:tab w:val="left" w:pos="5258"/>
        </w:tabs>
        <w:ind w:firstLine="0"/>
        <w:rPr>
          <w:i/>
          <w:sz w:val="20"/>
        </w:rPr>
      </w:pPr>
      <w:r>
        <w:rPr>
          <w:i/>
          <w:sz w:val="20"/>
        </w:rPr>
        <w:t xml:space="preserve">Zdroj: Vlastní zpracování, dle ČSÚ, </w:t>
      </w:r>
      <w:r>
        <w:rPr>
          <w:i/>
          <w:sz w:val="20"/>
        </w:rPr>
        <w:tab/>
      </w:r>
    </w:p>
    <w:p w14:paraId="5D4DFE6E" w14:textId="4E609F72" w:rsidR="00D61149" w:rsidRDefault="00EF237F" w:rsidP="00DC2557">
      <w:pPr>
        <w:pStyle w:val="Nadpis2"/>
      </w:pPr>
      <w:r w:rsidRPr="00033434">
        <w:br w:type="page"/>
      </w:r>
      <w:bookmarkStart w:id="42" w:name="_Toc15889400"/>
      <w:r w:rsidR="00D61149">
        <w:lastRenderedPageBreak/>
        <w:t>Vývoj míry nezaměstnanosti ve Středočeském kraji</w:t>
      </w:r>
      <w:bookmarkEnd w:id="42"/>
    </w:p>
    <w:p w14:paraId="58617474" w14:textId="2520C327" w:rsidR="00B826C5" w:rsidRDefault="00B826C5" w:rsidP="000B4557">
      <w:r>
        <w:t>Srovnávání vývoje nezaměstnanosti ve Středočeském kraji lze vidět v tabulce č.</w:t>
      </w:r>
      <w:r w:rsidR="00B76A83">
        <w:t xml:space="preserve"> </w:t>
      </w:r>
      <w:r>
        <w:t xml:space="preserve">2. </w:t>
      </w:r>
      <w:r w:rsidR="00E266C2">
        <w:t>Vývoj nezaměstnanosti ve Středočeském kraji je vyobrazen obecnou mírou neza</w:t>
      </w:r>
      <w:r w:rsidR="00EF237F">
        <w:t xml:space="preserve">městnanosti, která je uvedená v </w:t>
      </w:r>
      <w:r w:rsidR="00EF237F">
        <w:rPr>
          <w:color w:val="000000" w:themeColor="text1"/>
        </w:rPr>
        <w:t>procentech</w:t>
      </w:r>
      <w:r w:rsidR="006E6311">
        <w:t xml:space="preserve">. </w:t>
      </w:r>
      <w:r>
        <w:t xml:space="preserve">Z tabulky č. 2 je patrné, že nejvyšší obecná míra nezaměstnanosti </w:t>
      </w:r>
      <w:r w:rsidR="0022229F">
        <w:t xml:space="preserve">ve Středočeském kraji </w:t>
      </w:r>
      <w:r>
        <w:t xml:space="preserve">byla v roce </w:t>
      </w:r>
      <w:r w:rsidR="0022229F">
        <w:t>2013. Z tabulky</w:t>
      </w:r>
      <w:r w:rsidR="00EF237F">
        <w:rPr>
          <w:color w:val="FF0000"/>
        </w:rPr>
        <w:t xml:space="preserve"> </w:t>
      </w:r>
      <w:r w:rsidR="00EF237F">
        <w:rPr>
          <w:color w:val="000000" w:themeColor="text1"/>
        </w:rPr>
        <w:t>lze zji</w:t>
      </w:r>
      <w:r w:rsidR="00EF237F" w:rsidRPr="00EF237F">
        <w:rPr>
          <w:color w:val="000000" w:themeColor="text1"/>
        </w:rPr>
        <w:t>stit</w:t>
      </w:r>
      <w:r w:rsidR="0022229F" w:rsidRPr="00EF237F">
        <w:rPr>
          <w:color w:val="000000" w:themeColor="text1"/>
        </w:rPr>
        <w:t>,</w:t>
      </w:r>
      <w:r w:rsidR="00F15FE2" w:rsidRPr="00EF237F">
        <w:rPr>
          <w:color w:val="000000" w:themeColor="text1"/>
        </w:rPr>
        <w:t xml:space="preserve"> </w:t>
      </w:r>
      <w:r w:rsidR="00F15FE2">
        <w:t xml:space="preserve">že obecná míra v roce 2013 byla </w:t>
      </w:r>
      <w:r w:rsidR="0022229F">
        <w:t xml:space="preserve">5,2%. Na obecnou míru v porovnávaném </w:t>
      </w:r>
      <w:r w:rsidR="003A3649">
        <w:t xml:space="preserve">roce měly vliv dopady recese, které byly ve Středočeském kraji v minulých letech. </w:t>
      </w:r>
      <w:r w:rsidR="00094BA5">
        <w:t>Na trhu práce ve Středočeském kraji vznikla poptávka zaměstnan</w:t>
      </w:r>
      <w:r w:rsidR="00E74CE1">
        <w:t xml:space="preserve">ců </w:t>
      </w:r>
      <w:r w:rsidR="00094BA5">
        <w:t>po pr</w:t>
      </w:r>
      <w:r w:rsidR="00D51462">
        <w:t>acovních pozicích.</w:t>
      </w:r>
    </w:p>
    <w:p w14:paraId="57CC4DDD" w14:textId="3D6FEAE7" w:rsidR="00865034" w:rsidRPr="00FC1EAA" w:rsidRDefault="003A3649" w:rsidP="00FC1EAA">
      <w:pPr>
        <w:spacing w:after="480"/>
      </w:pPr>
      <w:r>
        <w:t>V roce 2014 se nezaměstnanost snížila</w:t>
      </w:r>
      <w:r w:rsidR="00532315">
        <w:t xml:space="preserve"> </w:t>
      </w:r>
      <w:r w:rsidR="00532315" w:rsidRPr="00EF237F">
        <w:rPr>
          <w:color w:val="000000" w:themeColor="text1"/>
        </w:rPr>
        <w:t>o</w:t>
      </w:r>
      <w:r>
        <w:t xml:space="preserve"> </w:t>
      </w:r>
      <w:r w:rsidR="00532315">
        <w:t>0,1 %</w:t>
      </w:r>
      <w:r>
        <w:t xml:space="preserve"> </w:t>
      </w:r>
      <w:r w:rsidR="001B41FE">
        <w:t>v porovnávaném kraji. J</w:t>
      </w:r>
      <w:r>
        <w:t>e patrné, že obec</w:t>
      </w:r>
      <w:r w:rsidR="00BB43CA">
        <w:t>ná</w:t>
      </w:r>
      <w:r>
        <w:t xml:space="preserve"> míra nezaměstnanosti je ve výši 5,1%. K největšímu vývoji obecné míry</w:t>
      </w:r>
      <w:r w:rsidR="00094BA5">
        <w:t xml:space="preserve"> nezaměstnanosti</w:t>
      </w:r>
      <w:r>
        <w:t xml:space="preserve"> došlo v roce 2015, kdy obecná míra nezaměstnanosti </w:t>
      </w:r>
      <w:r w:rsidR="009F6038">
        <w:t>klesla o 1,6</w:t>
      </w:r>
      <w:r w:rsidR="00532315">
        <w:t xml:space="preserve"> </w:t>
      </w:r>
      <w:r w:rsidR="009F6038">
        <w:t>%.</w:t>
      </w:r>
      <w:r w:rsidR="00A30BD3">
        <w:t xml:space="preserve"> Dle tabulky lze konstatovat,</w:t>
      </w:r>
      <w:r w:rsidR="00E74CE1">
        <w:t xml:space="preserve"> že hodnota obecné míry nezaměstnanosti byla 3,1%. </w:t>
      </w:r>
      <w:r w:rsidR="006F4482">
        <w:t xml:space="preserve">V </w:t>
      </w:r>
      <w:r w:rsidR="000C5DE3" w:rsidRPr="002609AB">
        <w:t xml:space="preserve">roce 2016 </w:t>
      </w:r>
      <w:r w:rsidR="00D61149" w:rsidRPr="002609AB">
        <w:t xml:space="preserve">ve Středočeském </w:t>
      </w:r>
      <w:r w:rsidR="006E6311">
        <w:t>kraji</w:t>
      </w:r>
      <w:r w:rsidR="000C5DE3" w:rsidRPr="002609AB">
        <w:t xml:space="preserve"> </w:t>
      </w:r>
      <w:r w:rsidR="006E6311">
        <w:t xml:space="preserve">vznikla </w:t>
      </w:r>
      <w:r w:rsidR="00D61149" w:rsidRPr="002609AB">
        <w:t>poptávka fir</w:t>
      </w:r>
      <w:r w:rsidR="00F15FE2">
        <w:t>em</w:t>
      </w:r>
      <w:r w:rsidR="006E6311">
        <w:t xml:space="preserve"> </w:t>
      </w:r>
      <w:r w:rsidR="00140ADC">
        <w:t>po práci zaměstnanců</w:t>
      </w:r>
      <w:r w:rsidR="00D61149" w:rsidRPr="002609AB">
        <w:t xml:space="preserve">, </w:t>
      </w:r>
      <w:r w:rsidR="00140ADC">
        <w:t xml:space="preserve">protože na trhu práce je nedostatek zaměstnanců, </w:t>
      </w:r>
      <w:r w:rsidR="00D61149" w:rsidRPr="002609AB">
        <w:t xml:space="preserve">kteří </w:t>
      </w:r>
      <w:r w:rsidR="00E43223" w:rsidRPr="002609AB">
        <w:t>by nabízeli</w:t>
      </w:r>
      <w:r w:rsidR="00D61149" w:rsidRPr="002609AB">
        <w:t xml:space="preserve"> svoji práci, protože obecná míra ne</w:t>
      </w:r>
      <w:r w:rsidR="0075382F" w:rsidRPr="002609AB">
        <w:t>zaměstnanost</w:t>
      </w:r>
      <w:r w:rsidR="000C5DE3" w:rsidRPr="002609AB">
        <w:t xml:space="preserve">i byla </w:t>
      </w:r>
      <w:r w:rsidR="0075382F" w:rsidRPr="002609AB">
        <w:t>ve výši 3,1</w:t>
      </w:r>
      <w:r w:rsidR="002B3255">
        <w:t xml:space="preserve"> </w:t>
      </w:r>
      <w:r w:rsidR="0075382F" w:rsidRPr="002609AB">
        <w:t xml:space="preserve">%. </w:t>
      </w:r>
      <w:r w:rsidR="00E74CE1">
        <w:t>Obecná míra</w:t>
      </w:r>
      <w:r w:rsidR="00FC1EAA">
        <w:t xml:space="preserve"> nezaměstnanosti ve Středočeském kraji poklesla o 0,4%. </w:t>
      </w:r>
      <w:r w:rsidR="00D61149" w:rsidRPr="002609AB">
        <w:t>V ta</w:t>
      </w:r>
      <w:r w:rsidR="00140ADC">
        <w:t>bulce č. 2</w:t>
      </w:r>
      <w:r w:rsidR="000C5DE3" w:rsidRPr="002609AB">
        <w:t xml:space="preserve"> je </w:t>
      </w:r>
      <w:r w:rsidR="00FC1EAA">
        <w:t>zaznamenán</w:t>
      </w:r>
      <w:r w:rsidR="00E43223" w:rsidRPr="002609AB">
        <w:t xml:space="preserve"> </w:t>
      </w:r>
      <w:r w:rsidR="000C5DE3" w:rsidRPr="002609AB">
        <w:t>rok 2017, který měl</w:t>
      </w:r>
      <w:r w:rsidR="00D61149" w:rsidRPr="002609AB">
        <w:t xml:space="preserve"> nejmenší obecno</w:t>
      </w:r>
      <w:r w:rsidR="0075382F" w:rsidRPr="002609AB">
        <w:t xml:space="preserve">u míru nezaměstnanosti v období </w:t>
      </w:r>
      <w:r w:rsidR="00420A27">
        <w:t>2013</w:t>
      </w:r>
      <w:r w:rsidR="00FC1EAA">
        <w:t xml:space="preserve"> - 2017. Dle tabulky č. 2 je patrné, že obecná míra v roce 2017 se sníž</w:t>
      </w:r>
      <w:r w:rsidR="00A30BD3">
        <w:t>ila o 1%, její hodnota je 2,1%.</w:t>
      </w:r>
    </w:p>
    <w:p w14:paraId="7EA26F40" w14:textId="198DE184" w:rsidR="006A78B1" w:rsidRDefault="003C1957" w:rsidP="003C1957">
      <w:pPr>
        <w:pStyle w:val="Titulek"/>
        <w:ind w:firstLine="0"/>
        <w:rPr>
          <w:color w:val="auto"/>
          <w:sz w:val="20"/>
        </w:rPr>
      </w:pPr>
      <w:bookmarkStart w:id="43" w:name="_Toc15639647"/>
      <w:r w:rsidRPr="00E266C2">
        <w:rPr>
          <w:color w:val="auto"/>
          <w:sz w:val="20"/>
        </w:rPr>
        <w:t xml:space="preserve">Tabulka </w:t>
      </w:r>
      <w:r w:rsidRPr="00E266C2">
        <w:rPr>
          <w:color w:val="auto"/>
          <w:sz w:val="20"/>
        </w:rPr>
        <w:fldChar w:fldCharType="begin"/>
      </w:r>
      <w:r w:rsidRPr="00E266C2">
        <w:rPr>
          <w:color w:val="auto"/>
          <w:sz w:val="20"/>
        </w:rPr>
        <w:instrText xml:space="preserve"> SEQ Tabulka \* ARABIC </w:instrText>
      </w:r>
      <w:r w:rsidRPr="00E266C2">
        <w:rPr>
          <w:color w:val="auto"/>
          <w:sz w:val="20"/>
        </w:rPr>
        <w:fldChar w:fldCharType="separate"/>
      </w:r>
      <w:r w:rsidR="00343D89">
        <w:rPr>
          <w:noProof/>
          <w:color w:val="auto"/>
          <w:sz w:val="20"/>
        </w:rPr>
        <w:t>2</w:t>
      </w:r>
      <w:r w:rsidRPr="00E266C2">
        <w:rPr>
          <w:color w:val="auto"/>
          <w:sz w:val="20"/>
        </w:rPr>
        <w:fldChar w:fldCharType="end"/>
      </w:r>
      <w:r w:rsidR="00E266C2">
        <w:rPr>
          <w:color w:val="auto"/>
          <w:sz w:val="20"/>
        </w:rPr>
        <w:t xml:space="preserve"> </w:t>
      </w:r>
      <w:r w:rsidRPr="00E266C2">
        <w:rPr>
          <w:color w:val="auto"/>
          <w:sz w:val="20"/>
        </w:rPr>
        <w:t xml:space="preserve">Vývoj nezaměstnanosti ve Středočeském kraji v období </w:t>
      </w:r>
      <w:r w:rsidR="00FC1EAA">
        <w:rPr>
          <w:color w:val="auto"/>
          <w:sz w:val="20"/>
        </w:rPr>
        <w:t>2013 – 2017</w:t>
      </w:r>
      <w:bookmarkEnd w:id="43"/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365"/>
        <w:gridCol w:w="365"/>
        <w:gridCol w:w="365"/>
        <w:gridCol w:w="365"/>
        <w:gridCol w:w="365"/>
      </w:tblGrid>
      <w:tr w:rsidR="0069677C" w:rsidRPr="00E266C2" w14:paraId="40269458" w14:textId="77777777" w:rsidTr="00E266C2">
        <w:trPr>
          <w:cantSplit/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B768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22"/>
              </w:rPr>
            </w:pPr>
            <w:r w:rsidRPr="00E266C2">
              <w:rPr>
                <w:b/>
                <w:bCs/>
                <w:color w:val="000000"/>
                <w:sz w:val="18"/>
              </w:rPr>
              <w:t xml:space="preserve">Období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C031E4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22"/>
              </w:rPr>
            </w:pPr>
            <w:r w:rsidRPr="00E266C2">
              <w:rPr>
                <w:b/>
                <w:bCs/>
                <w:color w:val="000000"/>
                <w:sz w:val="18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46BB57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22"/>
              </w:rPr>
            </w:pPr>
            <w:r w:rsidRPr="00E266C2">
              <w:rPr>
                <w:b/>
                <w:bCs/>
                <w:color w:val="000000"/>
                <w:sz w:val="18"/>
              </w:rPr>
              <w:t>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DC555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22"/>
              </w:rPr>
            </w:pPr>
            <w:r w:rsidRPr="00E266C2">
              <w:rPr>
                <w:b/>
                <w:bCs/>
                <w:color w:val="000000"/>
                <w:sz w:val="18"/>
              </w:rP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827B7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22"/>
              </w:rPr>
            </w:pPr>
            <w:r w:rsidRPr="00E266C2">
              <w:rPr>
                <w:b/>
                <w:bCs/>
                <w:color w:val="000000"/>
                <w:sz w:val="18"/>
              </w:rP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88F85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22"/>
              </w:rPr>
            </w:pPr>
            <w:r w:rsidRPr="00E266C2">
              <w:rPr>
                <w:b/>
                <w:bCs/>
                <w:color w:val="000000"/>
                <w:sz w:val="18"/>
              </w:rPr>
              <w:t>2017</w:t>
            </w:r>
          </w:p>
        </w:tc>
      </w:tr>
      <w:tr w:rsidR="0069677C" w:rsidRPr="00E266C2" w14:paraId="5B673D8F" w14:textId="77777777" w:rsidTr="00E266C2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C232" w14:textId="1B574001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</w:rPr>
              <w:t>Míra nezaměstnanosti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9C22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E266C2">
              <w:rPr>
                <w:color w:val="000000"/>
                <w:sz w:val="18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D14B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E266C2">
              <w:rPr>
                <w:color w:val="000000"/>
                <w:sz w:val="18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F759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E266C2">
              <w:rPr>
                <w:color w:val="000000"/>
                <w:sz w:val="18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4E7A6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E266C2">
              <w:rPr>
                <w:color w:val="000000"/>
                <w:sz w:val="18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AEBD" w14:textId="77777777" w:rsidR="0069677C" w:rsidRPr="00E266C2" w:rsidRDefault="0069677C" w:rsidP="00E266C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E266C2">
              <w:rPr>
                <w:color w:val="000000"/>
                <w:sz w:val="18"/>
              </w:rPr>
              <w:t>2,1</w:t>
            </w:r>
          </w:p>
        </w:tc>
      </w:tr>
    </w:tbl>
    <w:p w14:paraId="439C9058" w14:textId="1586722E" w:rsidR="00E266C2" w:rsidRPr="006E6311" w:rsidRDefault="006E6311" w:rsidP="006E6311">
      <w:pPr>
        <w:ind w:firstLine="0"/>
        <w:rPr>
          <w:i/>
          <w:sz w:val="20"/>
        </w:rPr>
      </w:pPr>
      <w:r w:rsidRPr="006E6311">
        <w:rPr>
          <w:i/>
          <w:sz w:val="20"/>
        </w:rPr>
        <w:t>Zd</w:t>
      </w:r>
      <w:r>
        <w:rPr>
          <w:i/>
          <w:sz w:val="20"/>
        </w:rPr>
        <w:t>r</w:t>
      </w:r>
      <w:r w:rsidR="001B41FE">
        <w:rPr>
          <w:i/>
          <w:sz w:val="20"/>
        </w:rPr>
        <w:t>oj: Vlastní zpracování, dle ČSÚ,</w:t>
      </w:r>
    </w:p>
    <w:p w14:paraId="5D9072DF" w14:textId="34812EAB" w:rsidR="000B4557" w:rsidRDefault="000B4557">
      <w:pPr>
        <w:spacing w:after="200" w:line="276" w:lineRule="auto"/>
        <w:ind w:firstLine="0"/>
        <w:jc w:val="left"/>
        <w:rPr>
          <w:b/>
        </w:rPr>
      </w:pPr>
    </w:p>
    <w:p w14:paraId="0993AEB4" w14:textId="77777777" w:rsidR="000B4557" w:rsidRDefault="000B4557">
      <w:pPr>
        <w:spacing w:after="200" w:line="276" w:lineRule="auto"/>
        <w:ind w:firstLine="0"/>
        <w:jc w:val="left"/>
        <w:rPr>
          <w:b/>
        </w:rPr>
        <w:sectPr w:rsidR="000B4557" w:rsidSect="0075382F">
          <w:footerReference w:type="default" r:id="rId15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757FA2" w14:textId="6684D2E0" w:rsidR="00453A7D" w:rsidRDefault="00453A7D" w:rsidP="00DC2557">
      <w:pPr>
        <w:pStyle w:val="Nadpis2"/>
      </w:pPr>
      <w:bookmarkStart w:id="44" w:name="_Toc15889401"/>
      <w:r>
        <w:lastRenderedPageBreak/>
        <w:t>Vývoj průměrných mezd v</w:t>
      </w:r>
      <w:r w:rsidR="00BB43CA">
        <w:t> </w:t>
      </w:r>
      <w:r>
        <w:t>Olomouckém</w:t>
      </w:r>
      <w:r w:rsidR="00BB43CA">
        <w:t xml:space="preserve"> kraji</w:t>
      </w:r>
      <w:bookmarkEnd w:id="44"/>
    </w:p>
    <w:p w14:paraId="771B694D" w14:textId="5F5B0063" w:rsidR="00120EFE" w:rsidRDefault="00453A7D" w:rsidP="00D51462">
      <w:pPr>
        <w:spacing w:after="240"/>
      </w:pPr>
      <w:r>
        <w:t>V</w:t>
      </w:r>
      <w:r w:rsidR="00E001A5">
        <w:t> tabulce č. 3 je zaznamenán</w:t>
      </w:r>
      <w:r w:rsidRPr="00EC6D6A">
        <w:t xml:space="preserve"> vývoj průměrných měsíčních mezd v </w:t>
      </w:r>
      <w:r w:rsidR="00BE2CB0">
        <w:t xml:space="preserve">Olomouckém kraji od roku 2013. </w:t>
      </w:r>
      <w:r w:rsidR="004C1A5C">
        <w:t xml:space="preserve">Tabulka je </w:t>
      </w:r>
      <w:r w:rsidR="004C1A5C" w:rsidRPr="001F4DF8">
        <w:t>rozděle</w:t>
      </w:r>
      <w:r w:rsidR="004C1A5C" w:rsidRPr="001F4DF8">
        <w:rPr>
          <w:color w:val="000000" w:themeColor="text1"/>
        </w:rPr>
        <w:t>n</w:t>
      </w:r>
      <w:r w:rsidR="00216B85" w:rsidRPr="001F4DF8">
        <w:rPr>
          <w:color w:val="000000" w:themeColor="text1"/>
        </w:rPr>
        <w:t>a</w:t>
      </w:r>
      <w:r w:rsidR="004C1A5C">
        <w:t xml:space="preserve"> podle průměrné měsíční mzdy za zaměstnance a podle průměrné měsíční mzdy za fyzické osoby.</w:t>
      </w:r>
      <w:r w:rsidRPr="00EC6D6A">
        <w:t xml:space="preserve"> </w:t>
      </w:r>
      <w:r w:rsidR="00566126">
        <w:t>I když ekonomikou prošla ekonomická krize, průměrný příjem se nesnížil. Dalším důvodem zvyšování průměrné mzdy</w:t>
      </w:r>
      <w:r w:rsidR="00566126" w:rsidRPr="006E4EBC">
        <w:t xml:space="preserve"> </w:t>
      </w:r>
      <w:r w:rsidR="00566126">
        <w:t xml:space="preserve">je zvyšování pracovních příležitostí na trhu práce, které nabízejí podniky a růst inflace, která roste na trhu práce. </w:t>
      </w:r>
      <w:r w:rsidR="00120EFE">
        <w:t xml:space="preserve">V roce 2013 byla nejnižší mzda v Olomouckém kraji, která byla za zaměstnance ve výši 22 188 Kč a za </w:t>
      </w:r>
      <w:r w:rsidR="00756E08">
        <w:t xml:space="preserve">fyzické osoby ve výši 21 472Kč. </w:t>
      </w:r>
      <w:r w:rsidR="00566126">
        <w:t xml:space="preserve">V roce 2014 se průměrná měsíční mzda za zaměstnance zvýšila o </w:t>
      </w:r>
      <w:r w:rsidR="00DA6DB6">
        <w:t xml:space="preserve">770 Kč a za fyzické osoby o 750 Kč. </w:t>
      </w:r>
      <w:r w:rsidR="00A257DC">
        <w:t xml:space="preserve">V následujícím roce se průměrná měsíční mzda za zaměstnance zvýšila o 305 Kč a za fyzické osoby o </w:t>
      </w:r>
      <w:r w:rsidR="00D36F95">
        <w:t xml:space="preserve">671 Kč. </w:t>
      </w:r>
      <w:r w:rsidR="00536516">
        <w:t>V</w:t>
      </w:r>
      <w:r w:rsidR="00D36F95">
        <w:t> roce 2016</w:t>
      </w:r>
      <w:r w:rsidR="00536516">
        <w:t xml:space="preserve"> se</w:t>
      </w:r>
      <w:r w:rsidR="00D36F95">
        <w:t xml:space="preserve"> měsíční mzda za </w:t>
      </w:r>
      <w:r w:rsidR="00536516">
        <w:t>zaměstnance</w:t>
      </w:r>
      <w:r w:rsidR="00D36F95">
        <w:t xml:space="preserve"> zvýšila o 1 101Kč a za fyzické osoby se zvýšila o 1 057 Kč</w:t>
      </w:r>
      <w:r w:rsidR="001B41FE" w:rsidRPr="001B41FE">
        <w:t>. J</w:t>
      </w:r>
      <w:r w:rsidR="00D36F95" w:rsidRPr="001B41FE">
        <w:t>e patrné,</w:t>
      </w:r>
      <w:r w:rsidR="00D36F95">
        <w:t xml:space="preserve"> že v roce 2016 byla mzda za zaměstnance 24 754 Kč</w:t>
      </w:r>
      <w:r w:rsidR="00D36F95" w:rsidRPr="0025456C">
        <w:t xml:space="preserve"> </w:t>
      </w:r>
      <w:r w:rsidR="0025456C">
        <w:br/>
      </w:r>
      <w:r w:rsidR="00D36F95" w:rsidRPr="0025456C">
        <w:t xml:space="preserve">a </w:t>
      </w:r>
      <w:r w:rsidR="00D36F95">
        <w:t xml:space="preserve">za fyzické </w:t>
      </w:r>
      <w:r w:rsidR="00536516">
        <w:t xml:space="preserve">osoby 23 950 Kč. Za porovnávané období v Olomouckém kraji se průměrná měsíční mzda nejvíce zvýšila v roce 2017. </w:t>
      </w:r>
      <w:r w:rsidR="002A232C">
        <w:t>Za zaměstnance se průměrná měsíční mzda zvýšila o 1 606 Kč</w:t>
      </w:r>
      <w:r w:rsidR="009B46C1">
        <w:t xml:space="preserve"> a za fyzické osoby o 1 515 Kč.</w:t>
      </w:r>
    </w:p>
    <w:p w14:paraId="1C7E5536" w14:textId="18279595" w:rsidR="00D51462" w:rsidRPr="00D51462" w:rsidRDefault="004D41D3" w:rsidP="00D51462">
      <w:pPr>
        <w:pStyle w:val="Titulek"/>
        <w:keepNext/>
        <w:ind w:firstLine="0"/>
        <w:rPr>
          <w:color w:val="auto"/>
          <w:sz w:val="20"/>
        </w:rPr>
      </w:pPr>
      <w:bookmarkStart w:id="45" w:name="_Toc15639648"/>
      <w:r>
        <w:t>T</w:t>
      </w:r>
      <w:r w:rsidRPr="004D41D3">
        <w:rPr>
          <w:color w:val="auto"/>
          <w:sz w:val="20"/>
        </w:rPr>
        <w:t xml:space="preserve">abulka </w:t>
      </w:r>
      <w:r w:rsidRPr="004D41D3">
        <w:rPr>
          <w:color w:val="auto"/>
          <w:sz w:val="20"/>
        </w:rPr>
        <w:fldChar w:fldCharType="begin"/>
      </w:r>
      <w:r w:rsidRPr="004D41D3">
        <w:rPr>
          <w:color w:val="auto"/>
          <w:sz w:val="20"/>
        </w:rPr>
        <w:instrText xml:space="preserve"> SEQ Tabulka \* ARABIC </w:instrText>
      </w:r>
      <w:r w:rsidRPr="004D41D3">
        <w:rPr>
          <w:color w:val="auto"/>
          <w:sz w:val="20"/>
        </w:rPr>
        <w:fldChar w:fldCharType="separate"/>
      </w:r>
      <w:r w:rsidR="00343D89">
        <w:rPr>
          <w:noProof/>
          <w:color w:val="auto"/>
          <w:sz w:val="20"/>
        </w:rPr>
        <w:t>3</w:t>
      </w:r>
      <w:r w:rsidRPr="004D41D3">
        <w:rPr>
          <w:color w:val="auto"/>
          <w:sz w:val="20"/>
        </w:rPr>
        <w:fldChar w:fldCharType="end"/>
      </w:r>
      <w:r w:rsidRPr="004D41D3">
        <w:rPr>
          <w:color w:val="auto"/>
          <w:sz w:val="20"/>
        </w:rPr>
        <w:t xml:space="preserve"> Vývoj průměrných mezd </w:t>
      </w:r>
      <w:r w:rsidR="00120EFE">
        <w:rPr>
          <w:color w:val="auto"/>
          <w:sz w:val="20"/>
        </w:rPr>
        <w:t>v Olomouckém kraji v období 2013 – 2017</w:t>
      </w:r>
      <w:bookmarkEnd w:id="45"/>
    </w:p>
    <w:tbl>
      <w:tblPr>
        <w:tblW w:w="6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20"/>
        <w:gridCol w:w="720"/>
        <w:gridCol w:w="720"/>
        <w:gridCol w:w="720"/>
        <w:gridCol w:w="720"/>
      </w:tblGrid>
      <w:tr w:rsidR="00120EFE" w:rsidRPr="00E001A5" w14:paraId="490776CF" w14:textId="77777777" w:rsidTr="00120EFE">
        <w:trPr>
          <w:trHeight w:val="54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38CB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 xml:space="preserve">Období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DC04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3B53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CFFF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323E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4EBC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120EFE" w:rsidRPr="00E001A5" w14:paraId="7493628E" w14:textId="77777777" w:rsidTr="00120EFE">
        <w:trPr>
          <w:cantSplit/>
          <w:trHeight w:val="5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CE6C" w14:textId="77777777" w:rsidR="00120EFE" w:rsidRPr="008E02E6" w:rsidRDefault="00120EFE" w:rsidP="00E001A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E02E6">
              <w:rPr>
                <w:b/>
                <w:bCs/>
                <w:color w:val="000000"/>
                <w:sz w:val="20"/>
                <w:szCs w:val="20"/>
              </w:rPr>
              <w:t xml:space="preserve">Průměrná měsíční mzda v Kč (na zaměstnance)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F18E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22 188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C20F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22 958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7B77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23 653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38AF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24 754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4AC0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26 360</w:t>
            </w:r>
          </w:p>
        </w:tc>
      </w:tr>
      <w:tr w:rsidR="00120EFE" w:rsidRPr="00E001A5" w14:paraId="5036DBA8" w14:textId="77777777" w:rsidTr="00120EFE">
        <w:trPr>
          <w:cantSplit/>
          <w:trHeight w:val="5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E918" w14:textId="77777777" w:rsidR="00120EFE" w:rsidRPr="008E02E6" w:rsidRDefault="00120EFE" w:rsidP="00E001A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E02E6">
              <w:rPr>
                <w:b/>
                <w:bCs/>
                <w:color w:val="000000"/>
                <w:sz w:val="20"/>
                <w:szCs w:val="20"/>
              </w:rPr>
              <w:t>Průměrná měsíční mzda FO (Fyzické osoby)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8BBD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21 472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C4FB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22 222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7334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22 893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5733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23 950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1A0A" w14:textId="77777777" w:rsidR="00120EFE" w:rsidRPr="00E001A5" w:rsidRDefault="00120EFE" w:rsidP="00E001A5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001A5">
              <w:rPr>
                <w:color w:val="000000"/>
                <w:sz w:val="20"/>
                <w:szCs w:val="20"/>
              </w:rPr>
              <w:t>25 465</w:t>
            </w:r>
          </w:p>
        </w:tc>
      </w:tr>
    </w:tbl>
    <w:p w14:paraId="69B8F59E" w14:textId="77777777" w:rsidR="00DE3744" w:rsidRDefault="00533E2D" w:rsidP="00DE3744">
      <w:pPr>
        <w:spacing w:after="100" w:afterAutospacing="1"/>
        <w:ind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2D60A" wp14:editId="6273F3DC">
                <wp:simplePos x="0" y="0"/>
                <wp:positionH relativeFrom="column">
                  <wp:posOffset>-28962</wp:posOffset>
                </wp:positionH>
                <wp:positionV relativeFrom="paragraph">
                  <wp:posOffset>-1270</wp:posOffset>
                </wp:positionV>
                <wp:extent cx="2806700" cy="381000"/>
                <wp:effectExtent l="0" t="0" r="0" b="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B4512" w14:textId="2DB25DB4" w:rsidR="00A613C0" w:rsidRPr="000B4557" w:rsidRDefault="00A613C0" w:rsidP="00F3661C">
                            <w:pPr>
                              <w:ind w:firstLine="0"/>
                              <w:rPr>
                                <w:i/>
                                <w:sz w:val="20"/>
                              </w:rPr>
                            </w:pPr>
                            <w:r w:rsidRPr="000B4557"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>Zdroj: Vlastní zpracování, dle ČSÚ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28" style="position:absolute;left:0;text-align:left;margin-left:-2.3pt;margin-top:-.1pt;width:221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TgkgIAAHEFAAAOAAAAZHJzL2Uyb0RvYy54bWysVM1O3DAQvlfqO1i+l2S3/DUii1YgqkoI&#10;UKHi7HVsEtXxuLZ3k+0b9cBT8GId20nYAuqh6iUZz883/3Ny2reKbIR1DeiSzvZySoTmUDX6oaTf&#10;7i4+HFPiPNMVU6BFSbfC0dPF+3cnnSnEHGpQlbAEQbQrOlPS2ntTZJnjtWiZ2wMjNAol2JZ5fNqH&#10;rLKsQ/RWZfM8P8w6sJWxwIVzyD1PQrqI+FIK7q+ldMITVVKMzcevjd9V+GaLE1Y8WGbqhg9hsH+I&#10;omWNRqcT1DnzjKxt8wqqbbgFB9LvcWgzkLLhIuaA2czyF9nc1syImAsWx5mpTO7/wfKrzY0lTVXS&#10;+SElmrXYo+tV9fRL6afH7wSZWKHOuAIVb82NHV4OyZBuL20b/pgI6WNVt1NVRe8JR+b8OD88yrH4&#10;HGUfj2c50giTPVsb6/xnAS0JREktdi0Wk20unU+qo0pwpuGiUQr5rFD6DwZiBk4WAk4hRspvlUja&#10;X4XEZENQ0UEcM3GmLNkwHBDGudB+lkQ1q0RiH2DEY8iTRUxAaQQMyBIDmrAHgDDCr7FTOoN+MBVx&#10;Sifj/G+BJePJInoG7SfjttFg3wJQmNXgOemPRUqlCVXy/apPgzC2fAXVFofDQtoaZ/hFgw26ZM7f&#10;MItrgj3F1ffX+JEKupLCQFFSg/35Fj/o4/SilJIO166k7seaWUGJ+qJxrj/N9vfDnsbH/sHRHB92&#10;V7Laleh1ewbYuBkeGcMjGfS9Gklpob3HC7EMXlHENEffJeXejo8zn84B3hgulsuohrtpmL/Ut4YH&#10;8FDnMIB3/T2zZphSj/N9BeOKsuLFsCbdYKlhufYgmzjJodKprkMHcK/jKA03KByO3XfUer6Ui98A&#10;AAD//wMAUEsDBBQABgAIAAAAIQDyw9tW3QAAAAcBAAAPAAAAZHJzL2Rvd25yZXYueG1sTI5BS8NA&#10;FITvQv/D8gre2o011ppmU4Ko0GMbQbxtsq9JNPs2ZLdp+u99nvQ0DDPMfOlusp0YcfCtIwV3ywgE&#10;UuVMS7WC9+J1sQHhgyajO0eo4IoedtnsJtWJcRc64HgMteAR8olW0ITQJ1L6qkGr/dL1SJyd3GB1&#10;YDvU0gz6wuO2k6soWkurW+KHRvf43GD1fTxbBb4c98W1zz++Pn1V5i9ki3j/ptTtfMq3IAJO4a8M&#10;v/iMDhkzle5MxotOwSJec5N1BYLj+P4xBlEqeHjagMxS+Z8/+wEAAP//AwBQSwECLQAUAAYACAAA&#10;ACEAtoM4kv4AAADhAQAAEwAAAAAAAAAAAAAAAAAAAAAAW0NvbnRlbnRfVHlwZXNdLnhtbFBLAQIt&#10;ABQABgAIAAAAIQA4/SH/1gAAAJQBAAALAAAAAAAAAAAAAAAAAC8BAABfcmVscy8ucmVsc1BLAQIt&#10;ABQABgAIAAAAIQAxcCTgkgIAAHEFAAAOAAAAAAAAAAAAAAAAAC4CAABkcnMvZTJvRG9jLnhtbFBL&#10;AQItABQABgAIAAAAIQDyw9tW3QAAAAcBAAAPAAAAAAAAAAAAAAAAAOwEAABkcnMvZG93bnJldi54&#10;bWxQSwUGAAAAAAQABADzAAAA9gUAAAAA&#10;" filled="f" stroked="f" strokeweight="2pt">
                <v:textbox>
                  <w:txbxContent>
                    <w:p w14:paraId="165B4512" w14:textId="2DB25DB4" w:rsidR="00A613C0" w:rsidRPr="000B4557" w:rsidRDefault="00A613C0" w:rsidP="00F3661C">
                      <w:pPr>
                        <w:ind w:firstLine="0"/>
                        <w:rPr>
                          <w:i/>
                          <w:sz w:val="20"/>
                        </w:rPr>
                      </w:pPr>
                      <w:r w:rsidRPr="000B4557">
                        <w:rPr>
                          <w:i/>
                          <w:color w:val="595959" w:themeColor="text1" w:themeTint="A6"/>
                          <w:sz w:val="20"/>
                        </w:rPr>
                        <w:t>Zdroj: Vlastní zpracování, dle ČSÚ</w:t>
                      </w:r>
                      <w:r>
                        <w:rPr>
                          <w:i/>
                          <w:color w:val="595959" w:themeColor="text1" w:themeTint="A6"/>
                          <w:sz w:val="20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</w:p>
    <w:p w14:paraId="6356B210" w14:textId="77777777" w:rsidR="007A3B82" w:rsidRDefault="007A3B82" w:rsidP="007A3B82">
      <w:pPr>
        <w:ind w:firstLine="0"/>
      </w:pPr>
    </w:p>
    <w:p w14:paraId="148D4DEF" w14:textId="77777777" w:rsidR="009B70F4" w:rsidRPr="007A3B82" w:rsidRDefault="009B70F4" w:rsidP="007A3B82">
      <w:pPr>
        <w:ind w:firstLine="0"/>
        <w:sectPr w:rsidR="009B70F4" w:rsidRPr="007A3B82" w:rsidSect="0036279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3208ADA" w14:textId="6BD1AD61" w:rsidR="007A3B82" w:rsidRPr="004964FC" w:rsidRDefault="007A3B82" w:rsidP="00DC2557">
      <w:pPr>
        <w:pStyle w:val="Nadpis2"/>
      </w:pPr>
      <w:bookmarkStart w:id="46" w:name="_Toc15889402"/>
      <w:r w:rsidRPr="004964FC">
        <w:lastRenderedPageBreak/>
        <w:t>Vývoj průměrných mezd ve Středočeském kraji</w:t>
      </w:r>
      <w:bookmarkEnd w:id="46"/>
    </w:p>
    <w:p w14:paraId="365E6341" w14:textId="54489878" w:rsidR="00C47D4C" w:rsidRDefault="00393EF0" w:rsidP="007A3B82">
      <w:r>
        <w:t>Tabulka č. 4</w:t>
      </w:r>
      <w:r w:rsidR="007A3B82" w:rsidRPr="004964FC">
        <w:t xml:space="preserve"> </w:t>
      </w:r>
      <w:r>
        <w:t>znázorňuje</w:t>
      </w:r>
      <w:r w:rsidR="006C1377" w:rsidRPr="004964FC">
        <w:t xml:space="preserve"> </w:t>
      </w:r>
      <w:r w:rsidR="007A3B82" w:rsidRPr="004964FC">
        <w:t>vývoj prům</w:t>
      </w:r>
      <w:r w:rsidR="00980137" w:rsidRPr="004964FC">
        <w:t>ěrného příjmu</w:t>
      </w:r>
      <w:r w:rsidR="007A3B82" w:rsidRPr="004964FC">
        <w:t xml:space="preserve"> ve Středočeském kraji. Rozložen</w:t>
      </w:r>
      <w:r>
        <w:t>í tabulky</w:t>
      </w:r>
      <w:r w:rsidR="00980137" w:rsidRPr="004964FC">
        <w:t xml:space="preserve"> </w:t>
      </w:r>
      <w:r>
        <w:t xml:space="preserve">č. 4 </w:t>
      </w:r>
      <w:r w:rsidR="00980137" w:rsidRPr="004964FC">
        <w:t>je stejné</w:t>
      </w:r>
      <w:r w:rsidR="007A3B82" w:rsidRPr="004964FC">
        <w:t xml:space="preserve"> jako při vývoji průměrných mě</w:t>
      </w:r>
      <w:r w:rsidR="00980137" w:rsidRPr="004964FC">
        <w:t>s</w:t>
      </w:r>
      <w:r>
        <w:t xml:space="preserve">íčních mezd v Olomouckém kraji. </w:t>
      </w:r>
      <w:r w:rsidR="006C1377" w:rsidRPr="004964FC">
        <w:t>N</w:t>
      </w:r>
      <w:r w:rsidR="007A3B82" w:rsidRPr="004964FC">
        <w:t>a</w:t>
      </w:r>
      <w:r w:rsidR="00980137" w:rsidRPr="004964FC">
        <w:t xml:space="preserve"> levé straně tabulky lze vidět o</w:t>
      </w:r>
      <w:r w:rsidR="007A3B82" w:rsidRPr="004964FC">
        <w:t>bdobí, které je porovnáváno. Dále průměrná měsíční mzda za</w:t>
      </w:r>
      <w:r w:rsidR="003E0B93">
        <w:t xml:space="preserve"> </w:t>
      </w:r>
      <w:r w:rsidR="007A3B82" w:rsidRPr="004964FC">
        <w:t>zaměstnance, která je vyčíslená v korunách</w:t>
      </w:r>
      <w:r w:rsidR="00C47D4C">
        <w:t>. V posledním řádku tabulky č. 4</w:t>
      </w:r>
      <w:r w:rsidR="007A3B82" w:rsidRPr="004964FC">
        <w:t xml:space="preserve"> </w:t>
      </w:r>
      <w:r w:rsidR="00C47D4C">
        <w:t xml:space="preserve">lze </w:t>
      </w:r>
      <w:r w:rsidR="006C1377" w:rsidRPr="004964FC">
        <w:t>vid</w:t>
      </w:r>
      <w:r w:rsidR="00C47D4C">
        <w:t xml:space="preserve">ět </w:t>
      </w:r>
      <w:r w:rsidR="007A3B82" w:rsidRPr="004964FC">
        <w:t>průměrnou měsíční mzd</w:t>
      </w:r>
      <w:r w:rsidR="009B70F4">
        <w:t xml:space="preserve">u fyzických osob, která je </w:t>
      </w:r>
      <w:r w:rsidR="000C2E12">
        <w:t>vyčíslená v korunách.</w:t>
      </w:r>
    </w:p>
    <w:p w14:paraId="127B725D" w14:textId="1EEC14E5" w:rsidR="0010160B" w:rsidRDefault="007A3B82" w:rsidP="00FA1D11">
      <w:pPr>
        <w:spacing w:after="360"/>
      </w:pPr>
      <w:r w:rsidRPr="004964FC">
        <w:t xml:space="preserve">Tabulka č. </w:t>
      </w:r>
      <w:r w:rsidR="00C47D4C">
        <w:t>4</w:t>
      </w:r>
      <w:r w:rsidRPr="004964FC">
        <w:t xml:space="preserve"> </w:t>
      </w:r>
      <w:r w:rsidR="00C47D4C">
        <w:t>je</w:t>
      </w:r>
      <w:r w:rsidRPr="004964FC">
        <w:t xml:space="preserve"> datovaná </w:t>
      </w:r>
      <w:r w:rsidR="009B70F4">
        <w:t>rokem 2013, kdy průměrná měsíční mzda za zaměstnance byla ve výši 25 005 Kč a za fyzické osoby 24 249 Kč</w:t>
      </w:r>
      <w:r w:rsidR="00720D3F">
        <w:t xml:space="preserve">. V roce 2014 se průměrná měsíční mzda </w:t>
      </w:r>
      <w:r w:rsidR="008A1960">
        <w:t xml:space="preserve">za zaměstnance </w:t>
      </w:r>
      <w:r w:rsidR="00720D3F">
        <w:t xml:space="preserve">zvýšila </w:t>
      </w:r>
      <w:r w:rsidR="008A1960">
        <w:t xml:space="preserve">o 751 Kč a za fyzické osoby se zvýšila o 713 Kč, kdy průměrná měsíční mzda za zaměstnance je ve výši 25 756 Kč a za fyzické osoby ve výši 24 962 Kč. </w:t>
      </w:r>
      <w:r w:rsidR="008A1960" w:rsidRPr="000C2E12">
        <w:t>D</w:t>
      </w:r>
      <w:r w:rsidR="000C2E12" w:rsidRPr="000C2E12">
        <w:t>le tabulky č. 4 lze konstatovat</w:t>
      </w:r>
      <w:r w:rsidR="008A1960" w:rsidRPr="000C2E12">
        <w:t>, že</w:t>
      </w:r>
      <w:r w:rsidR="00044A6D" w:rsidRPr="000C2E12">
        <w:t xml:space="preserve"> v roce</w:t>
      </w:r>
      <w:r w:rsidR="00044A6D">
        <w:t xml:space="preserve"> 2015 se</w:t>
      </w:r>
      <w:r w:rsidR="008A1960">
        <w:t xml:space="preserve"> průměrná</w:t>
      </w:r>
      <w:r w:rsidR="00044A6D">
        <w:t xml:space="preserve"> měsíční mzda za zaměstnance </w:t>
      </w:r>
      <w:r w:rsidR="008A1960">
        <w:t>zvýšila o 819 Kč a za fyzické osoby se zvýšila o</w:t>
      </w:r>
      <w:r w:rsidR="00044A6D">
        <w:t xml:space="preserve"> 818 Kč, kdy měsíční mzda byla 26 575 Kč a průměrná měsíční mzda za fyzické osoby byla ve výši 25 780 Kč. </w:t>
      </w:r>
      <w:r w:rsidR="000A3BFE">
        <w:t xml:space="preserve">V roce 2016 se průměrná měsíční mzda za zaměstnance zvýšila o 1 356 Kč a za fyzické osoby se zvýšila o 1 303 Kč, kdy průměrná měsíční mzda byla ve výši 27 931 Kč a za fyzické osoby byla ve výši 27 083 Kč. Poslední rok, který </w:t>
      </w:r>
      <w:proofErr w:type="gramStart"/>
      <w:r w:rsidR="000A3BFE">
        <w:t>je</w:t>
      </w:r>
      <w:proofErr w:type="gramEnd"/>
      <w:r w:rsidR="000A3BFE">
        <w:t xml:space="preserve"> v</w:t>
      </w:r>
      <w:r w:rsidR="008B7BEF">
        <w:t> tabulc</w:t>
      </w:r>
      <w:r w:rsidR="00BB43CA">
        <w:t>e č. 4 porovnáván byl rok 2017. P</w:t>
      </w:r>
      <w:r w:rsidR="008B7BEF">
        <w:t xml:space="preserve">růměrná měsíční mzda za zaměstnance byla ve výši 29 957 Kč a za fyzické osoby byla průměrná měsíční mzda 29 041 Kč. V roce 2017 se průměrná měsíční mzda za zaměstnance zvýšila o 2 026 Kč a za fyzické osoby se zvýšila o 1 958 Kč. </w:t>
      </w:r>
      <w:r w:rsidR="00014572">
        <w:t>V porovnávaném období ve Středočeském kraji se ne</w:t>
      </w:r>
      <w:r w:rsidR="009B46C1">
        <w:t>jvíce mzda zvýšila v roce 2017.</w:t>
      </w:r>
    </w:p>
    <w:p w14:paraId="44C3EE7C" w14:textId="1BCBFC29" w:rsidR="00F846A2" w:rsidRPr="00FA1D11" w:rsidRDefault="004D41D3" w:rsidP="00FA1D11">
      <w:pPr>
        <w:pStyle w:val="Titulek"/>
        <w:ind w:firstLine="0"/>
        <w:rPr>
          <w:color w:val="auto"/>
          <w:sz w:val="20"/>
        </w:rPr>
      </w:pPr>
      <w:bookmarkStart w:id="47" w:name="_Toc15639649"/>
      <w:r w:rsidRPr="004D41D3">
        <w:rPr>
          <w:color w:val="auto"/>
          <w:sz w:val="20"/>
        </w:rPr>
        <w:t xml:space="preserve">Tabulka </w:t>
      </w:r>
      <w:r w:rsidRPr="004D41D3">
        <w:rPr>
          <w:color w:val="auto"/>
          <w:sz w:val="20"/>
        </w:rPr>
        <w:fldChar w:fldCharType="begin"/>
      </w:r>
      <w:r w:rsidRPr="004D41D3">
        <w:rPr>
          <w:color w:val="auto"/>
          <w:sz w:val="20"/>
        </w:rPr>
        <w:instrText xml:space="preserve"> SEQ Tabulka \* ARABIC </w:instrText>
      </w:r>
      <w:r w:rsidRPr="004D41D3">
        <w:rPr>
          <w:color w:val="auto"/>
          <w:sz w:val="20"/>
        </w:rPr>
        <w:fldChar w:fldCharType="separate"/>
      </w:r>
      <w:r w:rsidR="00343D89">
        <w:rPr>
          <w:noProof/>
          <w:color w:val="auto"/>
          <w:sz w:val="20"/>
        </w:rPr>
        <w:t>4</w:t>
      </w:r>
      <w:r w:rsidRPr="004D41D3">
        <w:rPr>
          <w:color w:val="auto"/>
          <w:sz w:val="20"/>
        </w:rPr>
        <w:fldChar w:fldCharType="end"/>
      </w:r>
      <w:r w:rsidRPr="004D41D3">
        <w:rPr>
          <w:color w:val="auto"/>
          <w:sz w:val="20"/>
        </w:rPr>
        <w:t xml:space="preserve"> Vývoj průměrných mezd ve </w:t>
      </w:r>
      <w:r w:rsidR="009B70F4">
        <w:rPr>
          <w:color w:val="auto"/>
          <w:sz w:val="20"/>
        </w:rPr>
        <w:t xml:space="preserve">Středočeském kraji v období </w:t>
      </w:r>
      <w:r w:rsidR="00014572">
        <w:rPr>
          <w:color w:val="auto"/>
          <w:sz w:val="20"/>
        </w:rPr>
        <w:t>2013</w:t>
      </w:r>
      <w:r w:rsidRPr="004D41D3">
        <w:rPr>
          <w:color w:val="auto"/>
          <w:sz w:val="20"/>
        </w:rPr>
        <w:t xml:space="preserve"> </w:t>
      </w:r>
      <w:r w:rsidR="006805CE">
        <w:rPr>
          <w:color w:val="auto"/>
          <w:sz w:val="20"/>
        </w:rPr>
        <w:t>–</w:t>
      </w:r>
      <w:r w:rsidRPr="004D41D3">
        <w:rPr>
          <w:color w:val="auto"/>
          <w:sz w:val="20"/>
        </w:rPr>
        <w:t xml:space="preserve"> 2017</w:t>
      </w:r>
      <w:bookmarkEnd w:id="47"/>
    </w:p>
    <w:tbl>
      <w:tblPr>
        <w:tblW w:w="610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20"/>
        <w:gridCol w:w="720"/>
        <w:gridCol w:w="720"/>
        <w:gridCol w:w="720"/>
        <w:gridCol w:w="720"/>
      </w:tblGrid>
      <w:tr w:rsidR="009B70F4" w:rsidRPr="00F846A2" w14:paraId="22878263" w14:textId="77777777" w:rsidTr="008E02E6">
        <w:trPr>
          <w:trHeight w:val="31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04B4AF" w14:textId="5EA71F6A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846A2">
              <w:rPr>
                <w:b/>
                <w:bCs/>
                <w:color w:val="000000"/>
                <w:sz w:val="16"/>
                <w:szCs w:val="16"/>
              </w:rPr>
              <w:t xml:space="preserve">Období 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0B0A08" w14:textId="203A18CC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846A2">
              <w:rPr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8C87B5" w14:textId="013460BC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846A2">
              <w:rPr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3F0A71" w14:textId="4733DF91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846A2">
              <w:rPr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A8042CF" w14:textId="2F7AF84E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846A2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A3B0" w14:textId="2D07ED96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846A2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</w:tr>
      <w:tr w:rsidR="009B70F4" w:rsidRPr="00F846A2" w14:paraId="62CB3B6B" w14:textId="77777777" w:rsidTr="008E02E6">
        <w:trPr>
          <w:trHeight w:val="5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A1D5B9" w14:textId="3AE466B8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846A2">
              <w:rPr>
                <w:b/>
                <w:bCs/>
                <w:color w:val="000000"/>
                <w:sz w:val="16"/>
                <w:szCs w:val="16"/>
              </w:rPr>
              <w:t xml:space="preserve">Průměrná měsíční mzda v Kč (na zaměstnance) 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EEAA5CA" w14:textId="3EBA527C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25 005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AE7141F" w14:textId="1AD6A441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25 756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DFBA5A8" w14:textId="2EA61D5D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26 575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A0EE0F2" w14:textId="50B1A228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27 931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5F43" w14:textId="1A21632E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29 957</w:t>
            </w:r>
          </w:p>
        </w:tc>
      </w:tr>
      <w:tr w:rsidR="009B70F4" w:rsidRPr="00F846A2" w14:paraId="4FE52FC1" w14:textId="77777777" w:rsidTr="008E02E6">
        <w:trPr>
          <w:trHeight w:val="5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9B36CE9" w14:textId="61BF4E38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F846A2">
              <w:rPr>
                <w:b/>
                <w:bCs/>
                <w:color w:val="000000"/>
                <w:sz w:val="16"/>
                <w:szCs w:val="16"/>
              </w:rPr>
              <w:t>Průměrná měsíční mzda FO (Fyzické osoby) Kč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115218A" w14:textId="1F892510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24 249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B45B16" w14:textId="4D2BF4D4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24 962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C173E6D" w14:textId="302D20DA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25 780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C29092" w14:textId="405DDC33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27 083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1AFD" w14:textId="76895C5E" w:rsidR="009B70F4" w:rsidRPr="00F846A2" w:rsidRDefault="009B70F4" w:rsidP="00F846A2">
            <w:pPr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F846A2">
              <w:rPr>
                <w:color w:val="000000"/>
                <w:sz w:val="16"/>
                <w:szCs w:val="16"/>
              </w:rPr>
              <w:t>29 041</w:t>
            </w:r>
          </w:p>
        </w:tc>
      </w:tr>
    </w:tbl>
    <w:p w14:paraId="1D826C23" w14:textId="3EEC4A11" w:rsidR="000C2E12" w:rsidRPr="00D41292" w:rsidRDefault="00D41292" w:rsidP="00FA1D11">
      <w:pPr>
        <w:ind w:firstLine="0"/>
        <w:rPr>
          <w:i/>
          <w:sz w:val="20"/>
        </w:rPr>
      </w:pPr>
      <w:r w:rsidRPr="00D41292">
        <w:rPr>
          <w:i/>
          <w:sz w:val="20"/>
        </w:rPr>
        <w:t>Zdroj: V</w:t>
      </w:r>
      <w:r>
        <w:rPr>
          <w:i/>
          <w:sz w:val="20"/>
        </w:rPr>
        <w:t>lastní zpracování, dle ČSÚ,</w:t>
      </w:r>
    </w:p>
    <w:p w14:paraId="3FBAF5A1" w14:textId="451E694B" w:rsidR="00A35B39" w:rsidRDefault="000C2E12" w:rsidP="000C2E12">
      <w:pPr>
        <w:spacing w:after="200" w:line="276" w:lineRule="auto"/>
        <w:ind w:firstLine="0"/>
        <w:jc w:val="left"/>
      </w:pPr>
      <w:r>
        <w:br w:type="page"/>
      </w:r>
    </w:p>
    <w:p w14:paraId="5CE9485A" w14:textId="65F561B0" w:rsidR="0033475E" w:rsidRPr="0033475E" w:rsidRDefault="00D0201B" w:rsidP="00DC2557">
      <w:pPr>
        <w:pStyle w:val="Nadpis2"/>
      </w:pPr>
      <w:bookmarkStart w:id="48" w:name="_Toc15889403"/>
      <w:r>
        <w:lastRenderedPageBreak/>
        <w:t>Vývoj mediánu mezd v Olomouckém a Středočeském kraji</w:t>
      </w:r>
      <w:bookmarkEnd w:id="48"/>
    </w:p>
    <w:p w14:paraId="7C8985B9" w14:textId="75C0EA84" w:rsidR="003F0B05" w:rsidRDefault="0033475E" w:rsidP="0033475E">
      <w:r w:rsidRPr="00CC5A64">
        <w:rPr>
          <w:bCs/>
        </w:rPr>
        <w:t>V</w:t>
      </w:r>
      <w:r w:rsidR="00FA1D11">
        <w:t> tabulkách č.</w:t>
      </w:r>
      <w:r w:rsidR="007F08E3">
        <w:t xml:space="preserve"> </w:t>
      </w:r>
      <w:r w:rsidR="00FA1D11">
        <w:t>5 a č. 6</w:t>
      </w:r>
      <w:r w:rsidRPr="00252A05">
        <w:t xml:space="preserve"> je zachycen vý</w:t>
      </w:r>
      <w:r w:rsidR="007F08E3">
        <w:t>voj mediánu mezd. V tabulce č. 5</w:t>
      </w:r>
      <w:r w:rsidRPr="00252A05">
        <w:t xml:space="preserve"> lze vidět vývoj mediánu mezd v Olomouckém kraji a v tabulce </w:t>
      </w:r>
      <w:r w:rsidR="007F08E3">
        <w:t>č. 6</w:t>
      </w:r>
      <w:r>
        <w:t xml:space="preserve"> je </w:t>
      </w:r>
      <w:r w:rsidRPr="00252A05">
        <w:t xml:space="preserve">vývoj mediánu mezd ve Středočeském kraji. </w:t>
      </w:r>
      <w:r w:rsidR="006370EA" w:rsidRPr="004964FC">
        <w:t>Levá strana</w:t>
      </w:r>
      <w:r w:rsidR="007F08E3">
        <w:t xml:space="preserve"> tabulek č. 5 a č. 6</w:t>
      </w:r>
      <w:r w:rsidR="003F0B05" w:rsidRPr="004964FC">
        <w:t xml:space="preserve"> </w:t>
      </w:r>
      <w:r w:rsidR="006370EA" w:rsidRPr="004964FC">
        <w:t xml:space="preserve">začíná </w:t>
      </w:r>
      <w:r w:rsidR="003F0B05" w:rsidRPr="004964FC">
        <w:t>obdob</w:t>
      </w:r>
      <w:r w:rsidR="006370EA" w:rsidRPr="004964FC">
        <w:t>ím</w:t>
      </w:r>
      <w:r w:rsidR="00014572">
        <w:t>, kterého se týkají</w:t>
      </w:r>
      <w:r w:rsidR="004964FC" w:rsidRPr="004964FC">
        <w:t xml:space="preserve">. </w:t>
      </w:r>
      <w:r w:rsidR="006370EA" w:rsidRPr="004964FC">
        <w:t>V dalším řádku tabulky je vyjádřen medián mezd v Kč.</w:t>
      </w:r>
    </w:p>
    <w:p w14:paraId="358ADE8A" w14:textId="48BD4B1C" w:rsidR="00014572" w:rsidRDefault="000C2E12" w:rsidP="0033475E">
      <w:r>
        <w:t>Dle tabulky č. 5 lze konstatovat</w:t>
      </w:r>
      <w:r w:rsidR="00014572">
        <w:t xml:space="preserve">, že nejmenší medián mezd byl v Olomouckém </w:t>
      </w:r>
      <w:r w:rsidR="00D02E1D">
        <w:t xml:space="preserve">kraji </w:t>
      </w:r>
      <w:r w:rsidR="00014572">
        <w:t xml:space="preserve">v roce 2013, který byl ve výši 20 836 Kč. </w:t>
      </w:r>
      <w:r w:rsidR="00D02E1D">
        <w:t xml:space="preserve">V roce 2014 se medián mezd zvýšil o 815 Kč </w:t>
      </w:r>
      <w:r w:rsidR="00333B37">
        <w:t xml:space="preserve">v Olomouckém kraji. V následujícím roce se medián mezd zvýšil o 267 Kč. V roce </w:t>
      </w:r>
      <w:r w:rsidR="000824DD">
        <w:t>2016</w:t>
      </w:r>
      <w:r w:rsidR="00333B37">
        <w:t xml:space="preserve"> se medián mezd </w:t>
      </w:r>
      <w:r w:rsidR="000824DD">
        <w:t xml:space="preserve">v Olomouckém kraji </w:t>
      </w:r>
      <w:r w:rsidR="00EC4F65">
        <w:t>vzrostl</w:t>
      </w:r>
      <w:r w:rsidR="00333B37">
        <w:t xml:space="preserve"> o </w:t>
      </w:r>
      <w:r w:rsidR="000824DD">
        <w:t>1 287 Kč. K největšímu zvýšení došlo v roce 2017, kdy se</w:t>
      </w:r>
      <w:r>
        <w:t xml:space="preserve"> medián mezd zvýšil o 1 751 Kč.</w:t>
      </w:r>
    </w:p>
    <w:p w14:paraId="11073AC8" w14:textId="48D7B157" w:rsidR="00770180" w:rsidRDefault="00EC4F65" w:rsidP="007F08E3">
      <w:pPr>
        <w:spacing w:after="360"/>
      </w:pPr>
      <w:r>
        <w:t>Vývoj mediánu mezd ve Středočeském kraji je zachycen od roku 2013</w:t>
      </w:r>
      <w:r w:rsidR="00E2077F">
        <w:t>. V roce 201</w:t>
      </w:r>
      <w:r w:rsidR="00B7067B">
        <w:t>4</w:t>
      </w:r>
      <w:r w:rsidR="00E2077F">
        <w:t xml:space="preserve"> se medián mezd </w:t>
      </w:r>
      <w:r w:rsidR="00B7067B">
        <w:t xml:space="preserve">nejméně </w:t>
      </w:r>
      <w:r w:rsidR="00E2077F">
        <w:t>zvýšil</w:t>
      </w:r>
      <w:r w:rsidR="00B7067B">
        <w:t xml:space="preserve"> za srovnávané období. Medián mezd se zvýšil</w:t>
      </w:r>
      <w:r w:rsidR="00E2077F">
        <w:t xml:space="preserve"> o </w:t>
      </w:r>
      <w:r w:rsidR="00B7067B">
        <w:t xml:space="preserve">705 </w:t>
      </w:r>
      <w:r w:rsidR="00E2077F">
        <w:t xml:space="preserve">Kč, </w:t>
      </w:r>
      <w:r w:rsidR="00B7067B">
        <w:t xml:space="preserve">kdy </w:t>
      </w:r>
      <w:r w:rsidR="00E2077F">
        <w:t xml:space="preserve">byl ve výši </w:t>
      </w:r>
      <w:r w:rsidR="00770180">
        <w:t>23 579</w:t>
      </w:r>
      <w:r w:rsidR="00E2077F">
        <w:t xml:space="preserve"> Kč</w:t>
      </w:r>
      <w:r w:rsidR="0033475E">
        <w:t>.</w:t>
      </w:r>
      <w:r w:rsidR="00E2077F">
        <w:t xml:space="preserve"> </w:t>
      </w:r>
      <w:r w:rsidR="000C2E12" w:rsidRPr="000C2E12">
        <w:t>Dle tabulky č. 6 lz</w:t>
      </w:r>
      <w:r w:rsidR="000C2E12">
        <w:t>e konstatovat</w:t>
      </w:r>
      <w:r w:rsidR="00770180">
        <w:t>, že medián mezd v roce 2015 byl ve výši 24 582 Kč a zvýšil se o 1003 Kč. V roce 2016 se medián mezd zvýšil o 908 Kč a byl ve výši 25 490 Kč. Za komparované období se medián mezd</w:t>
      </w:r>
      <w:r w:rsidR="00420A27">
        <w:t xml:space="preserve"> ve Středočeském kraji</w:t>
      </w:r>
      <w:r w:rsidR="00770180">
        <w:t xml:space="preserve"> zvýšil nejvíce v roce </w:t>
      </w:r>
      <w:r w:rsidR="00420A27">
        <w:t>2017. Kdy medián mezd se zvýšil o 2 2</w:t>
      </w:r>
      <w:r w:rsidR="000C2E12">
        <w:t>19 Kč, a byl ve výši 27 709 Kč.</w:t>
      </w:r>
    </w:p>
    <w:p w14:paraId="18A26D43" w14:textId="7419C5F3" w:rsidR="00D0201B" w:rsidRPr="007F08E3" w:rsidRDefault="007F08E3" w:rsidP="007F08E3">
      <w:pPr>
        <w:pStyle w:val="Titulek"/>
        <w:ind w:firstLine="0"/>
        <w:rPr>
          <w:i w:val="0"/>
          <w:color w:val="auto"/>
          <w:sz w:val="22"/>
          <w:szCs w:val="20"/>
        </w:rPr>
      </w:pPr>
      <w:bookmarkStart w:id="49" w:name="_Toc15639650"/>
      <w:r w:rsidRPr="007F08E3">
        <w:rPr>
          <w:color w:val="auto"/>
          <w:sz w:val="20"/>
        </w:rPr>
        <w:t xml:space="preserve">Tabulka </w:t>
      </w:r>
      <w:r w:rsidRPr="007F08E3">
        <w:rPr>
          <w:color w:val="auto"/>
          <w:sz w:val="20"/>
        </w:rPr>
        <w:fldChar w:fldCharType="begin"/>
      </w:r>
      <w:r w:rsidRPr="007F08E3">
        <w:rPr>
          <w:color w:val="auto"/>
          <w:sz w:val="20"/>
        </w:rPr>
        <w:instrText xml:space="preserve"> SEQ Tabulka \* ARABIC </w:instrText>
      </w:r>
      <w:r w:rsidRPr="007F08E3">
        <w:rPr>
          <w:color w:val="auto"/>
          <w:sz w:val="20"/>
        </w:rPr>
        <w:fldChar w:fldCharType="separate"/>
      </w:r>
      <w:r w:rsidR="00343D89">
        <w:rPr>
          <w:noProof/>
          <w:color w:val="auto"/>
          <w:sz w:val="20"/>
        </w:rPr>
        <w:t>5</w:t>
      </w:r>
      <w:r w:rsidRPr="007F08E3">
        <w:rPr>
          <w:color w:val="auto"/>
          <w:sz w:val="20"/>
        </w:rPr>
        <w:fldChar w:fldCharType="end"/>
      </w:r>
      <w:r w:rsidRPr="007F08E3">
        <w:rPr>
          <w:color w:val="auto"/>
          <w:sz w:val="20"/>
        </w:rPr>
        <w:t xml:space="preserve"> Vývoj mediánu mezd v Olomouckém kraji</w:t>
      </w:r>
      <w:r w:rsidR="008F1AF8">
        <w:rPr>
          <w:color w:val="auto"/>
          <w:sz w:val="20"/>
        </w:rPr>
        <w:t xml:space="preserve"> za období 2013 – 2017</w:t>
      </w:r>
      <w:bookmarkEnd w:id="4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2"/>
        <w:gridCol w:w="821"/>
        <w:gridCol w:w="821"/>
        <w:gridCol w:w="821"/>
        <w:gridCol w:w="821"/>
        <w:gridCol w:w="821"/>
      </w:tblGrid>
      <w:tr w:rsidR="00014572" w:rsidRPr="0003720D" w14:paraId="12091240" w14:textId="77777777" w:rsidTr="008412E0">
        <w:trPr>
          <w:cantSplit/>
          <w:trHeight w:val="780"/>
        </w:trPr>
        <w:tc>
          <w:tcPr>
            <w:tcW w:w="0" w:type="auto"/>
          </w:tcPr>
          <w:p w14:paraId="2A467131" w14:textId="77777777" w:rsidR="00014572" w:rsidRPr="0003720D" w:rsidRDefault="00014572" w:rsidP="008412E0">
            <w:pPr>
              <w:spacing w:after="200" w:line="276" w:lineRule="auto"/>
              <w:ind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 xml:space="preserve">Období </w:t>
            </w:r>
          </w:p>
        </w:tc>
        <w:tc>
          <w:tcPr>
            <w:tcW w:w="0" w:type="auto"/>
            <w:textDirection w:val="btLr"/>
          </w:tcPr>
          <w:p w14:paraId="00917D23" w14:textId="77777777" w:rsidR="00014572" w:rsidRPr="0003720D" w:rsidRDefault="00014572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2013</w:t>
            </w:r>
          </w:p>
        </w:tc>
        <w:tc>
          <w:tcPr>
            <w:tcW w:w="0" w:type="auto"/>
            <w:textDirection w:val="btLr"/>
          </w:tcPr>
          <w:p w14:paraId="687A4828" w14:textId="77777777" w:rsidR="00014572" w:rsidRPr="0003720D" w:rsidRDefault="00014572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2104</w:t>
            </w:r>
          </w:p>
        </w:tc>
        <w:tc>
          <w:tcPr>
            <w:tcW w:w="0" w:type="auto"/>
            <w:textDirection w:val="btLr"/>
          </w:tcPr>
          <w:p w14:paraId="362F1953" w14:textId="77777777" w:rsidR="00014572" w:rsidRPr="0003720D" w:rsidRDefault="00014572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2015</w:t>
            </w:r>
          </w:p>
        </w:tc>
        <w:tc>
          <w:tcPr>
            <w:tcW w:w="0" w:type="auto"/>
            <w:textDirection w:val="btLr"/>
          </w:tcPr>
          <w:p w14:paraId="47EB4E95" w14:textId="77777777" w:rsidR="00014572" w:rsidRPr="0003720D" w:rsidRDefault="00014572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2016</w:t>
            </w:r>
          </w:p>
        </w:tc>
        <w:tc>
          <w:tcPr>
            <w:tcW w:w="0" w:type="auto"/>
            <w:textDirection w:val="btLr"/>
          </w:tcPr>
          <w:p w14:paraId="29328445" w14:textId="77777777" w:rsidR="00014572" w:rsidRPr="0003720D" w:rsidRDefault="00014572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2017</w:t>
            </w:r>
          </w:p>
        </w:tc>
      </w:tr>
      <w:tr w:rsidR="00014572" w:rsidRPr="0003720D" w14:paraId="624EC167" w14:textId="77777777" w:rsidTr="008412E0">
        <w:tc>
          <w:tcPr>
            <w:tcW w:w="0" w:type="auto"/>
          </w:tcPr>
          <w:p w14:paraId="010DEA29" w14:textId="77777777" w:rsidR="00014572" w:rsidRPr="0003720D" w:rsidRDefault="00014572" w:rsidP="00034924">
            <w:pPr>
              <w:spacing w:after="200" w:line="276" w:lineRule="auto"/>
              <w:ind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Medián mezd v Kč</w:t>
            </w:r>
          </w:p>
        </w:tc>
        <w:tc>
          <w:tcPr>
            <w:tcW w:w="0" w:type="auto"/>
          </w:tcPr>
          <w:p w14:paraId="663358B9" w14:textId="77777777" w:rsidR="00014572" w:rsidRPr="0003720D" w:rsidRDefault="00014572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20 836</w:t>
            </w:r>
          </w:p>
        </w:tc>
        <w:tc>
          <w:tcPr>
            <w:tcW w:w="0" w:type="auto"/>
          </w:tcPr>
          <w:p w14:paraId="5ADFA844" w14:textId="77777777" w:rsidR="00014572" w:rsidRPr="0003720D" w:rsidRDefault="00014572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21 651</w:t>
            </w:r>
          </w:p>
        </w:tc>
        <w:tc>
          <w:tcPr>
            <w:tcW w:w="0" w:type="auto"/>
          </w:tcPr>
          <w:p w14:paraId="51472A98" w14:textId="77777777" w:rsidR="00014572" w:rsidRPr="0003720D" w:rsidRDefault="00014572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21 918</w:t>
            </w:r>
          </w:p>
        </w:tc>
        <w:tc>
          <w:tcPr>
            <w:tcW w:w="0" w:type="auto"/>
          </w:tcPr>
          <w:p w14:paraId="3239E6A8" w14:textId="77777777" w:rsidR="00014572" w:rsidRPr="0003720D" w:rsidRDefault="00014572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23 205</w:t>
            </w:r>
          </w:p>
        </w:tc>
        <w:tc>
          <w:tcPr>
            <w:tcW w:w="0" w:type="auto"/>
          </w:tcPr>
          <w:p w14:paraId="725281E9" w14:textId="77777777" w:rsidR="00014572" w:rsidRPr="0003720D" w:rsidRDefault="00014572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24 956</w:t>
            </w:r>
          </w:p>
        </w:tc>
      </w:tr>
    </w:tbl>
    <w:p w14:paraId="2AAE2C4F" w14:textId="31F7FB66" w:rsidR="007F08E3" w:rsidRPr="00C01D80" w:rsidRDefault="007F08E3" w:rsidP="007F08E3">
      <w:pPr>
        <w:spacing w:after="360"/>
        <w:ind w:firstLine="0"/>
        <w:rPr>
          <w:i/>
          <w:sz w:val="20"/>
        </w:rPr>
      </w:pPr>
      <w:r w:rsidRPr="00C01D80">
        <w:rPr>
          <w:i/>
          <w:color w:val="595959" w:themeColor="text1" w:themeTint="A6"/>
          <w:sz w:val="20"/>
        </w:rPr>
        <w:t>Zdroj: Vlastní zpracování</w:t>
      </w:r>
      <w:r>
        <w:rPr>
          <w:i/>
          <w:color w:val="595959" w:themeColor="text1" w:themeTint="A6"/>
          <w:sz w:val="20"/>
        </w:rPr>
        <w:t>, dle ČSÚ</w:t>
      </w:r>
      <w:r w:rsidR="00BB4AC7">
        <w:rPr>
          <w:i/>
          <w:color w:val="595959" w:themeColor="text1" w:themeTint="A6"/>
          <w:sz w:val="20"/>
        </w:rPr>
        <w:t>,</w:t>
      </w:r>
    </w:p>
    <w:p w14:paraId="0457234C" w14:textId="03050EEA" w:rsidR="00FA3E4A" w:rsidRPr="007F08E3" w:rsidRDefault="007F08E3" w:rsidP="007F08E3">
      <w:pPr>
        <w:pStyle w:val="Titulek"/>
        <w:ind w:firstLine="0"/>
        <w:rPr>
          <w:i w:val="0"/>
          <w:color w:val="auto"/>
          <w:sz w:val="20"/>
        </w:rPr>
      </w:pPr>
      <w:bookmarkStart w:id="50" w:name="_Toc15639651"/>
      <w:r w:rsidRPr="007F08E3">
        <w:rPr>
          <w:color w:val="auto"/>
          <w:sz w:val="20"/>
        </w:rPr>
        <w:t xml:space="preserve">Tabulka </w:t>
      </w:r>
      <w:r w:rsidRPr="007F08E3">
        <w:rPr>
          <w:color w:val="auto"/>
          <w:sz w:val="20"/>
        </w:rPr>
        <w:fldChar w:fldCharType="begin"/>
      </w:r>
      <w:r w:rsidRPr="007F08E3">
        <w:rPr>
          <w:color w:val="auto"/>
          <w:sz w:val="20"/>
        </w:rPr>
        <w:instrText xml:space="preserve"> SEQ Tabulka \* ARABIC </w:instrText>
      </w:r>
      <w:r w:rsidRPr="007F08E3">
        <w:rPr>
          <w:color w:val="auto"/>
          <w:sz w:val="20"/>
        </w:rPr>
        <w:fldChar w:fldCharType="separate"/>
      </w:r>
      <w:r w:rsidR="00343D89">
        <w:rPr>
          <w:noProof/>
          <w:color w:val="auto"/>
          <w:sz w:val="20"/>
        </w:rPr>
        <w:t>6</w:t>
      </w:r>
      <w:r w:rsidRPr="007F08E3">
        <w:rPr>
          <w:color w:val="auto"/>
          <w:sz w:val="20"/>
        </w:rPr>
        <w:fldChar w:fldCharType="end"/>
      </w:r>
      <w:r w:rsidRPr="007F08E3">
        <w:rPr>
          <w:color w:val="auto"/>
          <w:sz w:val="20"/>
        </w:rPr>
        <w:t xml:space="preserve"> Vývoj mediánu mezd ve Středočeském kraji</w:t>
      </w:r>
      <w:r w:rsidR="008F1AF8">
        <w:rPr>
          <w:color w:val="auto"/>
          <w:sz w:val="20"/>
        </w:rPr>
        <w:t xml:space="preserve"> za období 2013 – 2017</w:t>
      </w:r>
      <w:bookmarkEnd w:id="5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2"/>
        <w:gridCol w:w="821"/>
        <w:gridCol w:w="821"/>
        <w:gridCol w:w="821"/>
        <w:gridCol w:w="821"/>
        <w:gridCol w:w="821"/>
      </w:tblGrid>
      <w:tr w:rsidR="008F1AF8" w14:paraId="420CC61C" w14:textId="77777777" w:rsidTr="008412E0">
        <w:trPr>
          <w:cantSplit/>
          <w:trHeight w:val="788"/>
        </w:trPr>
        <w:tc>
          <w:tcPr>
            <w:tcW w:w="0" w:type="auto"/>
          </w:tcPr>
          <w:p w14:paraId="1DF1D355" w14:textId="77777777" w:rsidR="008F1AF8" w:rsidRPr="0003720D" w:rsidRDefault="008F1AF8" w:rsidP="00034924">
            <w:pPr>
              <w:spacing w:after="200" w:line="276" w:lineRule="auto"/>
              <w:ind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 xml:space="preserve">Období </w:t>
            </w:r>
          </w:p>
        </w:tc>
        <w:tc>
          <w:tcPr>
            <w:tcW w:w="0" w:type="auto"/>
            <w:textDirection w:val="btLr"/>
          </w:tcPr>
          <w:p w14:paraId="1FE7603A" w14:textId="77777777" w:rsidR="008F1AF8" w:rsidRPr="0003720D" w:rsidRDefault="008F1AF8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2013</w:t>
            </w:r>
          </w:p>
        </w:tc>
        <w:tc>
          <w:tcPr>
            <w:tcW w:w="0" w:type="auto"/>
            <w:textDirection w:val="btLr"/>
          </w:tcPr>
          <w:p w14:paraId="0A634C7E" w14:textId="77777777" w:rsidR="008F1AF8" w:rsidRPr="0003720D" w:rsidRDefault="008F1AF8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2104</w:t>
            </w:r>
          </w:p>
        </w:tc>
        <w:tc>
          <w:tcPr>
            <w:tcW w:w="0" w:type="auto"/>
            <w:textDirection w:val="btLr"/>
          </w:tcPr>
          <w:p w14:paraId="1E7A32D3" w14:textId="77777777" w:rsidR="008F1AF8" w:rsidRPr="0003720D" w:rsidRDefault="008F1AF8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2015</w:t>
            </w:r>
          </w:p>
        </w:tc>
        <w:tc>
          <w:tcPr>
            <w:tcW w:w="0" w:type="auto"/>
            <w:textDirection w:val="btLr"/>
          </w:tcPr>
          <w:p w14:paraId="50FC9335" w14:textId="77777777" w:rsidR="008F1AF8" w:rsidRPr="0003720D" w:rsidRDefault="008F1AF8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2016</w:t>
            </w:r>
          </w:p>
        </w:tc>
        <w:tc>
          <w:tcPr>
            <w:tcW w:w="0" w:type="auto"/>
            <w:textDirection w:val="btLr"/>
          </w:tcPr>
          <w:p w14:paraId="04A827D5" w14:textId="77777777" w:rsidR="008F1AF8" w:rsidRPr="0003720D" w:rsidRDefault="008F1AF8" w:rsidP="00034924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2017</w:t>
            </w:r>
          </w:p>
        </w:tc>
      </w:tr>
      <w:tr w:rsidR="008F1AF8" w14:paraId="0AB369CB" w14:textId="77777777" w:rsidTr="008412E0">
        <w:tc>
          <w:tcPr>
            <w:tcW w:w="0" w:type="auto"/>
          </w:tcPr>
          <w:p w14:paraId="7F18EEB1" w14:textId="77777777" w:rsidR="008F1AF8" w:rsidRPr="0003720D" w:rsidRDefault="008F1AF8" w:rsidP="00034924">
            <w:pPr>
              <w:spacing w:after="200" w:line="276" w:lineRule="auto"/>
              <w:ind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Medián mezd v Kč</w:t>
            </w:r>
          </w:p>
        </w:tc>
        <w:tc>
          <w:tcPr>
            <w:tcW w:w="0" w:type="auto"/>
          </w:tcPr>
          <w:p w14:paraId="177506FD" w14:textId="77777777" w:rsidR="008F1AF8" w:rsidRPr="0003720D" w:rsidRDefault="008F1AF8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22 874</w:t>
            </w:r>
          </w:p>
        </w:tc>
        <w:tc>
          <w:tcPr>
            <w:tcW w:w="0" w:type="auto"/>
          </w:tcPr>
          <w:p w14:paraId="7F99E130" w14:textId="77777777" w:rsidR="008F1AF8" w:rsidRPr="0003720D" w:rsidRDefault="008F1AF8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23 579</w:t>
            </w:r>
          </w:p>
        </w:tc>
        <w:tc>
          <w:tcPr>
            <w:tcW w:w="0" w:type="auto"/>
          </w:tcPr>
          <w:p w14:paraId="4D60E101" w14:textId="77777777" w:rsidR="008F1AF8" w:rsidRPr="0003720D" w:rsidRDefault="008F1AF8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24 582</w:t>
            </w:r>
          </w:p>
        </w:tc>
        <w:tc>
          <w:tcPr>
            <w:tcW w:w="0" w:type="auto"/>
          </w:tcPr>
          <w:p w14:paraId="18A4B2DD" w14:textId="77777777" w:rsidR="008F1AF8" w:rsidRPr="0003720D" w:rsidRDefault="008F1AF8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25 490</w:t>
            </w:r>
          </w:p>
        </w:tc>
        <w:tc>
          <w:tcPr>
            <w:tcW w:w="0" w:type="auto"/>
          </w:tcPr>
          <w:p w14:paraId="016E976A" w14:textId="77777777" w:rsidR="008F1AF8" w:rsidRPr="0003720D" w:rsidRDefault="008F1AF8" w:rsidP="00034924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 w:rsidRPr="0003720D">
              <w:rPr>
                <w:sz w:val="22"/>
              </w:rPr>
              <w:t>27 709</w:t>
            </w:r>
          </w:p>
        </w:tc>
      </w:tr>
    </w:tbl>
    <w:p w14:paraId="6DE44EE4" w14:textId="77777777" w:rsidR="001C7D8F" w:rsidRDefault="007F08E3" w:rsidP="007F08E3">
      <w:pPr>
        <w:spacing w:after="360"/>
        <w:ind w:firstLine="0"/>
        <w:rPr>
          <w:i/>
          <w:color w:val="595959" w:themeColor="text1" w:themeTint="A6"/>
          <w:sz w:val="20"/>
        </w:rPr>
      </w:pPr>
      <w:r w:rsidRPr="00C01D80">
        <w:rPr>
          <w:i/>
          <w:color w:val="595959" w:themeColor="text1" w:themeTint="A6"/>
          <w:sz w:val="20"/>
        </w:rPr>
        <w:t>Zdroj: Vlastní zpracování</w:t>
      </w:r>
      <w:r>
        <w:rPr>
          <w:i/>
          <w:color w:val="595959" w:themeColor="text1" w:themeTint="A6"/>
          <w:sz w:val="20"/>
        </w:rPr>
        <w:t>, dle ČSÚ</w:t>
      </w:r>
      <w:r w:rsidR="008F1AF8">
        <w:rPr>
          <w:i/>
          <w:color w:val="595959" w:themeColor="text1" w:themeTint="A6"/>
          <w:sz w:val="20"/>
        </w:rPr>
        <w:t>,</w:t>
      </w:r>
    </w:p>
    <w:p w14:paraId="762BC437" w14:textId="77777777" w:rsidR="001C7D8F" w:rsidRDefault="001C7D8F">
      <w:pPr>
        <w:spacing w:after="200" w:line="276" w:lineRule="auto"/>
        <w:ind w:firstLine="0"/>
        <w:jc w:val="left"/>
      </w:pPr>
      <w:r>
        <w:br w:type="page"/>
      </w:r>
    </w:p>
    <w:p w14:paraId="0227F024" w14:textId="0ED73A86" w:rsidR="001C7D8F" w:rsidRDefault="001C7D8F" w:rsidP="001C7D8F">
      <w:pPr>
        <w:spacing w:after="240"/>
      </w:pPr>
      <w:r>
        <w:lastRenderedPageBreak/>
        <w:t xml:space="preserve">Při srovnání vývoje mediánu mezd v obou krajích, je zřejmé, že u obou krajů hodnota mediánu mezd stoupá. Medián mezd </w:t>
      </w:r>
      <w:r w:rsidRPr="001C7D8F">
        <w:t>se, ale</w:t>
      </w:r>
      <w:r>
        <w:t xml:space="preserve"> v jednotlivých krajích liší hodnotou. Rozdíl hodnot ve Středočeském a Olomouckém kraji lze vidět </w:t>
      </w:r>
      <w:r w:rsidRPr="005116B5">
        <w:t xml:space="preserve">v tabulce č. </w:t>
      </w:r>
      <w:r w:rsidR="005116B5" w:rsidRPr="005116B5">
        <w:t>7</w:t>
      </w:r>
      <w:r w:rsidRPr="005116B5">
        <w:t>. V</w:t>
      </w:r>
      <w:r>
        <w:t> roce 2014 byl rozdíl mediánu mezd nejnižší za sledované období, kdy byl ve výši 1 928 Kč. V roce 2017 byl medián mezd nejvyšší v obou krajích, kdy rozdíl mezi kraji byl o 2 753 Kč.</w:t>
      </w:r>
    </w:p>
    <w:p w14:paraId="51345045" w14:textId="590D72D4" w:rsidR="001C7D8F" w:rsidRPr="00B26995" w:rsidRDefault="001C7D8F" w:rsidP="001C7D8F">
      <w:pPr>
        <w:pStyle w:val="Titulek"/>
        <w:spacing w:after="0"/>
        <w:ind w:firstLine="0"/>
        <w:rPr>
          <w:color w:val="000000" w:themeColor="text1"/>
          <w:sz w:val="20"/>
        </w:rPr>
      </w:pPr>
      <w:bookmarkStart w:id="51" w:name="_Toc15639652"/>
      <w:r w:rsidRPr="005116B5">
        <w:rPr>
          <w:color w:val="000000" w:themeColor="text1"/>
          <w:sz w:val="20"/>
        </w:rPr>
        <w:t xml:space="preserve">Tabulka </w:t>
      </w:r>
      <w:r w:rsidRPr="005116B5">
        <w:rPr>
          <w:color w:val="000000" w:themeColor="text1"/>
          <w:sz w:val="20"/>
        </w:rPr>
        <w:fldChar w:fldCharType="begin"/>
      </w:r>
      <w:r w:rsidRPr="005116B5">
        <w:rPr>
          <w:color w:val="000000" w:themeColor="text1"/>
          <w:sz w:val="20"/>
        </w:rPr>
        <w:instrText xml:space="preserve"> SEQ Tabulka \* ARABIC </w:instrText>
      </w:r>
      <w:r w:rsidRPr="005116B5">
        <w:rPr>
          <w:color w:val="000000" w:themeColor="text1"/>
          <w:sz w:val="20"/>
        </w:rPr>
        <w:fldChar w:fldCharType="separate"/>
      </w:r>
      <w:r w:rsidR="00343D89" w:rsidRPr="005116B5">
        <w:rPr>
          <w:noProof/>
          <w:color w:val="000000" w:themeColor="text1"/>
          <w:sz w:val="20"/>
        </w:rPr>
        <w:t>7</w:t>
      </w:r>
      <w:r w:rsidRPr="005116B5">
        <w:rPr>
          <w:color w:val="000000" w:themeColor="text1"/>
          <w:sz w:val="20"/>
        </w:rPr>
        <w:fldChar w:fldCharType="end"/>
      </w:r>
      <w:r w:rsidRPr="005116B5">
        <w:rPr>
          <w:color w:val="000000" w:themeColor="text1"/>
          <w:sz w:val="20"/>
        </w:rPr>
        <w:t xml:space="preserve"> Rozdíl v mediánu</w:t>
      </w:r>
      <w:r w:rsidRPr="00B26995">
        <w:rPr>
          <w:color w:val="000000" w:themeColor="text1"/>
          <w:sz w:val="20"/>
        </w:rPr>
        <w:t xml:space="preserve"> mezd v porovnávaných krajích</w:t>
      </w:r>
      <w:bookmarkEnd w:id="5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6"/>
        <w:gridCol w:w="721"/>
        <w:gridCol w:w="721"/>
        <w:gridCol w:w="721"/>
        <w:gridCol w:w="721"/>
        <w:gridCol w:w="721"/>
      </w:tblGrid>
      <w:tr w:rsidR="001C7D8F" w:rsidRPr="0003720D" w14:paraId="372762D1" w14:textId="77777777" w:rsidTr="00374815">
        <w:trPr>
          <w:cantSplit/>
          <w:trHeight w:val="780"/>
        </w:trPr>
        <w:tc>
          <w:tcPr>
            <w:tcW w:w="0" w:type="auto"/>
          </w:tcPr>
          <w:p w14:paraId="5EF853F0" w14:textId="77777777" w:rsidR="001C7D8F" w:rsidRPr="0003720D" w:rsidRDefault="001C7D8F" w:rsidP="00374815">
            <w:pPr>
              <w:spacing w:after="200" w:line="276" w:lineRule="auto"/>
              <w:ind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 xml:space="preserve">Období </w:t>
            </w:r>
          </w:p>
        </w:tc>
        <w:tc>
          <w:tcPr>
            <w:tcW w:w="0" w:type="auto"/>
            <w:textDirection w:val="btLr"/>
          </w:tcPr>
          <w:p w14:paraId="77B90C1B" w14:textId="77777777" w:rsidR="001C7D8F" w:rsidRPr="0003720D" w:rsidRDefault="001C7D8F" w:rsidP="00374815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2013</w:t>
            </w:r>
          </w:p>
        </w:tc>
        <w:tc>
          <w:tcPr>
            <w:tcW w:w="0" w:type="auto"/>
            <w:textDirection w:val="btLr"/>
          </w:tcPr>
          <w:p w14:paraId="1112538F" w14:textId="77777777" w:rsidR="001C7D8F" w:rsidRPr="0003720D" w:rsidRDefault="001C7D8F" w:rsidP="00374815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2104</w:t>
            </w:r>
          </w:p>
        </w:tc>
        <w:tc>
          <w:tcPr>
            <w:tcW w:w="0" w:type="auto"/>
            <w:textDirection w:val="btLr"/>
          </w:tcPr>
          <w:p w14:paraId="071C5039" w14:textId="77777777" w:rsidR="001C7D8F" w:rsidRPr="0003720D" w:rsidRDefault="001C7D8F" w:rsidP="00374815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2015</w:t>
            </w:r>
          </w:p>
        </w:tc>
        <w:tc>
          <w:tcPr>
            <w:tcW w:w="0" w:type="auto"/>
            <w:textDirection w:val="btLr"/>
          </w:tcPr>
          <w:p w14:paraId="643E41D1" w14:textId="77777777" w:rsidR="001C7D8F" w:rsidRPr="0003720D" w:rsidRDefault="001C7D8F" w:rsidP="00374815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2016</w:t>
            </w:r>
          </w:p>
        </w:tc>
        <w:tc>
          <w:tcPr>
            <w:tcW w:w="0" w:type="auto"/>
            <w:textDirection w:val="btLr"/>
          </w:tcPr>
          <w:p w14:paraId="436FE816" w14:textId="77777777" w:rsidR="001C7D8F" w:rsidRPr="0003720D" w:rsidRDefault="001C7D8F" w:rsidP="00374815">
            <w:pPr>
              <w:spacing w:after="200" w:line="276" w:lineRule="auto"/>
              <w:ind w:left="113" w:right="113" w:firstLine="0"/>
              <w:jc w:val="left"/>
              <w:rPr>
                <w:b/>
                <w:sz w:val="22"/>
              </w:rPr>
            </w:pPr>
            <w:r w:rsidRPr="0003720D">
              <w:rPr>
                <w:b/>
                <w:sz w:val="22"/>
              </w:rPr>
              <w:t>2017</w:t>
            </w:r>
          </w:p>
        </w:tc>
      </w:tr>
      <w:tr w:rsidR="001C7D8F" w:rsidRPr="0003720D" w14:paraId="05D24DED" w14:textId="77777777" w:rsidTr="005116B5">
        <w:tc>
          <w:tcPr>
            <w:tcW w:w="0" w:type="auto"/>
            <w:shd w:val="clear" w:color="auto" w:fill="auto"/>
          </w:tcPr>
          <w:p w14:paraId="7D06C90F" w14:textId="022FD63A" w:rsidR="001C7D8F" w:rsidRPr="0003720D" w:rsidRDefault="00903522" w:rsidP="00903522">
            <w:pPr>
              <w:spacing w:after="200" w:line="276" w:lineRule="auto"/>
              <w:ind w:firstLine="0"/>
              <w:jc w:val="left"/>
              <w:rPr>
                <w:b/>
                <w:sz w:val="22"/>
              </w:rPr>
            </w:pPr>
            <w:r w:rsidRPr="005116B5">
              <w:rPr>
                <w:b/>
                <w:sz w:val="22"/>
              </w:rPr>
              <w:t>Rozdíl m</w:t>
            </w:r>
            <w:r w:rsidR="001C7D8F" w:rsidRPr="005116B5">
              <w:rPr>
                <w:b/>
                <w:sz w:val="22"/>
              </w:rPr>
              <w:t>edián</w:t>
            </w:r>
            <w:r w:rsidRPr="005116B5">
              <w:rPr>
                <w:b/>
                <w:sz w:val="22"/>
              </w:rPr>
              <w:t>u</w:t>
            </w:r>
            <w:r w:rsidR="001C7D8F" w:rsidRPr="005116B5">
              <w:rPr>
                <w:b/>
                <w:sz w:val="22"/>
              </w:rPr>
              <w:t xml:space="preserve"> mezd </w:t>
            </w:r>
            <w:r w:rsidR="001C7D8F" w:rsidRPr="0003720D">
              <w:rPr>
                <w:b/>
                <w:sz w:val="22"/>
              </w:rPr>
              <w:t>v Kč</w:t>
            </w:r>
          </w:p>
        </w:tc>
        <w:tc>
          <w:tcPr>
            <w:tcW w:w="0" w:type="auto"/>
          </w:tcPr>
          <w:p w14:paraId="085C3C30" w14:textId="77777777" w:rsidR="001C7D8F" w:rsidRPr="0003720D" w:rsidRDefault="001C7D8F" w:rsidP="00374815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2 038</w:t>
            </w:r>
          </w:p>
        </w:tc>
        <w:tc>
          <w:tcPr>
            <w:tcW w:w="0" w:type="auto"/>
          </w:tcPr>
          <w:p w14:paraId="557DBB1A" w14:textId="77777777" w:rsidR="001C7D8F" w:rsidRPr="0003720D" w:rsidRDefault="001C7D8F" w:rsidP="00374815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1 928</w:t>
            </w:r>
          </w:p>
        </w:tc>
        <w:tc>
          <w:tcPr>
            <w:tcW w:w="0" w:type="auto"/>
          </w:tcPr>
          <w:p w14:paraId="537FC117" w14:textId="77777777" w:rsidR="001C7D8F" w:rsidRPr="0003720D" w:rsidRDefault="001C7D8F" w:rsidP="00374815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2 664</w:t>
            </w:r>
          </w:p>
        </w:tc>
        <w:tc>
          <w:tcPr>
            <w:tcW w:w="0" w:type="auto"/>
          </w:tcPr>
          <w:p w14:paraId="671F77BB" w14:textId="77777777" w:rsidR="001C7D8F" w:rsidRPr="0003720D" w:rsidRDefault="001C7D8F" w:rsidP="00374815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2 285</w:t>
            </w:r>
          </w:p>
        </w:tc>
        <w:tc>
          <w:tcPr>
            <w:tcW w:w="0" w:type="auto"/>
          </w:tcPr>
          <w:p w14:paraId="3D411BBF" w14:textId="77777777" w:rsidR="001C7D8F" w:rsidRPr="0003720D" w:rsidRDefault="001C7D8F" w:rsidP="00374815">
            <w:pPr>
              <w:spacing w:after="200"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2 753</w:t>
            </w:r>
          </w:p>
        </w:tc>
      </w:tr>
    </w:tbl>
    <w:p w14:paraId="700420E9" w14:textId="78D50188" w:rsidR="001C7D8F" w:rsidRDefault="009B46C1" w:rsidP="001C7D8F">
      <w:pPr>
        <w:spacing w:after="360"/>
        <w:ind w:firstLine="0"/>
        <w:rPr>
          <w:i/>
          <w:sz w:val="20"/>
        </w:rPr>
      </w:pPr>
      <w:r>
        <w:rPr>
          <w:i/>
          <w:sz w:val="20"/>
        </w:rPr>
        <w:t>Zdroj: Vlastní zpracování,</w:t>
      </w:r>
    </w:p>
    <w:p w14:paraId="67A59E85" w14:textId="54CF32D2" w:rsidR="009E1F7D" w:rsidRPr="00664759" w:rsidRDefault="00FA3E4A" w:rsidP="00DC2557">
      <w:pPr>
        <w:pStyle w:val="Nadpis2"/>
      </w:pPr>
      <w:r>
        <w:br w:type="page"/>
      </w:r>
      <w:bookmarkStart w:id="52" w:name="_Toc15889404"/>
      <w:r w:rsidR="009E1F7D" w:rsidRPr="00664759">
        <w:lastRenderedPageBreak/>
        <w:t>Počet evidovaných uchazečů na úřadě práce podle věku v Olomouckém kraji</w:t>
      </w:r>
      <w:bookmarkEnd w:id="52"/>
    </w:p>
    <w:p w14:paraId="66649215" w14:textId="54567CD2" w:rsidR="00C218BA" w:rsidRDefault="00510F4B" w:rsidP="00510F4B">
      <w:pPr>
        <w:ind w:firstLine="0"/>
      </w:pPr>
      <w:r>
        <w:t>V</w:t>
      </w:r>
      <w:r w:rsidR="00AC0CFA">
        <w:t> tabulce č. 8</w:t>
      </w:r>
      <w:r w:rsidR="005555CD">
        <w:t xml:space="preserve"> </w:t>
      </w:r>
      <w:r w:rsidR="009E1F7D" w:rsidRPr="007D1202">
        <w:t>je zachycen vývoj evidovaných osob na úřad</w:t>
      </w:r>
      <w:r w:rsidR="004E2B80">
        <w:t xml:space="preserve">u práce v Olomouckém kraji. Tabulka </w:t>
      </w:r>
      <w:r w:rsidR="00AC0CFA">
        <w:t>č. 8</w:t>
      </w:r>
      <w:r w:rsidR="00C218BA">
        <w:t xml:space="preserve"> </w:t>
      </w:r>
      <w:r w:rsidR="004E2B80">
        <w:t>je rozdělená</w:t>
      </w:r>
      <w:r w:rsidR="009E1F7D" w:rsidRPr="007D1202">
        <w:t xml:space="preserve"> podle věku, který mají uchaz</w:t>
      </w:r>
      <w:r w:rsidR="00BC7B11">
        <w:t>e</w:t>
      </w:r>
      <w:r w:rsidR="00C218BA">
        <w:t xml:space="preserve">či o zaměstnání na úřadu práce. </w:t>
      </w:r>
      <w:r w:rsidR="00BC7B11">
        <w:t>Tabul</w:t>
      </w:r>
      <w:r w:rsidR="004E2B80">
        <w:t>ka</w:t>
      </w:r>
      <w:r w:rsidR="00AC0CFA">
        <w:t xml:space="preserve"> č. 8</w:t>
      </w:r>
      <w:r w:rsidR="004E2B80">
        <w:t xml:space="preserve"> je rozdělená</w:t>
      </w:r>
      <w:r w:rsidR="00BC7B11">
        <w:t xml:space="preserve"> podle období, ve kterém jsou uchazeči o zaměstnání evidováni. Každé</w:t>
      </w:r>
      <w:r w:rsidR="004E392E">
        <w:t xml:space="preserve"> období je </w:t>
      </w:r>
      <w:r w:rsidR="006E16FC" w:rsidRPr="004964FC">
        <w:t>zpracováno ke dni</w:t>
      </w:r>
      <w:r w:rsidR="006E16FC">
        <w:t> 31. 12.</w:t>
      </w:r>
      <w:r w:rsidR="009E1F7D" w:rsidRPr="007D1202">
        <w:t xml:space="preserve"> V tabulce č. </w:t>
      </w:r>
      <w:r w:rsidR="00AC0CFA">
        <w:t>8</w:t>
      </w:r>
      <w:r w:rsidR="009E1F7D" w:rsidRPr="007D1202">
        <w:t>, lze vidět vývoj evidovaných osob na úřadě práce</w:t>
      </w:r>
      <w:r w:rsidR="004E2B80">
        <w:t xml:space="preserve"> v Olomouckém kraji od roku 2013 –</w:t>
      </w:r>
      <w:r w:rsidR="00B668D2">
        <w:t xml:space="preserve"> 2017.</w:t>
      </w:r>
    </w:p>
    <w:p w14:paraId="7F5697DF" w14:textId="297F2325" w:rsidR="00C218BA" w:rsidRDefault="002248CD" w:rsidP="00510F4B">
      <w:pPr>
        <w:ind w:firstLine="0"/>
      </w:pPr>
      <w:r>
        <w:t xml:space="preserve">Dle věku uchazečů na úřadu </w:t>
      </w:r>
      <w:r w:rsidR="00B668D2">
        <w:t>práce je rozlišováno 11 skupin.</w:t>
      </w:r>
    </w:p>
    <w:p w14:paraId="2092828E" w14:textId="62951764" w:rsidR="001C7D8F" w:rsidRDefault="00A24AEB" w:rsidP="001C7D8F">
      <w:pPr>
        <w:spacing w:after="480"/>
      </w:pPr>
      <w:r>
        <w:t>První skupinu evidovaných uchazečů tvoří uchazeči do 19 let. V</w:t>
      </w:r>
      <w:r w:rsidR="00363EE4">
        <w:t>e druhé skupině jsou uchazeči od 20 – 24 let. Ve třetí skupině evidovaných uchazečů jsou lidé, kteří se nachází ve věku od 25 – 29 let.</w:t>
      </w:r>
      <w:r w:rsidR="00F31D57">
        <w:t xml:space="preserve"> Další skupinou jsou lidé ve věku 30 – 34 let. Do 5. skupiny </w:t>
      </w:r>
      <w:r w:rsidR="002248CD">
        <w:t>lze zařadit</w:t>
      </w:r>
      <w:r w:rsidR="00F31D57">
        <w:t xml:space="preserve"> osoby, které jsou ve věku 35 – 39 let. Š</w:t>
      </w:r>
      <w:r w:rsidR="005555CD">
        <w:t>estou skupinou v tab</w:t>
      </w:r>
      <w:r w:rsidR="002248CD">
        <w:t>ulce</w:t>
      </w:r>
      <w:r w:rsidR="00AC0CFA">
        <w:t xml:space="preserve"> č. 8</w:t>
      </w:r>
      <w:r w:rsidR="005555CD">
        <w:t xml:space="preserve"> </w:t>
      </w:r>
      <w:r w:rsidR="00F31D57">
        <w:t xml:space="preserve">jsou uchazeči </w:t>
      </w:r>
      <w:r w:rsidR="009B5463">
        <w:br/>
      </w:r>
      <w:r w:rsidR="00F31D57">
        <w:t>o zaměstnání ve věku 40 – 44 let.</w:t>
      </w:r>
      <w:r w:rsidR="003F2616">
        <w:t xml:space="preserve"> Dle tabulky č. 8</w:t>
      </w:r>
      <w:r w:rsidR="003A3E73">
        <w:t xml:space="preserve"> lze konstatovat</w:t>
      </w:r>
      <w:r w:rsidR="002248CD">
        <w:t xml:space="preserve">, že do </w:t>
      </w:r>
      <w:r w:rsidR="001A6E23">
        <w:t>sedmé skupiny evidovaných</w:t>
      </w:r>
      <w:r w:rsidR="002248CD">
        <w:t xml:space="preserve"> uchazečů na úřadu práce</w:t>
      </w:r>
      <w:r w:rsidR="008478A2">
        <w:t xml:space="preserve"> jsou zařazeny osoby</w:t>
      </w:r>
      <w:r w:rsidR="001A6E23">
        <w:t xml:space="preserve"> ve věku 45 – 49 let. Další skupinou evidovanýc</w:t>
      </w:r>
      <w:r w:rsidR="0003720D">
        <w:t xml:space="preserve">h osob na úřadu práce jsou lidé, </w:t>
      </w:r>
      <w:r w:rsidR="001A6E23">
        <w:t xml:space="preserve">kteří mají 50 – 54 let. V deváté </w:t>
      </w:r>
      <w:r w:rsidR="00BC7B11">
        <w:t xml:space="preserve">skupině jsou </w:t>
      </w:r>
      <w:r w:rsidR="006E16FC" w:rsidRPr="004964FC">
        <w:t>započítané</w:t>
      </w:r>
      <w:r w:rsidR="006E16FC">
        <w:t xml:space="preserve"> </w:t>
      </w:r>
      <w:r w:rsidR="001A6E23">
        <w:t xml:space="preserve">osoby, kterým je </w:t>
      </w:r>
      <w:r w:rsidR="00846FFA">
        <w:t>55 – 59 let.</w:t>
      </w:r>
    </w:p>
    <w:p w14:paraId="0D22F7E8" w14:textId="65BE8551" w:rsidR="003A3E73" w:rsidRDefault="003A3E73" w:rsidP="003A3E73">
      <w:pPr>
        <w:pStyle w:val="Titulek"/>
        <w:spacing w:after="0"/>
        <w:ind w:firstLine="0"/>
        <w:rPr>
          <w:color w:val="000000" w:themeColor="text1"/>
          <w:sz w:val="20"/>
        </w:rPr>
      </w:pPr>
      <w:bookmarkStart w:id="53" w:name="_Toc15639653"/>
      <w:r w:rsidRPr="00FF575D">
        <w:rPr>
          <w:color w:val="000000" w:themeColor="text1"/>
          <w:sz w:val="20"/>
        </w:rPr>
        <w:t>Tab</w:t>
      </w:r>
      <w:r w:rsidRPr="003A3E73">
        <w:rPr>
          <w:color w:val="000000" w:themeColor="text1"/>
          <w:sz w:val="20"/>
        </w:rPr>
        <w:t xml:space="preserve">ulka </w:t>
      </w:r>
      <w:r w:rsidRPr="003A3E73">
        <w:rPr>
          <w:color w:val="000000" w:themeColor="text1"/>
          <w:sz w:val="20"/>
        </w:rPr>
        <w:fldChar w:fldCharType="begin"/>
      </w:r>
      <w:r w:rsidRPr="003A3E73">
        <w:rPr>
          <w:color w:val="000000" w:themeColor="text1"/>
          <w:sz w:val="20"/>
        </w:rPr>
        <w:instrText xml:space="preserve"> SEQ Tabulka \* ARABIC </w:instrText>
      </w:r>
      <w:r w:rsidRPr="003A3E73">
        <w:rPr>
          <w:color w:val="000000" w:themeColor="text1"/>
          <w:sz w:val="20"/>
        </w:rPr>
        <w:fldChar w:fldCharType="separate"/>
      </w:r>
      <w:r w:rsidR="00343D89">
        <w:rPr>
          <w:noProof/>
          <w:color w:val="000000" w:themeColor="text1"/>
          <w:sz w:val="20"/>
        </w:rPr>
        <w:t>8</w:t>
      </w:r>
      <w:r w:rsidRPr="003A3E73">
        <w:rPr>
          <w:color w:val="000000" w:themeColor="text1"/>
          <w:sz w:val="20"/>
        </w:rPr>
        <w:fldChar w:fldCharType="end"/>
      </w:r>
      <w:r w:rsidRPr="003A3E73">
        <w:rPr>
          <w:color w:val="000000" w:themeColor="text1"/>
          <w:sz w:val="20"/>
        </w:rPr>
        <w:t>Počet evidovaných uchazečů na úřadu práce podle věku v Olomouckém kraji v období 2013 – 2017</w:t>
      </w:r>
      <w:bookmarkEnd w:id="53"/>
    </w:p>
    <w:tbl>
      <w:tblPr>
        <w:tblStyle w:val="Mkatabulky"/>
        <w:tblpPr w:leftFromText="141" w:rightFromText="141" w:vertAnchor="page" w:horzAnchor="margin" w:tblpY="8585"/>
        <w:tblW w:w="6011" w:type="dxa"/>
        <w:tblLook w:val="04A0" w:firstRow="1" w:lastRow="0" w:firstColumn="1" w:lastColumn="0" w:noHBand="0" w:noVBand="1"/>
      </w:tblPr>
      <w:tblGrid>
        <w:gridCol w:w="1536"/>
        <w:gridCol w:w="895"/>
        <w:gridCol w:w="895"/>
        <w:gridCol w:w="895"/>
        <w:gridCol w:w="895"/>
        <w:gridCol w:w="895"/>
      </w:tblGrid>
      <w:tr w:rsidR="003A3E73" w14:paraId="713982F5" w14:textId="77777777" w:rsidTr="003A3E73">
        <w:trPr>
          <w:trHeight w:val="400"/>
        </w:trPr>
        <w:tc>
          <w:tcPr>
            <w:tcW w:w="0" w:type="auto"/>
            <w:vAlign w:val="center"/>
          </w:tcPr>
          <w:p w14:paraId="38C5462B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K 31.12.</w:t>
            </w:r>
          </w:p>
        </w:tc>
        <w:tc>
          <w:tcPr>
            <w:tcW w:w="0" w:type="auto"/>
            <w:vAlign w:val="center"/>
          </w:tcPr>
          <w:p w14:paraId="0321B93D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0" w:type="auto"/>
            <w:vAlign w:val="center"/>
          </w:tcPr>
          <w:p w14:paraId="3FCC15ED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0" w:type="auto"/>
            <w:vAlign w:val="center"/>
          </w:tcPr>
          <w:p w14:paraId="13720ADB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0" w:type="auto"/>
            <w:vAlign w:val="center"/>
          </w:tcPr>
          <w:p w14:paraId="1917314D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0" w:type="auto"/>
            <w:vAlign w:val="center"/>
          </w:tcPr>
          <w:p w14:paraId="29CB243A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3A3E73" w14:paraId="1BC36C1C" w14:textId="77777777" w:rsidTr="003A3E73">
        <w:trPr>
          <w:trHeight w:val="400"/>
        </w:trPr>
        <w:tc>
          <w:tcPr>
            <w:tcW w:w="0" w:type="auto"/>
            <w:vAlign w:val="center"/>
          </w:tcPr>
          <w:p w14:paraId="4661F28E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Do 19 let</w:t>
            </w:r>
          </w:p>
        </w:tc>
        <w:tc>
          <w:tcPr>
            <w:tcW w:w="0" w:type="auto"/>
            <w:vAlign w:val="center"/>
          </w:tcPr>
          <w:p w14:paraId="36A30DAC" w14:textId="77777777" w:rsidR="003A3E73" w:rsidRPr="008478A2" w:rsidRDefault="003A3E73" w:rsidP="003A3E73">
            <w:pPr>
              <w:ind w:firstLine="0"/>
              <w:jc w:val="left"/>
              <w:rPr>
                <w:b/>
              </w:rPr>
            </w:pPr>
            <w:r w:rsidRPr="008478A2">
              <w:rPr>
                <w:b/>
              </w:rPr>
              <w:t>1 375</w:t>
            </w:r>
          </w:p>
        </w:tc>
        <w:tc>
          <w:tcPr>
            <w:tcW w:w="0" w:type="auto"/>
            <w:vAlign w:val="center"/>
          </w:tcPr>
          <w:p w14:paraId="28506264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1 123</w:t>
            </w:r>
          </w:p>
        </w:tc>
        <w:tc>
          <w:tcPr>
            <w:tcW w:w="0" w:type="auto"/>
            <w:vAlign w:val="center"/>
          </w:tcPr>
          <w:p w14:paraId="2EDB672D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875</w:t>
            </w:r>
          </w:p>
        </w:tc>
        <w:tc>
          <w:tcPr>
            <w:tcW w:w="0" w:type="auto"/>
            <w:vAlign w:val="center"/>
          </w:tcPr>
          <w:p w14:paraId="321202D0" w14:textId="77777777" w:rsidR="003A3E73" w:rsidRPr="004B1BFE" w:rsidRDefault="003A3E73" w:rsidP="003A3E73">
            <w:pPr>
              <w:ind w:firstLine="0"/>
              <w:jc w:val="left"/>
            </w:pPr>
            <w:r>
              <w:t>754</w:t>
            </w:r>
          </w:p>
        </w:tc>
        <w:tc>
          <w:tcPr>
            <w:tcW w:w="0" w:type="auto"/>
            <w:vAlign w:val="center"/>
          </w:tcPr>
          <w:p w14:paraId="7802BAC1" w14:textId="77777777" w:rsidR="003A3E73" w:rsidRPr="004B1BFE" w:rsidRDefault="003A3E73" w:rsidP="003A3E73">
            <w:pPr>
              <w:ind w:firstLine="0"/>
              <w:jc w:val="left"/>
            </w:pPr>
            <w:r>
              <w:t>559</w:t>
            </w:r>
          </w:p>
        </w:tc>
      </w:tr>
      <w:tr w:rsidR="003A3E73" w14:paraId="569364BC" w14:textId="77777777" w:rsidTr="003A3E73">
        <w:trPr>
          <w:trHeight w:val="411"/>
        </w:trPr>
        <w:tc>
          <w:tcPr>
            <w:tcW w:w="0" w:type="auto"/>
            <w:vAlign w:val="center"/>
          </w:tcPr>
          <w:p w14:paraId="33173A86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20 – 24 let</w:t>
            </w:r>
          </w:p>
        </w:tc>
        <w:tc>
          <w:tcPr>
            <w:tcW w:w="0" w:type="auto"/>
            <w:vAlign w:val="center"/>
          </w:tcPr>
          <w:p w14:paraId="1D2D040B" w14:textId="77777777" w:rsidR="003A3E73" w:rsidRPr="00FF575D" w:rsidRDefault="003A3E73" w:rsidP="003A3E73">
            <w:pPr>
              <w:ind w:firstLine="0"/>
              <w:jc w:val="left"/>
              <w:rPr>
                <w:b/>
              </w:rPr>
            </w:pPr>
            <w:r w:rsidRPr="00FF575D">
              <w:rPr>
                <w:b/>
              </w:rPr>
              <w:t>5 605</w:t>
            </w:r>
          </w:p>
        </w:tc>
        <w:tc>
          <w:tcPr>
            <w:tcW w:w="0" w:type="auto"/>
            <w:vAlign w:val="center"/>
          </w:tcPr>
          <w:p w14:paraId="6300D9E8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4 374</w:t>
            </w:r>
          </w:p>
        </w:tc>
        <w:tc>
          <w:tcPr>
            <w:tcW w:w="0" w:type="auto"/>
            <w:vAlign w:val="center"/>
          </w:tcPr>
          <w:p w14:paraId="32B49729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3 027</w:t>
            </w:r>
          </w:p>
        </w:tc>
        <w:tc>
          <w:tcPr>
            <w:tcW w:w="0" w:type="auto"/>
            <w:vAlign w:val="center"/>
          </w:tcPr>
          <w:p w14:paraId="5517DFBA" w14:textId="77777777" w:rsidR="003A3E73" w:rsidRPr="004B1BFE" w:rsidRDefault="003A3E73" w:rsidP="003A3E73">
            <w:pPr>
              <w:ind w:firstLine="0"/>
              <w:jc w:val="left"/>
            </w:pPr>
            <w:r>
              <w:t>2 320</w:t>
            </w:r>
          </w:p>
        </w:tc>
        <w:tc>
          <w:tcPr>
            <w:tcW w:w="0" w:type="auto"/>
            <w:vAlign w:val="center"/>
          </w:tcPr>
          <w:p w14:paraId="0FEEC8A0" w14:textId="77777777" w:rsidR="003A3E73" w:rsidRPr="004B1BFE" w:rsidRDefault="003A3E73" w:rsidP="003A3E73">
            <w:pPr>
              <w:ind w:firstLine="0"/>
              <w:jc w:val="left"/>
            </w:pPr>
            <w:r>
              <w:t>1 431</w:t>
            </w:r>
          </w:p>
        </w:tc>
      </w:tr>
      <w:tr w:rsidR="003A3E73" w14:paraId="2A2ECB60" w14:textId="77777777" w:rsidTr="003A3E73">
        <w:trPr>
          <w:trHeight w:val="400"/>
        </w:trPr>
        <w:tc>
          <w:tcPr>
            <w:tcW w:w="0" w:type="auto"/>
            <w:vAlign w:val="center"/>
          </w:tcPr>
          <w:p w14:paraId="6F8C6C7E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25 -29let</w:t>
            </w:r>
          </w:p>
        </w:tc>
        <w:tc>
          <w:tcPr>
            <w:tcW w:w="0" w:type="auto"/>
            <w:vAlign w:val="center"/>
          </w:tcPr>
          <w:p w14:paraId="792B02B3" w14:textId="77777777" w:rsidR="003A3E73" w:rsidRPr="00FF575D" w:rsidRDefault="003A3E73" w:rsidP="003A3E73">
            <w:pPr>
              <w:ind w:firstLine="0"/>
              <w:jc w:val="left"/>
              <w:rPr>
                <w:b/>
              </w:rPr>
            </w:pPr>
            <w:r w:rsidRPr="00FF575D">
              <w:rPr>
                <w:b/>
              </w:rPr>
              <w:t>4 712</w:t>
            </w:r>
          </w:p>
        </w:tc>
        <w:tc>
          <w:tcPr>
            <w:tcW w:w="0" w:type="auto"/>
            <w:vAlign w:val="center"/>
          </w:tcPr>
          <w:p w14:paraId="021380A5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4 145</w:t>
            </w:r>
          </w:p>
        </w:tc>
        <w:tc>
          <w:tcPr>
            <w:tcW w:w="0" w:type="auto"/>
            <w:vAlign w:val="center"/>
          </w:tcPr>
          <w:p w14:paraId="413AF7E8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3 076</w:t>
            </w:r>
          </w:p>
        </w:tc>
        <w:tc>
          <w:tcPr>
            <w:tcW w:w="0" w:type="auto"/>
            <w:vAlign w:val="center"/>
          </w:tcPr>
          <w:p w14:paraId="0E456171" w14:textId="77777777" w:rsidR="003A3E73" w:rsidRPr="004B1BFE" w:rsidRDefault="003A3E73" w:rsidP="003A3E73">
            <w:pPr>
              <w:ind w:firstLine="0"/>
              <w:jc w:val="left"/>
            </w:pPr>
            <w:r>
              <w:t>2 613</w:t>
            </w:r>
          </w:p>
        </w:tc>
        <w:tc>
          <w:tcPr>
            <w:tcW w:w="0" w:type="auto"/>
            <w:vAlign w:val="center"/>
          </w:tcPr>
          <w:p w14:paraId="16B7F496" w14:textId="77777777" w:rsidR="003A3E73" w:rsidRPr="004B1BFE" w:rsidRDefault="003A3E73" w:rsidP="003A3E73">
            <w:pPr>
              <w:ind w:firstLine="0"/>
              <w:jc w:val="left"/>
            </w:pPr>
            <w:r>
              <w:t>1 827</w:t>
            </w:r>
          </w:p>
        </w:tc>
      </w:tr>
      <w:tr w:rsidR="003A3E73" w14:paraId="292F7D85" w14:textId="77777777" w:rsidTr="003A3E73">
        <w:trPr>
          <w:trHeight w:val="400"/>
        </w:trPr>
        <w:tc>
          <w:tcPr>
            <w:tcW w:w="0" w:type="auto"/>
            <w:vAlign w:val="center"/>
          </w:tcPr>
          <w:p w14:paraId="603CF425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30 – 34- let</w:t>
            </w:r>
          </w:p>
        </w:tc>
        <w:tc>
          <w:tcPr>
            <w:tcW w:w="0" w:type="auto"/>
            <w:vAlign w:val="center"/>
          </w:tcPr>
          <w:p w14:paraId="1D6F1A37" w14:textId="77777777" w:rsidR="003A3E73" w:rsidRPr="00FF575D" w:rsidRDefault="003A3E73" w:rsidP="003A3E73">
            <w:pPr>
              <w:ind w:firstLine="0"/>
              <w:jc w:val="left"/>
              <w:rPr>
                <w:b/>
              </w:rPr>
            </w:pPr>
            <w:r w:rsidRPr="00FF575D">
              <w:rPr>
                <w:b/>
              </w:rPr>
              <w:t>4 675</w:t>
            </w:r>
          </w:p>
        </w:tc>
        <w:tc>
          <w:tcPr>
            <w:tcW w:w="0" w:type="auto"/>
            <w:vAlign w:val="center"/>
          </w:tcPr>
          <w:p w14:paraId="4A4D839A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3 983</w:t>
            </w:r>
          </w:p>
        </w:tc>
        <w:tc>
          <w:tcPr>
            <w:tcW w:w="0" w:type="auto"/>
            <w:vAlign w:val="center"/>
          </w:tcPr>
          <w:p w14:paraId="1ABE79B3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3 037</w:t>
            </w:r>
          </w:p>
        </w:tc>
        <w:tc>
          <w:tcPr>
            <w:tcW w:w="0" w:type="auto"/>
            <w:vAlign w:val="center"/>
          </w:tcPr>
          <w:p w14:paraId="184F77D6" w14:textId="77777777" w:rsidR="003A3E73" w:rsidRPr="004B1BFE" w:rsidRDefault="003A3E73" w:rsidP="003A3E73">
            <w:pPr>
              <w:ind w:firstLine="0"/>
              <w:jc w:val="left"/>
            </w:pPr>
            <w:r>
              <w:t>2 437</w:t>
            </w:r>
          </w:p>
        </w:tc>
        <w:tc>
          <w:tcPr>
            <w:tcW w:w="0" w:type="auto"/>
            <w:vAlign w:val="center"/>
          </w:tcPr>
          <w:p w14:paraId="3BB4FBDF" w14:textId="77777777" w:rsidR="003A3E73" w:rsidRPr="004B1BFE" w:rsidRDefault="003A3E73" w:rsidP="003A3E73">
            <w:pPr>
              <w:ind w:firstLine="0"/>
              <w:jc w:val="left"/>
            </w:pPr>
            <w:r>
              <w:t>1 675</w:t>
            </w:r>
          </w:p>
        </w:tc>
      </w:tr>
      <w:tr w:rsidR="003A3E73" w14:paraId="0CC767A6" w14:textId="77777777" w:rsidTr="003A3E73">
        <w:trPr>
          <w:trHeight w:val="411"/>
        </w:trPr>
        <w:tc>
          <w:tcPr>
            <w:tcW w:w="0" w:type="auto"/>
            <w:vAlign w:val="center"/>
          </w:tcPr>
          <w:p w14:paraId="1DEF1330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35-39 let</w:t>
            </w:r>
          </w:p>
        </w:tc>
        <w:tc>
          <w:tcPr>
            <w:tcW w:w="0" w:type="auto"/>
            <w:vAlign w:val="center"/>
          </w:tcPr>
          <w:p w14:paraId="77BFD0EE" w14:textId="77777777" w:rsidR="003A3E73" w:rsidRPr="00A91662" w:rsidRDefault="003A3E73" w:rsidP="003A3E73">
            <w:pPr>
              <w:ind w:firstLine="0"/>
              <w:jc w:val="left"/>
              <w:rPr>
                <w:b/>
              </w:rPr>
            </w:pPr>
            <w:r w:rsidRPr="00A91662">
              <w:rPr>
                <w:b/>
              </w:rPr>
              <w:t>5 611</w:t>
            </w:r>
          </w:p>
        </w:tc>
        <w:tc>
          <w:tcPr>
            <w:tcW w:w="0" w:type="auto"/>
            <w:vAlign w:val="center"/>
          </w:tcPr>
          <w:p w14:paraId="14BF3905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4 945</w:t>
            </w:r>
          </w:p>
        </w:tc>
        <w:tc>
          <w:tcPr>
            <w:tcW w:w="0" w:type="auto"/>
            <w:vAlign w:val="center"/>
          </w:tcPr>
          <w:p w14:paraId="06FB205B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3 750</w:t>
            </w:r>
          </w:p>
        </w:tc>
        <w:tc>
          <w:tcPr>
            <w:tcW w:w="0" w:type="auto"/>
            <w:vAlign w:val="center"/>
          </w:tcPr>
          <w:p w14:paraId="6B14E4A0" w14:textId="77777777" w:rsidR="003A3E73" w:rsidRPr="004B1BFE" w:rsidRDefault="003A3E73" w:rsidP="003A3E73">
            <w:pPr>
              <w:ind w:firstLine="0"/>
              <w:jc w:val="left"/>
            </w:pPr>
            <w:r>
              <w:t>3 001</w:t>
            </w:r>
          </w:p>
        </w:tc>
        <w:tc>
          <w:tcPr>
            <w:tcW w:w="0" w:type="auto"/>
            <w:vAlign w:val="center"/>
          </w:tcPr>
          <w:p w14:paraId="1B93B65A" w14:textId="77777777" w:rsidR="003A3E73" w:rsidRPr="004B1BFE" w:rsidRDefault="003A3E73" w:rsidP="003A3E73">
            <w:pPr>
              <w:ind w:firstLine="0"/>
              <w:jc w:val="left"/>
            </w:pPr>
            <w:r>
              <w:t>2 016</w:t>
            </w:r>
          </w:p>
        </w:tc>
      </w:tr>
      <w:tr w:rsidR="003A3E73" w14:paraId="3A3AD4DF" w14:textId="77777777" w:rsidTr="003A3E73">
        <w:trPr>
          <w:trHeight w:val="400"/>
        </w:trPr>
        <w:tc>
          <w:tcPr>
            <w:tcW w:w="0" w:type="auto"/>
            <w:vAlign w:val="center"/>
          </w:tcPr>
          <w:p w14:paraId="58E013AF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40 – 44 let</w:t>
            </w:r>
          </w:p>
        </w:tc>
        <w:tc>
          <w:tcPr>
            <w:tcW w:w="0" w:type="auto"/>
            <w:vAlign w:val="center"/>
          </w:tcPr>
          <w:p w14:paraId="27600C3F" w14:textId="77777777" w:rsidR="003A3E73" w:rsidRPr="00A91662" w:rsidRDefault="003A3E73" w:rsidP="003A3E73">
            <w:pPr>
              <w:ind w:firstLine="0"/>
              <w:jc w:val="left"/>
              <w:rPr>
                <w:b/>
              </w:rPr>
            </w:pPr>
            <w:r w:rsidRPr="00A91662">
              <w:rPr>
                <w:b/>
              </w:rPr>
              <w:t>4 662</w:t>
            </w:r>
          </w:p>
        </w:tc>
        <w:tc>
          <w:tcPr>
            <w:tcW w:w="0" w:type="auto"/>
            <w:vAlign w:val="center"/>
          </w:tcPr>
          <w:p w14:paraId="2AC2A767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4 518</w:t>
            </w:r>
          </w:p>
        </w:tc>
        <w:tc>
          <w:tcPr>
            <w:tcW w:w="0" w:type="auto"/>
            <w:vAlign w:val="center"/>
          </w:tcPr>
          <w:p w14:paraId="089CDE15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3 703</w:t>
            </w:r>
          </w:p>
        </w:tc>
        <w:tc>
          <w:tcPr>
            <w:tcW w:w="0" w:type="auto"/>
            <w:vAlign w:val="center"/>
          </w:tcPr>
          <w:p w14:paraId="05007FEF" w14:textId="77777777" w:rsidR="003A3E73" w:rsidRPr="004B1BFE" w:rsidRDefault="003A3E73" w:rsidP="003A3E73">
            <w:pPr>
              <w:ind w:firstLine="0"/>
              <w:jc w:val="left"/>
            </w:pPr>
            <w:r>
              <w:t>3 282</w:t>
            </w:r>
          </w:p>
        </w:tc>
        <w:tc>
          <w:tcPr>
            <w:tcW w:w="0" w:type="auto"/>
            <w:vAlign w:val="center"/>
          </w:tcPr>
          <w:p w14:paraId="7F389F0E" w14:textId="77777777" w:rsidR="003A3E73" w:rsidRPr="004B1BFE" w:rsidRDefault="003A3E73" w:rsidP="003A3E73">
            <w:pPr>
              <w:ind w:firstLine="0"/>
              <w:jc w:val="left"/>
            </w:pPr>
            <w:r>
              <w:t>2 366</w:t>
            </w:r>
          </w:p>
        </w:tc>
      </w:tr>
      <w:tr w:rsidR="003A3E73" w14:paraId="4FF0E4D4" w14:textId="77777777" w:rsidTr="003A3E73">
        <w:trPr>
          <w:trHeight w:val="400"/>
        </w:trPr>
        <w:tc>
          <w:tcPr>
            <w:tcW w:w="0" w:type="auto"/>
            <w:vAlign w:val="center"/>
          </w:tcPr>
          <w:p w14:paraId="7E05415B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45 -49let</w:t>
            </w:r>
          </w:p>
        </w:tc>
        <w:tc>
          <w:tcPr>
            <w:tcW w:w="0" w:type="auto"/>
            <w:vAlign w:val="center"/>
          </w:tcPr>
          <w:p w14:paraId="2AA931CD" w14:textId="77777777" w:rsidR="003A3E73" w:rsidRPr="00A91662" w:rsidRDefault="003A3E73" w:rsidP="003A3E73">
            <w:pPr>
              <w:ind w:firstLine="0"/>
              <w:jc w:val="left"/>
              <w:rPr>
                <w:b/>
              </w:rPr>
            </w:pPr>
            <w:r w:rsidRPr="00A91662">
              <w:rPr>
                <w:b/>
              </w:rPr>
              <w:t>4 650</w:t>
            </w:r>
          </w:p>
        </w:tc>
        <w:tc>
          <w:tcPr>
            <w:tcW w:w="0" w:type="auto"/>
            <w:vAlign w:val="center"/>
          </w:tcPr>
          <w:p w14:paraId="37E8551F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4 207</w:t>
            </w:r>
          </w:p>
        </w:tc>
        <w:tc>
          <w:tcPr>
            <w:tcW w:w="0" w:type="auto"/>
            <w:vAlign w:val="center"/>
          </w:tcPr>
          <w:p w14:paraId="67166352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3 347</w:t>
            </w:r>
          </w:p>
        </w:tc>
        <w:tc>
          <w:tcPr>
            <w:tcW w:w="0" w:type="auto"/>
            <w:vAlign w:val="center"/>
          </w:tcPr>
          <w:p w14:paraId="60ED318E" w14:textId="77777777" w:rsidR="003A3E73" w:rsidRPr="004B1BFE" w:rsidRDefault="003A3E73" w:rsidP="003A3E73">
            <w:pPr>
              <w:ind w:firstLine="0"/>
              <w:jc w:val="left"/>
            </w:pPr>
            <w:r>
              <w:t>2 860</w:t>
            </w:r>
          </w:p>
        </w:tc>
        <w:tc>
          <w:tcPr>
            <w:tcW w:w="0" w:type="auto"/>
            <w:vAlign w:val="center"/>
          </w:tcPr>
          <w:p w14:paraId="0692FC97" w14:textId="77777777" w:rsidR="003A3E73" w:rsidRPr="004B1BFE" w:rsidRDefault="003A3E73" w:rsidP="003A3E73">
            <w:pPr>
              <w:ind w:firstLine="0"/>
              <w:jc w:val="left"/>
            </w:pPr>
            <w:r>
              <w:t>2 121</w:t>
            </w:r>
          </w:p>
        </w:tc>
      </w:tr>
      <w:tr w:rsidR="003A3E73" w14:paraId="1D1956C4" w14:textId="77777777" w:rsidTr="003A3E73">
        <w:trPr>
          <w:trHeight w:val="400"/>
        </w:trPr>
        <w:tc>
          <w:tcPr>
            <w:tcW w:w="0" w:type="auto"/>
            <w:vAlign w:val="center"/>
          </w:tcPr>
          <w:p w14:paraId="678766CA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50 – 54 let</w:t>
            </w:r>
          </w:p>
        </w:tc>
        <w:tc>
          <w:tcPr>
            <w:tcW w:w="0" w:type="auto"/>
            <w:vAlign w:val="center"/>
          </w:tcPr>
          <w:p w14:paraId="507F420D" w14:textId="77777777" w:rsidR="003A3E73" w:rsidRPr="00FF575D" w:rsidRDefault="003A3E73" w:rsidP="003A3E73">
            <w:pPr>
              <w:ind w:firstLine="0"/>
              <w:jc w:val="left"/>
              <w:rPr>
                <w:b/>
              </w:rPr>
            </w:pPr>
            <w:r w:rsidRPr="00FF575D">
              <w:rPr>
                <w:b/>
              </w:rPr>
              <w:t>4 883</w:t>
            </w:r>
          </w:p>
        </w:tc>
        <w:tc>
          <w:tcPr>
            <w:tcW w:w="0" w:type="auto"/>
            <w:vAlign w:val="center"/>
          </w:tcPr>
          <w:p w14:paraId="3D15D16D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4 566</w:t>
            </w:r>
          </w:p>
        </w:tc>
        <w:tc>
          <w:tcPr>
            <w:tcW w:w="0" w:type="auto"/>
            <w:vAlign w:val="center"/>
          </w:tcPr>
          <w:p w14:paraId="0910213C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3 835</w:t>
            </w:r>
          </w:p>
        </w:tc>
        <w:tc>
          <w:tcPr>
            <w:tcW w:w="0" w:type="auto"/>
            <w:vAlign w:val="center"/>
          </w:tcPr>
          <w:p w14:paraId="4AD7BE15" w14:textId="77777777" w:rsidR="003A3E73" w:rsidRPr="004B1BFE" w:rsidRDefault="003A3E73" w:rsidP="003A3E73">
            <w:pPr>
              <w:ind w:firstLine="0"/>
              <w:jc w:val="left"/>
            </w:pPr>
            <w:r>
              <w:t>3 311</w:t>
            </w:r>
          </w:p>
        </w:tc>
        <w:tc>
          <w:tcPr>
            <w:tcW w:w="0" w:type="auto"/>
            <w:vAlign w:val="center"/>
          </w:tcPr>
          <w:p w14:paraId="51A409D0" w14:textId="77777777" w:rsidR="003A3E73" w:rsidRPr="004B1BFE" w:rsidRDefault="003A3E73" w:rsidP="003A3E73">
            <w:pPr>
              <w:ind w:firstLine="0"/>
              <w:jc w:val="left"/>
            </w:pPr>
            <w:r>
              <w:t>2 517</w:t>
            </w:r>
          </w:p>
        </w:tc>
      </w:tr>
      <w:tr w:rsidR="003A3E73" w14:paraId="1D6ACDDF" w14:textId="77777777" w:rsidTr="003A3E73">
        <w:trPr>
          <w:trHeight w:val="411"/>
        </w:trPr>
        <w:tc>
          <w:tcPr>
            <w:tcW w:w="0" w:type="auto"/>
            <w:vAlign w:val="center"/>
          </w:tcPr>
          <w:p w14:paraId="70226DC0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55 – 59 let</w:t>
            </w:r>
          </w:p>
        </w:tc>
        <w:tc>
          <w:tcPr>
            <w:tcW w:w="0" w:type="auto"/>
            <w:vAlign w:val="center"/>
          </w:tcPr>
          <w:p w14:paraId="73D942B4" w14:textId="77777777" w:rsidR="003A3E73" w:rsidRPr="00A91662" w:rsidRDefault="003A3E73" w:rsidP="003A3E73">
            <w:pPr>
              <w:ind w:firstLine="0"/>
              <w:jc w:val="left"/>
              <w:rPr>
                <w:b/>
              </w:rPr>
            </w:pPr>
            <w:r w:rsidRPr="00A91662">
              <w:rPr>
                <w:b/>
              </w:rPr>
              <w:t>5 728</w:t>
            </w:r>
          </w:p>
        </w:tc>
        <w:tc>
          <w:tcPr>
            <w:tcW w:w="0" w:type="auto"/>
            <w:vAlign w:val="center"/>
          </w:tcPr>
          <w:p w14:paraId="70E0D937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4 542</w:t>
            </w:r>
          </w:p>
        </w:tc>
        <w:tc>
          <w:tcPr>
            <w:tcW w:w="0" w:type="auto"/>
            <w:vAlign w:val="center"/>
          </w:tcPr>
          <w:p w14:paraId="7CFA0D7C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4 649</w:t>
            </w:r>
          </w:p>
        </w:tc>
        <w:tc>
          <w:tcPr>
            <w:tcW w:w="0" w:type="auto"/>
            <w:vAlign w:val="center"/>
          </w:tcPr>
          <w:p w14:paraId="1FE44DA7" w14:textId="77777777" w:rsidR="003A3E73" w:rsidRPr="004B1BFE" w:rsidRDefault="003A3E73" w:rsidP="003A3E73">
            <w:pPr>
              <w:ind w:firstLine="0"/>
              <w:jc w:val="left"/>
            </w:pPr>
            <w:r>
              <w:t>4 014</w:t>
            </w:r>
          </w:p>
        </w:tc>
        <w:tc>
          <w:tcPr>
            <w:tcW w:w="0" w:type="auto"/>
            <w:vAlign w:val="center"/>
          </w:tcPr>
          <w:p w14:paraId="1483C009" w14:textId="77777777" w:rsidR="003A3E73" w:rsidRPr="004B1BFE" w:rsidRDefault="003A3E73" w:rsidP="003A3E73">
            <w:pPr>
              <w:ind w:firstLine="0"/>
              <w:jc w:val="left"/>
            </w:pPr>
            <w:r>
              <w:t>3 219</w:t>
            </w:r>
          </w:p>
        </w:tc>
      </w:tr>
      <w:tr w:rsidR="003A3E73" w14:paraId="154D0BEC" w14:textId="77777777" w:rsidTr="003A3E73">
        <w:trPr>
          <w:trHeight w:val="400"/>
        </w:trPr>
        <w:tc>
          <w:tcPr>
            <w:tcW w:w="0" w:type="auto"/>
            <w:vAlign w:val="center"/>
          </w:tcPr>
          <w:p w14:paraId="2568AB1F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60 – 64 let</w:t>
            </w:r>
          </w:p>
        </w:tc>
        <w:tc>
          <w:tcPr>
            <w:tcW w:w="0" w:type="auto"/>
            <w:vAlign w:val="center"/>
          </w:tcPr>
          <w:p w14:paraId="3B798633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1 429</w:t>
            </w:r>
          </w:p>
        </w:tc>
        <w:tc>
          <w:tcPr>
            <w:tcW w:w="0" w:type="auto"/>
            <w:vAlign w:val="center"/>
          </w:tcPr>
          <w:p w14:paraId="401E265F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1 633</w:t>
            </w:r>
          </w:p>
        </w:tc>
        <w:tc>
          <w:tcPr>
            <w:tcW w:w="0" w:type="auto"/>
            <w:vAlign w:val="center"/>
          </w:tcPr>
          <w:p w14:paraId="5FB2EE2A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1 702</w:t>
            </w:r>
          </w:p>
        </w:tc>
        <w:tc>
          <w:tcPr>
            <w:tcW w:w="0" w:type="auto"/>
            <w:vAlign w:val="center"/>
          </w:tcPr>
          <w:p w14:paraId="6E67B16C" w14:textId="77777777" w:rsidR="003A3E73" w:rsidRPr="00A91662" w:rsidRDefault="003A3E73" w:rsidP="003A3E73">
            <w:pPr>
              <w:ind w:firstLine="0"/>
              <w:jc w:val="left"/>
              <w:rPr>
                <w:b/>
              </w:rPr>
            </w:pPr>
            <w:r w:rsidRPr="00A91662">
              <w:rPr>
                <w:b/>
              </w:rPr>
              <w:t>1 824</w:t>
            </w:r>
          </w:p>
        </w:tc>
        <w:tc>
          <w:tcPr>
            <w:tcW w:w="0" w:type="auto"/>
            <w:vAlign w:val="center"/>
          </w:tcPr>
          <w:p w14:paraId="1B0E7938" w14:textId="77777777" w:rsidR="003A3E73" w:rsidRPr="004B1BFE" w:rsidRDefault="003A3E73" w:rsidP="003A3E73">
            <w:pPr>
              <w:ind w:firstLine="0"/>
              <w:jc w:val="left"/>
            </w:pPr>
            <w:r>
              <w:t>1 700</w:t>
            </w:r>
          </w:p>
        </w:tc>
      </w:tr>
      <w:tr w:rsidR="003A3E73" w14:paraId="667AED8E" w14:textId="77777777" w:rsidTr="003A3E73">
        <w:trPr>
          <w:trHeight w:val="400"/>
        </w:trPr>
        <w:tc>
          <w:tcPr>
            <w:tcW w:w="0" w:type="auto"/>
            <w:vAlign w:val="center"/>
          </w:tcPr>
          <w:p w14:paraId="47CF2783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65 let a více</w:t>
            </w:r>
          </w:p>
        </w:tc>
        <w:tc>
          <w:tcPr>
            <w:tcW w:w="0" w:type="auto"/>
            <w:vAlign w:val="center"/>
          </w:tcPr>
          <w:p w14:paraId="712BB111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34</w:t>
            </w:r>
          </w:p>
        </w:tc>
        <w:tc>
          <w:tcPr>
            <w:tcW w:w="0" w:type="auto"/>
            <w:vAlign w:val="center"/>
          </w:tcPr>
          <w:p w14:paraId="3434C945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44</w:t>
            </w:r>
          </w:p>
        </w:tc>
        <w:tc>
          <w:tcPr>
            <w:tcW w:w="0" w:type="auto"/>
            <w:vAlign w:val="center"/>
          </w:tcPr>
          <w:p w14:paraId="681A2BB7" w14:textId="77777777" w:rsidR="003A3E73" w:rsidRPr="003269D3" w:rsidRDefault="003A3E73" w:rsidP="003A3E73">
            <w:pPr>
              <w:ind w:firstLine="0"/>
              <w:jc w:val="left"/>
            </w:pPr>
            <w:r w:rsidRPr="003269D3">
              <w:t>57</w:t>
            </w:r>
          </w:p>
        </w:tc>
        <w:tc>
          <w:tcPr>
            <w:tcW w:w="0" w:type="auto"/>
            <w:vAlign w:val="center"/>
          </w:tcPr>
          <w:p w14:paraId="4F0BE88A" w14:textId="77777777" w:rsidR="003A3E73" w:rsidRPr="004B1BFE" w:rsidRDefault="003A3E73" w:rsidP="003A3E73">
            <w:pPr>
              <w:ind w:firstLine="0"/>
              <w:jc w:val="left"/>
            </w:pPr>
            <w:r>
              <w:t>79</w:t>
            </w:r>
          </w:p>
        </w:tc>
        <w:tc>
          <w:tcPr>
            <w:tcW w:w="0" w:type="auto"/>
            <w:vAlign w:val="center"/>
          </w:tcPr>
          <w:p w14:paraId="16E4E6E7" w14:textId="77777777" w:rsidR="003A3E73" w:rsidRPr="00A91662" w:rsidRDefault="003A3E73" w:rsidP="003A3E73">
            <w:pPr>
              <w:ind w:firstLine="0"/>
              <w:jc w:val="left"/>
              <w:rPr>
                <w:b/>
              </w:rPr>
            </w:pPr>
            <w:r w:rsidRPr="00A91662">
              <w:rPr>
                <w:b/>
              </w:rPr>
              <w:t>88</w:t>
            </w:r>
          </w:p>
        </w:tc>
      </w:tr>
      <w:tr w:rsidR="003A3E73" w:rsidRPr="004B1BFE" w14:paraId="77075628" w14:textId="77777777" w:rsidTr="003A3E73">
        <w:trPr>
          <w:trHeight w:val="411"/>
        </w:trPr>
        <w:tc>
          <w:tcPr>
            <w:tcW w:w="0" w:type="auto"/>
            <w:vAlign w:val="center"/>
          </w:tcPr>
          <w:p w14:paraId="14F83EEC" w14:textId="77777777" w:rsidR="003A3E73" w:rsidRDefault="003A3E73" w:rsidP="003A3E7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0" w:type="auto"/>
            <w:vAlign w:val="center"/>
          </w:tcPr>
          <w:p w14:paraId="1292B183" w14:textId="77777777" w:rsidR="003A3E73" w:rsidRPr="004B1BFE" w:rsidRDefault="003A3E73" w:rsidP="003A3E73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43 364</w:t>
            </w:r>
          </w:p>
        </w:tc>
        <w:tc>
          <w:tcPr>
            <w:tcW w:w="0" w:type="auto"/>
            <w:vAlign w:val="center"/>
          </w:tcPr>
          <w:p w14:paraId="20B0B6E6" w14:textId="77777777" w:rsidR="003A3E73" w:rsidRPr="004B1BFE" w:rsidRDefault="003A3E73" w:rsidP="003A3E73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38 990</w:t>
            </w:r>
          </w:p>
        </w:tc>
        <w:tc>
          <w:tcPr>
            <w:tcW w:w="0" w:type="auto"/>
            <w:vAlign w:val="center"/>
          </w:tcPr>
          <w:p w14:paraId="366553E5" w14:textId="77777777" w:rsidR="003A3E73" w:rsidRPr="004B1BFE" w:rsidRDefault="003A3E73" w:rsidP="003A3E73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38 058</w:t>
            </w:r>
          </w:p>
        </w:tc>
        <w:tc>
          <w:tcPr>
            <w:tcW w:w="0" w:type="auto"/>
            <w:vAlign w:val="center"/>
          </w:tcPr>
          <w:p w14:paraId="685056D3" w14:textId="77777777" w:rsidR="003A3E73" w:rsidRPr="004B1BFE" w:rsidRDefault="003A3E73" w:rsidP="003A3E73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26 495</w:t>
            </w:r>
          </w:p>
        </w:tc>
        <w:tc>
          <w:tcPr>
            <w:tcW w:w="0" w:type="auto"/>
            <w:vAlign w:val="center"/>
          </w:tcPr>
          <w:p w14:paraId="6D1FC64C" w14:textId="77777777" w:rsidR="003A3E73" w:rsidRPr="004B1BFE" w:rsidRDefault="003A3E73" w:rsidP="003A3E73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19 519</w:t>
            </w:r>
          </w:p>
        </w:tc>
      </w:tr>
    </w:tbl>
    <w:p w14:paraId="1442F855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683D8D99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1C6E13AE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45F5BFAB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7FC6EB91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0D4821D3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234650C7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5B95B3D0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19202462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012073B6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5503B1C2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09C73280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39E92155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3FB082A2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71906900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4C191145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78B87009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56AEFFA8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1292A993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1F802234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11ACE867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315C8425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45465948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36DBF0D4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1FFD7CAA" w14:textId="77777777" w:rsidR="003A3E73" w:rsidRDefault="003A3E73" w:rsidP="003A3E73">
      <w:pPr>
        <w:pStyle w:val="Titulek"/>
        <w:spacing w:after="0"/>
        <w:ind w:firstLine="0"/>
        <w:rPr>
          <w:i w:val="0"/>
          <w:color w:val="000000" w:themeColor="text1"/>
          <w:sz w:val="20"/>
        </w:rPr>
      </w:pPr>
    </w:p>
    <w:p w14:paraId="33B5AB9D" w14:textId="4FE8C825" w:rsidR="008478A2" w:rsidRPr="003A3E73" w:rsidRDefault="008478A2" w:rsidP="003A3E73">
      <w:pPr>
        <w:pStyle w:val="Titulek"/>
        <w:spacing w:after="0"/>
        <w:ind w:firstLine="0"/>
        <w:rPr>
          <w:color w:val="000000" w:themeColor="text1"/>
          <w:sz w:val="20"/>
        </w:rPr>
      </w:pPr>
      <w:r w:rsidRPr="003A3E73">
        <w:rPr>
          <w:i w:val="0"/>
          <w:color w:val="000000" w:themeColor="text1"/>
          <w:sz w:val="20"/>
        </w:rPr>
        <w:t>Zdroj: Vlastní zpracování, dle ČSÚ</w:t>
      </w:r>
      <w:r w:rsidR="00915FEF">
        <w:rPr>
          <w:i w:val="0"/>
          <w:color w:val="000000" w:themeColor="text1"/>
          <w:sz w:val="20"/>
        </w:rPr>
        <w:t>,</w:t>
      </w:r>
    </w:p>
    <w:p w14:paraId="00B13156" w14:textId="77777777" w:rsidR="008478A2" w:rsidRPr="003A3E73" w:rsidRDefault="008478A2">
      <w:pPr>
        <w:spacing w:after="200" w:line="276" w:lineRule="auto"/>
        <w:ind w:firstLine="0"/>
        <w:jc w:val="left"/>
        <w:rPr>
          <w:color w:val="000000" w:themeColor="text1"/>
        </w:rPr>
      </w:pPr>
      <w:r w:rsidRPr="003A3E73">
        <w:rPr>
          <w:color w:val="000000" w:themeColor="text1"/>
        </w:rPr>
        <w:br w:type="page"/>
      </w:r>
    </w:p>
    <w:p w14:paraId="3179D40F" w14:textId="0D9AEA90" w:rsidR="008E02E6" w:rsidRDefault="003A3E73" w:rsidP="008E02E6">
      <w:r>
        <w:lastRenderedPageBreak/>
        <w:t>Další skupinou jsou evidovaní uchazeči ve věku 60 – 64 let. Poslední skupinou jsou uchazeči o zaměst</w:t>
      </w:r>
      <w:r w:rsidR="008E02E6">
        <w:t>nání, kteří mají 65 let a více.</w:t>
      </w:r>
    </w:p>
    <w:p w14:paraId="3C419886" w14:textId="4320DB5E" w:rsidR="006359F2" w:rsidRDefault="006359F2" w:rsidP="006359F2">
      <w:r>
        <w:t xml:space="preserve">V roce 2013 byl evidován největší počet uchazečů na úřadu práce v Olomouckém kraji, kdy byl ve výši 43 364 nezaměstnaných. </w:t>
      </w:r>
      <w:r w:rsidR="00AC0CFA">
        <w:t>Podle tabulky č. 8</w:t>
      </w:r>
      <w:r w:rsidR="00D62F82">
        <w:t xml:space="preserve"> lze konstatovat, že v kategoriích do 19 let, 20 – 24 let, 25 – 29 let, 30 – 34 let, 35 – 39 let, 40 – 44 let, 45 – 49 let, 50 – 54 let, 55 – 59 let byl evidován největší počet uchazečů na úřadu práce v Olomouckém kraji za porovnávané období. Kdy v kategorii do 19 let bylo evidováno na úřadu práce 1 375 uchazečů. V druhé kategorii (20 -24 let) bylo evidováno 5 605 uchazečů o zaměstnání. </w:t>
      </w:r>
      <w:r w:rsidR="00915FEF">
        <w:t xml:space="preserve">Ve třetí kategorii (25 – 29 let) bylo evidováno 4 712 nezaměstnaných. V kategorii 30 – 34 let bylo registrováno 4 675 uchazečů o zaměstnání. V kategorii 35 – 39 let se ucházelo </w:t>
      </w:r>
      <w:r w:rsidR="00427AB0">
        <w:br/>
      </w:r>
      <w:r w:rsidR="00915FEF">
        <w:t xml:space="preserve">o zaměstnání 5 611 jedinců. </w:t>
      </w:r>
      <w:r w:rsidR="00427AB0">
        <w:t xml:space="preserve">V kategorii 45 – 49 let bylo evidováno 4 650 uchazečů </w:t>
      </w:r>
      <w:r w:rsidR="00427AB0">
        <w:br/>
        <w:t>o zaměstnání. V osmé kategorii (50 – 54 let) bylo registrováno na úřadu práce v Olomouckém kraji 4 883 uchazečů o zaměstnání. Ve skupině 55 – 54 let bylo evidován</w:t>
      </w:r>
      <w:r w:rsidR="008E02E6">
        <w:t xml:space="preserve">o 5 728 uchazečů </w:t>
      </w:r>
      <w:r w:rsidR="008E02E6">
        <w:br/>
        <w:t>o zaměstnání.</w:t>
      </w:r>
    </w:p>
    <w:p w14:paraId="1911A4DC" w14:textId="118D5672" w:rsidR="00427AB0" w:rsidRDefault="00427AB0" w:rsidP="006359F2">
      <w:r>
        <w:t>V roce 2016 bylo evidováno nejvíce uchazečů v kategorii 60 – 64 let, kdy počet evidovaných na úřadu p</w:t>
      </w:r>
      <w:r w:rsidR="008E02E6">
        <w:t>ráce byl ve výši 1 824 jedinců.</w:t>
      </w:r>
    </w:p>
    <w:p w14:paraId="44989F11" w14:textId="033B6179" w:rsidR="001518DE" w:rsidRDefault="001518DE" w:rsidP="006359F2">
      <w:r>
        <w:t>V roce 2017 byl evidovaný nejmenší počet uchazečů na úřadu práce v Olomouckém kraji, kdy byl počet ve výši 19 519 uchazečů. V kategorii 65 let a více byl největší počet uchazečů v Olomouckém kraji za srovnávané období. V jedenácté kategorii (65 let a více) bylo evidováno 88 uchazečů o zaměstnání.</w:t>
      </w:r>
    </w:p>
    <w:p w14:paraId="0961AD20" w14:textId="18170D55" w:rsidR="001518DE" w:rsidRDefault="001518DE">
      <w:pPr>
        <w:spacing w:after="200" w:line="276" w:lineRule="auto"/>
        <w:ind w:firstLine="0"/>
        <w:jc w:val="left"/>
      </w:pPr>
      <w:r>
        <w:br w:type="page"/>
      </w:r>
    </w:p>
    <w:p w14:paraId="1DABCB71" w14:textId="743089FD" w:rsidR="00ED34D7" w:rsidRPr="00AC0CFA" w:rsidRDefault="00B75332" w:rsidP="00ED34D7">
      <w:pPr>
        <w:spacing w:after="240"/>
      </w:pPr>
      <w:r>
        <w:lastRenderedPageBreak/>
        <w:t>Celý vývoj v Olomouckém kraji v jednotlivých</w:t>
      </w:r>
      <w:r w:rsidR="00FE427E">
        <w:t xml:space="preserve"> letech lze vidět v tabulce č. 9</w:t>
      </w:r>
      <w:r>
        <w:t xml:space="preserve">, kde jsou zachyceny změny </w:t>
      </w:r>
      <w:r w:rsidR="00E85288">
        <w:t xml:space="preserve">jedinců na úřadu práce. </w:t>
      </w:r>
      <w:r w:rsidR="003019E8">
        <w:t>Č</w:t>
      </w:r>
      <w:r w:rsidR="00996957">
        <w:t xml:space="preserve">ervenou barvou v tabulce jsou označeny kategorie, ve kterých došlo k největšímu </w:t>
      </w:r>
      <w:r w:rsidR="00ED34D7">
        <w:t>snížení uchazečů o zaměstnání</w:t>
      </w:r>
      <w:r w:rsidR="003019E8">
        <w:t xml:space="preserve">. </w:t>
      </w:r>
      <w:r w:rsidR="003019E8" w:rsidRPr="00175CB6">
        <w:t>Z</w:t>
      </w:r>
      <w:r w:rsidR="00ED34D7" w:rsidRPr="00175CB6">
        <w:t> </w:t>
      </w:r>
      <w:r w:rsidR="003019E8" w:rsidRPr="00175CB6">
        <w:t>tabulky</w:t>
      </w:r>
      <w:r w:rsidR="00FE427E">
        <w:t xml:space="preserve"> č. 9</w:t>
      </w:r>
      <w:r w:rsidR="00175CB6" w:rsidRPr="00175CB6">
        <w:t xml:space="preserve"> lze </w:t>
      </w:r>
      <w:r w:rsidR="00175CB6">
        <w:t>konstatovat</w:t>
      </w:r>
      <w:r w:rsidR="003019E8">
        <w:t>, že modrou barvou jsou označeny</w:t>
      </w:r>
      <w:r w:rsidR="00996957">
        <w:t xml:space="preserve"> skupiny, ve kterých se na úřadu práce v Olomouckém kraji nejméně snížil počet jedinců</w:t>
      </w:r>
      <w:r w:rsidR="003019E8">
        <w:t xml:space="preserve">. </w:t>
      </w:r>
      <w:r w:rsidR="00ED34D7">
        <w:t>V </w:t>
      </w:r>
      <w:r w:rsidR="00FE427E" w:rsidRPr="00FE427E">
        <w:t>tabulce č. 9</w:t>
      </w:r>
      <w:r w:rsidR="00ED34D7" w:rsidRPr="00FE427E">
        <w:t>, lze</w:t>
      </w:r>
      <w:r w:rsidR="00ED34D7">
        <w:t xml:space="preserve"> vidět vyznačení zelenou barvou, které označuje největší pří</w:t>
      </w:r>
      <w:r w:rsidR="00B668D2">
        <w:t>růstek uchazečů na úřadu práce.</w:t>
      </w:r>
    </w:p>
    <w:p w14:paraId="03D496ED" w14:textId="380DF962" w:rsidR="003019E8" w:rsidRDefault="003019E8" w:rsidP="00175CB6">
      <w:pPr>
        <w:pStyle w:val="Titulek"/>
        <w:spacing w:after="0"/>
        <w:ind w:firstLine="0"/>
        <w:rPr>
          <w:color w:val="000000" w:themeColor="text1"/>
          <w:sz w:val="20"/>
        </w:rPr>
      </w:pPr>
      <w:bookmarkStart w:id="54" w:name="_Toc15639654"/>
      <w:r w:rsidRPr="00FE427E">
        <w:rPr>
          <w:color w:val="000000" w:themeColor="text1"/>
          <w:sz w:val="20"/>
        </w:rPr>
        <w:t xml:space="preserve">Tabulka </w:t>
      </w:r>
      <w:r w:rsidRPr="00FE427E">
        <w:rPr>
          <w:color w:val="000000" w:themeColor="text1"/>
          <w:sz w:val="20"/>
        </w:rPr>
        <w:fldChar w:fldCharType="begin"/>
      </w:r>
      <w:r w:rsidRPr="00FE427E">
        <w:rPr>
          <w:color w:val="000000" w:themeColor="text1"/>
          <w:sz w:val="20"/>
        </w:rPr>
        <w:instrText xml:space="preserve"> SEQ Tabulka \* ARABIC </w:instrText>
      </w:r>
      <w:r w:rsidRPr="00FE427E">
        <w:rPr>
          <w:color w:val="000000" w:themeColor="text1"/>
          <w:sz w:val="20"/>
        </w:rPr>
        <w:fldChar w:fldCharType="separate"/>
      </w:r>
      <w:r w:rsidR="00343D89" w:rsidRPr="00FE427E">
        <w:rPr>
          <w:noProof/>
          <w:color w:val="000000" w:themeColor="text1"/>
          <w:sz w:val="20"/>
        </w:rPr>
        <w:t>9</w:t>
      </w:r>
      <w:r w:rsidRPr="00FE427E">
        <w:rPr>
          <w:color w:val="000000" w:themeColor="text1"/>
          <w:sz w:val="20"/>
        </w:rPr>
        <w:fldChar w:fldCharType="end"/>
      </w:r>
      <w:r w:rsidRPr="003019E8">
        <w:rPr>
          <w:color w:val="000000" w:themeColor="text1"/>
          <w:sz w:val="20"/>
        </w:rPr>
        <w:t xml:space="preserve"> Vývoj na úřadu práce v období 2013 - 2017 v Olomouckém kraji</w:t>
      </w:r>
      <w:bookmarkEnd w:id="54"/>
    </w:p>
    <w:tbl>
      <w:tblPr>
        <w:tblStyle w:val="Mkatabulky"/>
        <w:tblpPr w:leftFromText="141" w:rightFromText="141" w:vertAnchor="page" w:horzAnchor="margin" w:tblpY="4541"/>
        <w:tblW w:w="9528" w:type="dxa"/>
        <w:tblLook w:val="04A0" w:firstRow="1" w:lastRow="0" w:firstColumn="1" w:lastColumn="0" w:noHBand="0" w:noVBand="1"/>
      </w:tblPr>
      <w:tblGrid>
        <w:gridCol w:w="1085"/>
        <w:gridCol w:w="767"/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</w:tblGrid>
      <w:tr w:rsidR="00175CB6" w14:paraId="0186BCCE" w14:textId="77777777" w:rsidTr="00175CB6">
        <w:trPr>
          <w:trHeight w:val="551"/>
        </w:trPr>
        <w:tc>
          <w:tcPr>
            <w:tcW w:w="1085" w:type="dxa"/>
          </w:tcPr>
          <w:p w14:paraId="5CD45CFC" w14:textId="77777777" w:rsidR="00175CB6" w:rsidRDefault="00175CB6" w:rsidP="00175CB6">
            <w:pPr>
              <w:ind w:firstLine="0"/>
            </w:pPr>
            <w:r w:rsidRPr="00714677">
              <w:rPr>
                <w:b/>
                <w:sz w:val="22"/>
              </w:rPr>
              <w:t>K 31.12</w:t>
            </w:r>
            <w:r>
              <w:t>.</w:t>
            </w:r>
          </w:p>
        </w:tc>
        <w:tc>
          <w:tcPr>
            <w:tcW w:w="767" w:type="dxa"/>
          </w:tcPr>
          <w:p w14:paraId="5A001200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 xml:space="preserve">Do 19 let </w:t>
            </w:r>
          </w:p>
        </w:tc>
        <w:tc>
          <w:tcPr>
            <w:tcW w:w="767" w:type="dxa"/>
          </w:tcPr>
          <w:p w14:paraId="4FBF7DC3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20 – 24 let</w:t>
            </w:r>
          </w:p>
        </w:tc>
        <w:tc>
          <w:tcPr>
            <w:tcW w:w="767" w:type="dxa"/>
          </w:tcPr>
          <w:p w14:paraId="00489409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25 -29let</w:t>
            </w:r>
          </w:p>
        </w:tc>
        <w:tc>
          <w:tcPr>
            <w:tcW w:w="767" w:type="dxa"/>
          </w:tcPr>
          <w:p w14:paraId="7B63C9D9" w14:textId="77777777" w:rsidR="00175CB6" w:rsidRDefault="00175CB6" w:rsidP="00175CB6">
            <w:pPr>
              <w:ind w:firstLine="0"/>
            </w:pPr>
            <w:r>
              <w:rPr>
                <w:b/>
                <w:sz w:val="22"/>
                <w:szCs w:val="22"/>
              </w:rPr>
              <w:t>30 – 34</w:t>
            </w:r>
            <w:r w:rsidRPr="00CD4AF0">
              <w:rPr>
                <w:b/>
                <w:sz w:val="22"/>
                <w:szCs w:val="22"/>
              </w:rPr>
              <w:t xml:space="preserve"> let</w:t>
            </w:r>
          </w:p>
        </w:tc>
        <w:tc>
          <w:tcPr>
            <w:tcW w:w="767" w:type="dxa"/>
          </w:tcPr>
          <w:p w14:paraId="3E438CF5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35-39 let</w:t>
            </w:r>
          </w:p>
        </w:tc>
        <w:tc>
          <w:tcPr>
            <w:tcW w:w="768" w:type="dxa"/>
          </w:tcPr>
          <w:p w14:paraId="40837649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40 – 44 let</w:t>
            </w:r>
          </w:p>
        </w:tc>
        <w:tc>
          <w:tcPr>
            <w:tcW w:w="768" w:type="dxa"/>
          </w:tcPr>
          <w:p w14:paraId="0E5D9BD9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45 -49let</w:t>
            </w:r>
          </w:p>
        </w:tc>
        <w:tc>
          <w:tcPr>
            <w:tcW w:w="768" w:type="dxa"/>
          </w:tcPr>
          <w:p w14:paraId="383098B1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50 – 54 let</w:t>
            </w:r>
          </w:p>
        </w:tc>
        <w:tc>
          <w:tcPr>
            <w:tcW w:w="768" w:type="dxa"/>
          </w:tcPr>
          <w:p w14:paraId="3B5E955E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55 – 59 let</w:t>
            </w:r>
          </w:p>
        </w:tc>
        <w:tc>
          <w:tcPr>
            <w:tcW w:w="768" w:type="dxa"/>
          </w:tcPr>
          <w:p w14:paraId="36951389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 xml:space="preserve">60 – 64 let </w:t>
            </w:r>
          </w:p>
        </w:tc>
        <w:tc>
          <w:tcPr>
            <w:tcW w:w="768" w:type="dxa"/>
          </w:tcPr>
          <w:p w14:paraId="101B4730" w14:textId="77777777" w:rsidR="00175CB6" w:rsidRDefault="00175CB6" w:rsidP="00175CB6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65 let a více</w:t>
            </w:r>
          </w:p>
        </w:tc>
      </w:tr>
      <w:tr w:rsidR="00175CB6" w14:paraId="7F3A63E6" w14:textId="77777777" w:rsidTr="00175CB6">
        <w:tc>
          <w:tcPr>
            <w:tcW w:w="1085" w:type="dxa"/>
          </w:tcPr>
          <w:p w14:paraId="2905DF70" w14:textId="77777777" w:rsidR="00175CB6" w:rsidRPr="00714677" w:rsidRDefault="00175CB6" w:rsidP="00175CB6">
            <w:pPr>
              <w:ind w:firstLine="0"/>
              <w:rPr>
                <w:b/>
                <w:sz w:val="20"/>
              </w:rPr>
            </w:pPr>
            <w:r w:rsidRPr="00714677">
              <w:rPr>
                <w:b/>
                <w:sz w:val="20"/>
              </w:rPr>
              <w:t>2013-2014</w:t>
            </w:r>
          </w:p>
        </w:tc>
        <w:tc>
          <w:tcPr>
            <w:tcW w:w="767" w:type="dxa"/>
          </w:tcPr>
          <w:p w14:paraId="615992CB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FF0000"/>
                <w:sz w:val="20"/>
              </w:rPr>
              <w:t>-252</w:t>
            </w:r>
          </w:p>
        </w:tc>
        <w:tc>
          <w:tcPr>
            <w:tcW w:w="767" w:type="dxa"/>
          </w:tcPr>
          <w:p w14:paraId="4461698C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C635C4">
              <w:rPr>
                <w:sz w:val="20"/>
              </w:rPr>
              <w:t>-1 231</w:t>
            </w:r>
          </w:p>
        </w:tc>
        <w:tc>
          <w:tcPr>
            <w:tcW w:w="767" w:type="dxa"/>
          </w:tcPr>
          <w:p w14:paraId="681B0250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C635C4">
              <w:rPr>
                <w:sz w:val="20"/>
              </w:rPr>
              <w:t>-567</w:t>
            </w:r>
          </w:p>
        </w:tc>
        <w:tc>
          <w:tcPr>
            <w:tcW w:w="767" w:type="dxa"/>
          </w:tcPr>
          <w:p w14:paraId="6F34AAD3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C635C4">
              <w:rPr>
                <w:sz w:val="20"/>
              </w:rPr>
              <w:t>-692</w:t>
            </w:r>
          </w:p>
        </w:tc>
        <w:tc>
          <w:tcPr>
            <w:tcW w:w="767" w:type="dxa"/>
          </w:tcPr>
          <w:p w14:paraId="528A52D8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1F497D" w:themeColor="text2"/>
                <w:sz w:val="20"/>
              </w:rPr>
              <w:t>-666</w:t>
            </w:r>
          </w:p>
        </w:tc>
        <w:tc>
          <w:tcPr>
            <w:tcW w:w="768" w:type="dxa"/>
          </w:tcPr>
          <w:p w14:paraId="1F98FB6B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1F497D" w:themeColor="text2"/>
                <w:sz w:val="20"/>
              </w:rPr>
              <w:t>-144</w:t>
            </w:r>
          </w:p>
        </w:tc>
        <w:tc>
          <w:tcPr>
            <w:tcW w:w="768" w:type="dxa"/>
          </w:tcPr>
          <w:p w14:paraId="4AF1EE45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1F497D" w:themeColor="text2"/>
                <w:sz w:val="20"/>
              </w:rPr>
              <w:t>-443</w:t>
            </w:r>
          </w:p>
        </w:tc>
        <w:tc>
          <w:tcPr>
            <w:tcW w:w="768" w:type="dxa"/>
          </w:tcPr>
          <w:p w14:paraId="3E4EA1F6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1F497D" w:themeColor="text2"/>
                <w:sz w:val="20"/>
              </w:rPr>
              <w:t>-317</w:t>
            </w:r>
          </w:p>
        </w:tc>
        <w:tc>
          <w:tcPr>
            <w:tcW w:w="768" w:type="dxa"/>
          </w:tcPr>
          <w:p w14:paraId="69A82C7D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996957">
              <w:rPr>
                <w:color w:val="FF0000"/>
                <w:sz w:val="20"/>
              </w:rPr>
              <w:t>-1 186</w:t>
            </w:r>
          </w:p>
        </w:tc>
        <w:tc>
          <w:tcPr>
            <w:tcW w:w="768" w:type="dxa"/>
          </w:tcPr>
          <w:p w14:paraId="73BF943E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ED34D7">
              <w:rPr>
                <w:color w:val="00B050"/>
                <w:sz w:val="20"/>
              </w:rPr>
              <w:t>+204</w:t>
            </w:r>
          </w:p>
        </w:tc>
        <w:tc>
          <w:tcPr>
            <w:tcW w:w="768" w:type="dxa"/>
          </w:tcPr>
          <w:p w14:paraId="17A710C0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C635C4">
              <w:rPr>
                <w:sz w:val="20"/>
              </w:rPr>
              <w:t>+10</w:t>
            </w:r>
          </w:p>
        </w:tc>
      </w:tr>
      <w:tr w:rsidR="00175CB6" w14:paraId="062D482F" w14:textId="77777777" w:rsidTr="00175CB6">
        <w:tc>
          <w:tcPr>
            <w:tcW w:w="1085" w:type="dxa"/>
          </w:tcPr>
          <w:p w14:paraId="7E1759B3" w14:textId="77777777" w:rsidR="00175CB6" w:rsidRPr="00714677" w:rsidRDefault="00175CB6" w:rsidP="00175CB6">
            <w:pPr>
              <w:ind w:firstLine="0"/>
              <w:rPr>
                <w:b/>
                <w:sz w:val="20"/>
              </w:rPr>
            </w:pPr>
            <w:r w:rsidRPr="00714677">
              <w:rPr>
                <w:b/>
                <w:sz w:val="20"/>
              </w:rPr>
              <w:t>2014-2015</w:t>
            </w:r>
          </w:p>
        </w:tc>
        <w:tc>
          <w:tcPr>
            <w:tcW w:w="767" w:type="dxa"/>
          </w:tcPr>
          <w:p w14:paraId="60D91EA3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-248</w:t>
            </w:r>
          </w:p>
        </w:tc>
        <w:tc>
          <w:tcPr>
            <w:tcW w:w="767" w:type="dxa"/>
          </w:tcPr>
          <w:p w14:paraId="047941BD" w14:textId="77777777" w:rsidR="00175CB6" w:rsidRPr="00BE3EFA" w:rsidRDefault="00175CB6" w:rsidP="00175CB6">
            <w:pPr>
              <w:ind w:firstLine="0"/>
              <w:rPr>
                <w:color w:val="FF0000"/>
                <w:sz w:val="20"/>
              </w:rPr>
            </w:pPr>
            <w:r w:rsidRPr="00BE3EFA">
              <w:rPr>
                <w:color w:val="FF0000"/>
                <w:sz w:val="20"/>
              </w:rPr>
              <w:t>-1 347</w:t>
            </w:r>
          </w:p>
        </w:tc>
        <w:tc>
          <w:tcPr>
            <w:tcW w:w="767" w:type="dxa"/>
          </w:tcPr>
          <w:p w14:paraId="3ADBA011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FF0000"/>
                <w:sz w:val="20"/>
              </w:rPr>
              <w:t>-1 069</w:t>
            </w:r>
          </w:p>
        </w:tc>
        <w:tc>
          <w:tcPr>
            <w:tcW w:w="767" w:type="dxa"/>
          </w:tcPr>
          <w:p w14:paraId="16986CB1" w14:textId="77777777" w:rsidR="00175CB6" w:rsidRPr="00BE3EFA" w:rsidRDefault="00175CB6" w:rsidP="00175CB6">
            <w:pPr>
              <w:ind w:firstLine="0"/>
              <w:rPr>
                <w:color w:val="FF0000"/>
                <w:sz w:val="20"/>
              </w:rPr>
            </w:pPr>
            <w:r w:rsidRPr="00BE3EFA">
              <w:rPr>
                <w:color w:val="FF0000"/>
                <w:sz w:val="20"/>
              </w:rPr>
              <w:t>-946</w:t>
            </w:r>
          </w:p>
        </w:tc>
        <w:tc>
          <w:tcPr>
            <w:tcW w:w="767" w:type="dxa"/>
          </w:tcPr>
          <w:p w14:paraId="708E84D6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BE3EFA">
              <w:rPr>
                <w:color w:val="FF0000"/>
                <w:sz w:val="20"/>
              </w:rPr>
              <w:t>1 195</w:t>
            </w:r>
          </w:p>
        </w:tc>
        <w:tc>
          <w:tcPr>
            <w:tcW w:w="768" w:type="dxa"/>
          </w:tcPr>
          <w:p w14:paraId="268AEAF9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-815 </w:t>
            </w:r>
          </w:p>
        </w:tc>
        <w:tc>
          <w:tcPr>
            <w:tcW w:w="768" w:type="dxa"/>
          </w:tcPr>
          <w:p w14:paraId="3A651538" w14:textId="77777777" w:rsidR="00175CB6" w:rsidRPr="00BE3EFA" w:rsidRDefault="00175CB6" w:rsidP="00175CB6">
            <w:pPr>
              <w:ind w:firstLine="0"/>
              <w:rPr>
                <w:color w:val="FF0000"/>
                <w:sz w:val="20"/>
              </w:rPr>
            </w:pPr>
            <w:r w:rsidRPr="00BE3EFA">
              <w:rPr>
                <w:color w:val="FF0000"/>
                <w:sz w:val="20"/>
              </w:rPr>
              <w:t>-860</w:t>
            </w:r>
          </w:p>
        </w:tc>
        <w:tc>
          <w:tcPr>
            <w:tcW w:w="768" w:type="dxa"/>
          </w:tcPr>
          <w:p w14:paraId="52EBD91D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-731 </w:t>
            </w:r>
          </w:p>
        </w:tc>
        <w:tc>
          <w:tcPr>
            <w:tcW w:w="768" w:type="dxa"/>
          </w:tcPr>
          <w:p w14:paraId="3CF50A39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ED34D7">
              <w:rPr>
                <w:color w:val="00B050"/>
                <w:sz w:val="20"/>
              </w:rPr>
              <w:t>+ 107</w:t>
            </w:r>
          </w:p>
        </w:tc>
        <w:tc>
          <w:tcPr>
            <w:tcW w:w="768" w:type="dxa"/>
          </w:tcPr>
          <w:p w14:paraId="1F95FAA2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+69</w:t>
            </w:r>
          </w:p>
        </w:tc>
        <w:tc>
          <w:tcPr>
            <w:tcW w:w="768" w:type="dxa"/>
          </w:tcPr>
          <w:p w14:paraId="57BCEF18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+ 13</w:t>
            </w:r>
          </w:p>
        </w:tc>
      </w:tr>
      <w:tr w:rsidR="00175CB6" w14:paraId="072751F1" w14:textId="77777777" w:rsidTr="00175CB6">
        <w:tc>
          <w:tcPr>
            <w:tcW w:w="1085" w:type="dxa"/>
          </w:tcPr>
          <w:p w14:paraId="1236EC19" w14:textId="77777777" w:rsidR="00175CB6" w:rsidRPr="00714677" w:rsidRDefault="00175CB6" w:rsidP="00175CB6">
            <w:pPr>
              <w:ind w:firstLine="0"/>
              <w:rPr>
                <w:b/>
                <w:sz w:val="20"/>
              </w:rPr>
            </w:pPr>
            <w:r w:rsidRPr="00714677">
              <w:rPr>
                <w:b/>
                <w:sz w:val="20"/>
              </w:rPr>
              <w:t>2015-2016</w:t>
            </w:r>
          </w:p>
        </w:tc>
        <w:tc>
          <w:tcPr>
            <w:tcW w:w="767" w:type="dxa"/>
          </w:tcPr>
          <w:p w14:paraId="600C3753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1F497D" w:themeColor="text2"/>
                <w:sz w:val="20"/>
              </w:rPr>
              <w:t>-121</w:t>
            </w:r>
          </w:p>
        </w:tc>
        <w:tc>
          <w:tcPr>
            <w:tcW w:w="767" w:type="dxa"/>
          </w:tcPr>
          <w:p w14:paraId="4FB3467D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1F497D" w:themeColor="text2"/>
                <w:sz w:val="20"/>
              </w:rPr>
              <w:t>-707</w:t>
            </w:r>
          </w:p>
        </w:tc>
        <w:tc>
          <w:tcPr>
            <w:tcW w:w="767" w:type="dxa"/>
          </w:tcPr>
          <w:p w14:paraId="2BA4135C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BE3EFA">
              <w:rPr>
                <w:color w:val="1F497D" w:themeColor="text2"/>
                <w:sz w:val="20"/>
              </w:rPr>
              <w:t>463</w:t>
            </w:r>
          </w:p>
        </w:tc>
        <w:tc>
          <w:tcPr>
            <w:tcW w:w="767" w:type="dxa"/>
          </w:tcPr>
          <w:p w14:paraId="5087841E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1F497D" w:themeColor="text2"/>
                <w:sz w:val="20"/>
              </w:rPr>
              <w:t>-600</w:t>
            </w:r>
          </w:p>
        </w:tc>
        <w:tc>
          <w:tcPr>
            <w:tcW w:w="767" w:type="dxa"/>
          </w:tcPr>
          <w:p w14:paraId="79E4489D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-749</w:t>
            </w:r>
          </w:p>
        </w:tc>
        <w:tc>
          <w:tcPr>
            <w:tcW w:w="768" w:type="dxa"/>
          </w:tcPr>
          <w:p w14:paraId="45C2A772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-421</w:t>
            </w:r>
          </w:p>
        </w:tc>
        <w:tc>
          <w:tcPr>
            <w:tcW w:w="768" w:type="dxa"/>
          </w:tcPr>
          <w:p w14:paraId="579E965B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-487</w:t>
            </w:r>
          </w:p>
        </w:tc>
        <w:tc>
          <w:tcPr>
            <w:tcW w:w="768" w:type="dxa"/>
          </w:tcPr>
          <w:p w14:paraId="79FB0802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-524</w:t>
            </w:r>
          </w:p>
        </w:tc>
        <w:tc>
          <w:tcPr>
            <w:tcW w:w="768" w:type="dxa"/>
          </w:tcPr>
          <w:p w14:paraId="2E6F2499" w14:textId="77777777" w:rsidR="00175CB6" w:rsidRPr="00ED34D7" w:rsidRDefault="00175CB6" w:rsidP="00175CB6">
            <w:pPr>
              <w:ind w:firstLine="0"/>
              <w:rPr>
                <w:color w:val="1F497D" w:themeColor="text2"/>
                <w:sz w:val="20"/>
              </w:rPr>
            </w:pPr>
            <w:r w:rsidRPr="00ED34D7">
              <w:rPr>
                <w:color w:val="1F497D" w:themeColor="text2"/>
                <w:sz w:val="20"/>
              </w:rPr>
              <w:t>-635</w:t>
            </w:r>
          </w:p>
        </w:tc>
        <w:tc>
          <w:tcPr>
            <w:tcW w:w="768" w:type="dxa"/>
          </w:tcPr>
          <w:p w14:paraId="78DBBC66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+ 120</w:t>
            </w:r>
          </w:p>
        </w:tc>
        <w:tc>
          <w:tcPr>
            <w:tcW w:w="768" w:type="dxa"/>
          </w:tcPr>
          <w:p w14:paraId="20D78573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ED34D7">
              <w:rPr>
                <w:color w:val="00B050"/>
                <w:sz w:val="20"/>
              </w:rPr>
              <w:t>+ 22</w:t>
            </w:r>
          </w:p>
        </w:tc>
      </w:tr>
      <w:tr w:rsidR="00175CB6" w14:paraId="6AB537D1" w14:textId="77777777" w:rsidTr="00175CB6">
        <w:tc>
          <w:tcPr>
            <w:tcW w:w="1085" w:type="dxa"/>
          </w:tcPr>
          <w:p w14:paraId="0A7F30C5" w14:textId="77777777" w:rsidR="00175CB6" w:rsidRPr="00714677" w:rsidRDefault="00175CB6" w:rsidP="00175CB6">
            <w:pPr>
              <w:ind w:firstLine="0"/>
              <w:rPr>
                <w:b/>
                <w:sz w:val="20"/>
              </w:rPr>
            </w:pPr>
            <w:r w:rsidRPr="00714677">
              <w:rPr>
                <w:b/>
                <w:sz w:val="20"/>
              </w:rPr>
              <w:t>2016-2017</w:t>
            </w:r>
          </w:p>
        </w:tc>
        <w:tc>
          <w:tcPr>
            <w:tcW w:w="767" w:type="dxa"/>
          </w:tcPr>
          <w:p w14:paraId="4C7E9B1B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-195</w:t>
            </w:r>
          </w:p>
        </w:tc>
        <w:tc>
          <w:tcPr>
            <w:tcW w:w="767" w:type="dxa"/>
          </w:tcPr>
          <w:p w14:paraId="301134B9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-889</w:t>
            </w:r>
          </w:p>
        </w:tc>
        <w:tc>
          <w:tcPr>
            <w:tcW w:w="767" w:type="dxa"/>
          </w:tcPr>
          <w:p w14:paraId="1F2075D9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-786</w:t>
            </w:r>
          </w:p>
        </w:tc>
        <w:tc>
          <w:tcPr>
            <w:tcW w:w="767" w:type="dxa"/>
          </w:tcPr>
          <w:p w14:paraId="3B55DB1A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-762</w:t>
            </w:r>
          </w:p>
        </w:tc>
        <w:tc>
          <w:tcPr>
            <w:tcW w:w="767" w:type="dxa"/>
          </w:tcPr>
          <w:p w14:paraId="67C3430B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-985</w:t>
            </w:r>
          </w:p>
        </w:tc>
        <w:tc>
          <w:tcPr>
            <w:tcW w:w="768" w:type="dxa"/>
          </w:tcPr>
          <w:p w14:paraId="48EFEB97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BE3EFA">
              <w:rPr>
                <w:color w:val="FF0000"/>
                <w:sz w:val="20"/>
              </w:rPr>
              <w:t>-916</w:t>
            </w:r>
          </w:p>
        </w:tc>
        <w:tc>
          <w:tcPr>
            <w:tcW w:w="768" w:type="dxa"/>
          </w:tcPr>
          <w:p w14:paraId="372DDD97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-739</w:t>
            </w:r>
          </w:p>
        </w:tc>
        <w:tc>
          <w:tcPr>
            <w:tcW w:w="768" w:type="dxa"/>
          </w:tcPr>
          <w:p w14:paraId="759ACC9C" w14:textId="77777777" w:rsidR="00175CB6" w:rsidRPr="00996957" w:rsidRDefault="00175CB6" w:rsidP="00175CB6">
            <w:pPr>
              <w:ind w:firstLine="0"/>
              <w:rPr>
                <w:color w:val="FF0000"/>
                <w:sz w:val="20"/>
              </w:rPr>
            </w:pPr>
            <w:r w:rsidRPr="00996957">
              <w:rPr>
                <w:color w:val="FF0000"/>
                <w:sz w:val="20"/>
              </w:rPr>
              <w:t>-794</w:t>
            </w:r>
          </w:p>
        </w:tc>
        <w:tc>
          <w:tcPr>
            <w:tcW w:w="768" w:type="dxa"/>
          </w:tcPr>
          <w:p w14:paraId="4EA865F2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-795</w:t>
            </w:r>
          </w:p>
        </w:tc>
        <w:tc>
          <w:tcPr>
            <w:tcW w:w="768" w:type="dxa"/>
          </w:tcPr>
          <w:p w14:paraId="2D5BD6B2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 w:rsidRPr="00996957">
              <w:rPr>
                <w:color w:val="FF0000"/>
                <w:sz w:val="20"/>
              </w:rPr>
              <w:t>- 124</w:t>
            </w:r>
          </w:p>
        </w:tc>
        <w:tc>
          <w:tcPr>
            <w:tcW w:w="768" w:type="dxa"/>
          </w:tcPr>
          <w:p w14:paraId="37484614" w14:textId="77777777" w:rsidR="00175CB6" w:rsidRPr="00C635C4" w:rsidRDefault="00175CB6" w:rsidP="00175CB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+9</w:t>
            </w:r>
          </w:p>
        </w:tc>
      </w:tr>
    </w:tbl>
    <w:p w14:paraId="2B0FFCC0" w14:textId="221A4B11" w:rsidR="00714677" w:rsidRDefault="003019E8" w:rsidP="00714677">
      <w:pPr>
        <w:pStyle w:val="Titulek"/>
        <w:ind w:firstLine="0"/>
        <w:rPr>
          <w:sz w:val="20"/>
        </w:rPr>
      </w:pPr>
      <w:r w:rsidRPr="003019E8">
        <w:rPr>
          <w:color w:val="000000" w:themeColor="text1"/>
          <w:sz w:val="20"/>
        </w:rPr>
        <w:t>Zdroj: Vlastní zpracování</w:t>
      </w:r>
      <w:r w:rsidR="00D41292">
        <w:rPr>
          <w:sz w:val="20"/>
        </w:rPr>
        <w:t>,</w:t>
      </w:r>
    </w:p>
    <w:p w14:paraId="49B5CDC3" w14:textId="4E611254" w:rsidR="00175CB6" w:rsidRPr="00175CB6" w:rsidRDefault="00FE427E" w:rsidP="00175CB6">
      <w:pPr>
        <w:ind w:firstLine="0"/>
        <w:rPr>
          <w:specVanish/>
        </w:rPr>
      </w:pPr>
      <w:r>
        <w:t>Dle tabulky č. 9</w:t>
      </w:r>
      <w:r w:rsidR="00175CB6">
        <w:t xml:space="preserve"> lze konstatovat, že největší úbytek uchazečů na úřadu práce byl v roce 2015 v kategorii 20 – 24 let, kdy </w:t>
      </w:r>
      <w:r w:rsidR="006F481E">
        <w:t xml:space="preserve">získalo 1 347 </w:t>
      </w:r>
      <w:r w:rsidR="000D4D1F">
        <w:t>jedinců práci</w:t>
      </w:r>
      <w:r w:rsidR="000B278D">
        <w:t xml:space="preserve">. </w:t>
      </w:r>
      <w:r w:rsidR="008543D8">
        <w:t xml:space="preserve">Z tabulky lze konstatovat, že počet uchazečů v kategoriích do 19 let, 20 – 24 let, 25 – 29 let, 30 – 34 let, 35 – 39 let, 40 – 44 let, 45 – 49 let a 50 – 54 </w:t>
      </w:r>
      <w:r w:rsidR="000D4D1F">
        <w:t>let se snižuje.</w:t>
      </w:r>
      <w:r w:rsidR="008543D8">
        <w:t xml:space="preserve"> K úbytku mladých lidí na úřadu práce dochází, protože narůstá počet nových firem v Olomouckém kraji</w:t>
      </w:r>
      <w:r w:rsidR="000D4D1F">
        <w:t xml:space="preserve">. V kategoriích 55 – 59 let, 60 – 64 let a 65 let a více narůstá počet uchazečů na úřadu práce, protože se lidé dožívají vyššího věku </w:t>
      </w:r>
      <w:r w:rsidR="00B668D2">
        <w:br/>
      </w:r>
      <w:r w:rsidR="000D4D1F">
        <w:t>a kvalita poskytovaných zdravotních služeb se v Olomouckém kraji zvyšuje. Největší evidovaný přírůstek uchazečů na úřadu práce je evidován v roce 2014, kdy</w:t>
      </w:r>
      <w:r w:rsidR="00B67539">
        <w:t xml:space="preserve"> se počet zvýšil </w:t>
      </w:r>
      <w:r w:rsidR="00B668D2">
        <w:br/>
      </w:r>
      <w:r w:rsidR="00B67539">
        <w:t>o 204 jedinců.</w:t>
      </w:r>
    </w:p>
    <w:p w14:paraId="452B42DD" w14:textId="27B0EE61" w:rsidR="00175CB6" w:rsidRPr="00A43B36" w:rsidRDefault="00DF1A37" w:rsidP="00A43B36">
      <w:pPr>
        <w:spacing w:after="200" w:line="276" w:lineRule="auto"/>
        <w:ind w:firstLine="0"/>
        <w:jc w:val="left"/>
      </w:pPr>
      <w:r>
        <w:br w:type="page"/>
      </w:r>
    </w:p>
    <w:p w14:paraId="0A1E631C" w14:textId="644B4E76" w:rsidR="00A43B36" w:rsidRPr="003019E8" w:rsidRDefault="00A43B36" w:rsidP="00DC2557">
      <w:pPr>
        <w:pStyle w:val="Nadpis2"/>
      </w:pPr>
      <w:bookmarkStart w:id="55" w:name="_Toc15889405"/>
      <w:r w:rsidRPr="00695C45">
        <w:lastRenderedPageBreak/>
        <w:t xml:space="preserve">Počet evidovaných uchazečů na úřadě práce ve Středočeském kraji </w:t>
      </w:r>
      <w:r>
        <w:t>v období</w:t>
      </w:r>
      <w:bookmarkEnd w:id="55"/>
    </w:p>
    <w:p w14:paraId="1805CFC1" w14:textId="41F9EFE5" w:rsidR="00147E87" w:rsidRDefault="00147E87" w:rsidP="00147E87">
      <w:r w:rsidRPr="00FE427E">
        <w:t xml:space="preserve">Tabulka č. </w:t>
      </w:r>
      <w:r w:rsidR="00FE427E" w:rsidRPr="00FE427E">
        <w:t>10</w:t>
      </w:r>
      <w:r w:rsidRPr="0028663A">
        <w:t xml:space="preserve"> zachycuj</w:t>
      </w:r>
      <w:r>
        <w:t>e</w:t>
      </w:r>
      <w:r w:rsidRPr="0028663A">
        <w:t xml:space="preserve"> vývoj evidovaných osob na úřadu práce ve Středočeském kraji, všechna data jsou započítána ke dni </w:t>
      </w:r>
      <w:r>
        <w:t xml:space="preserve">31. 12. Tabulka č. </w:t>
      </w:r>
      <w:r w:rsidR="00FE427E">
        <w:t>10</w:t>
      </w:r>
      <w:r w:rsidRPr="0028663A">
        <w:t xml:space="preserve"> uvádí počty nezaměstnaných osob, které </w:t>
      </w:r>
      <w:r w:rsidR="00BD3850">
        <w:t xml:space="preserve">byly evidované na úřadu </w:t>
      </w:r>
      <w:r w:rsidRPr="0028663A">
        <w:t xml:space="preserve">práce v letech </w:t>
      </w:r>
      <w:r>
        <w:t>2013 – 2017.</w:t>
      </w:r>
      <w:r w:rsidRPr="0028663A">
        <w:t xml:space="preserve"> </w:t>
      </w:r>
      <w:r w:rsidR="003F2616">
        <w:t>V tabulce č. 10</w:t>
      </w:r>
      <w:r>
        <w:t xml:space="preserve"> lze sledovat</w:t>
      </w:r>
      <w:r w:rsidRPr="0028663A">
        <w:t xml:space="preserve"> 11 skupin, které rozdělují evidované uchazeče na úřadu práce podle jejich věku. </w:t>
      </w:r>
      <w:r>
        <w:t>Na úřadu práce ve Středočeském kraji rozlišujeme následující skupiny uchazečů o zaměstnání: do 19 let, 20 – 24 let, 25 – 29 let, 30 – 34 let, 35 – 39 let, 40 – 44 let, 45 – 49 let, 50 – 54 let, 55 – 59 le</w:t>
      </w:r>
      <w:r w:rsidR="00D41292">
        <w:t>t, 60 – 64 let a 65 let a více.</w:t>
      </w:r>
    </w:p>
    <w:p w14:paraId="70B8A55F" w14:textId="396A0B92" w:rsidR="00206591" w:rsidRDefault="002557E7" w:rsidP="00B16415">
      <w:pPr>
        <w:spacing w:after="240"/>
      </w:pPr>
      <w:r>
        <w:t>V roce 201</w:t>
      </w:r>
      <w:r w:rsidR="00322806">
        <w:t xml:space="preserve">3 bylo evidováno na úřadu práce ve Středočeském kraji 61 681 uchazečů </w:t>
      </w:r>
      <w:r w:rsidR="00692548">
        <w:br/>
      </w:r>
      <w:r w:rsidR="00322806">
        <w:t>o zaměstnání. Rok 2013 ve statistice vyniká, protože v devíti kategoriích byl zazna</w:t>
      </w:r>
      <w:r w:rsidR="007E4EDF">
        <w:t>menán nejvyšší</w:t>
      </w:r>
      <w:r w:rsidR="00322806">
        <w:t xml:space="preserve"> počet uchazečů ve Středočeském kraji. </w:t>
      </w:r>
      <w:r w:rsidR="007E4EDF">
        <w:t>Kategorie, které poukazují na největší počet uchazečů ve Středočeském kraji, jsou vyznačen</w:t>
      </w:r>
      <w:r w:rsidR="00FE427E">
        <w:t>é v tabulce č. 10</w:t>
      </w:r>
      <w:r w:rsidR="005B3EED">
        <w:t xml:space="preserve"> tučným písmem. Dle tabulky lze konstatovat, že největší počet uchazečů byl za srovnávané období v kategoriích do 19 let, 20 – 24 let, 25 – 29 let, 30 – 34 let, 35 – 39 let, 40 – 44 let, 45 – 4</w:t>
      </w:r>
      <w:r w:rsidR="00D41292">
        <w:t>9 let, 50 -54 let, 55 – 59 let.</w:t>
      </w:r>
    </w:p>
    <w:p w14:paraId="539777C0" w14:textId="77777777" w:rsidR="00B16415" w:rsidRPr="00E21373" w:rsidRDefault="00B16415" w:rsidP="00B16415">
      <w:pPr>
        <w:pStyle w:val="Titulek"/>
        <w:ind w:firstLine="0"/>
        <w:rPr>
          <w:color w:val="000000" w:themeColor="text1"/>
          <w:sz w:val="20"/>
        </w:rPr>
      </w:pPr>
      <w:bookmarkStart w:id="56" w:name="_Toc15639655"/>
      <w:r w:rsidRPr="00FE427E">
        <w:rPr>
          <w:color w:val="000000" w:themeColor="text1"/>
          <w:sz w:val="20"/>
        </w:rPr>
        <w:t xml:space="preserve">Tabulka </w:t>
      </w:r>
      <w:r w:rsidRPr="00FE427E">
        <w:rPr>
          <w:color w:val="000000" w:themeColor="text1"/>
          <w:sz w:val="20"/>
        </w:rPr>
        <w:fldChar w:fldCharType="begin"/>
      </w:r>
      <w:r w:rsidRPr="00FE427E">
        <w:rPr>
          <w:color w:val="000000" w:themeColor="text1"/>
          <w:sz w:val="20"/>
        </w:rPr>
        <w:instrText xml:space="preserve"> SEQ Tabulka \* ARABIC </w:instrText>
      </w:r>
      <w:r w:rsidRPr="00FE427E">
        <w:rPr>
          <w:color w:val="000000" w:themeColor="text1"/>
          <w:sz w:val="20"/>
        </w:rPr>
        <w:fldChar w:fldCharType="separate"/>
      </w:r>
      <w:r w:rsidR="00343D89" w:rsidRPr="00FE427E">
        <w:rPr>
          <w:noProof/>
          <w:color w:val="000000" w:themeColor="text1"/>
          <w:sz w:val="20"/>
        </w:rPr>
        <w:t>10</w:t>
      </w:r>
      <w:r w:rsidRPr="00FE427E">
        <w:rPr>
          <w:color w:val="000000" w:themeColor="text1"/>
          <w:sz w:val="20"/>
        </w:rPr>
        <w:fldChar w:fldCharType="end"/>
      </w:r>
      <w:r w:rsidRPr="00A43B36">
        <w:rPr>
          <w:color w:val="000000" w:themeColor="text1"/>
          <w:sz w:val="20"/>
        </w:rPr>
        <w:t xml:space="preserve"> Počet evidovaných uchazečů na úřadu práce podle věku ve Středočeském kraji v období 2013 </w:t>
      </w:r>
      <w:r>
        <w:rPr>
          <w:color w:val="000000" w:themeColor="text1"/>
          <w:sz w:val="20"/>
        </w:rPr>
        <w:t>– 2017</w:t>
      </w:r>
      <w:bookmarkEnd w:id="56"/>
    </w:p>
    <w:tbl>
      <w:tblPr>
        <w:tblStyle w:val="Mkatabulky"/>
        <w:tblpPr w:leftFromText="141" w:rightFromText="141" w:vertAnchor="page" w:horzAnchor="margin" w:tblpY="8061"/>
        <w:tblW w:w="0" w:type="auto"/>
        <w:tblLook w:val="04A0" w:firstRow="1" w:lastRow="0" w:firstColumn="1" w:lastColumn="0" w:noHBand="0" w:noVBand="1"/>
      </w:tblPr>
      <w:tblGrid>
        <w:gridCol w:w="1310"/>
        <w:gridCol w:w="821"/>
        <w:gridCol w:w="821"/>
        <w:gridCol w:w="821"/>
        <w:gridCol w:w="821"/>
        <w:gridCol w:w="821"/>
      </w:tblGrid>
      <w:tr w:rsidR="00B16415" w:rsidRPr="00E412EC" w14:paraId="4699B199" w14:textId="77777777" w:rsidTr="00B16415">
        <w:tc>
          <w:tcPr>
            <w:tcW w:w="0" w:type="auto"/>
          </w:tcPr>
          <w:p w14:paraId="504F1049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K 31.12.</w:t>
            </w:r>
          </w:p>
        </w:tc>
        <w:tc>
          <w:tcPr>
            <w:tcW w:w="0" w:type="auto"/>
          </w:tcPr>
          <w:p w14:paraId="0430A1EE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</w:tcPr>
          <w:p w14:paraId="58C0E008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14:paraId="7A5F7210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14:paraId="3AA7C3E1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14:paraId="51125026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2017</w:t>
            </w:r>
          </w:p>
        </w:tc>
      </w:tr>
      <w:tr w:rsidR="00B16415" w:rsidRPr="00E412EC" w14:paraId="3402C769" w14:textId="77777777" w:rsidTr="00B16415">
        <w:tc>
          <w:tcPr>
            <w:tcW w:w="0" w:type="auto"/>
          </w:tcPr>
          <w:p w14:paraId="113F14B9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Do 19 let </w:t>
            </w:r>
          </w:p>
        </w:tc>
        <w:tc>
          <w:tcPr>
            <w:tcW w:w="0" w:type="auto"/>
          </w:tcPr>
          <w:p w14:paraId="3C0AC464" w14:textId="77777777" w:rsidR="00B16415" w:rsidRPr="00322806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322806">
              <w:rPr>
                <w:b/>
                <w:sz w:val="22"/>
                <w:szCs w:val="22"/>
              </w:rPr>
              <w:t>2 334</w:t>
            </w:r>
          </w:p>
        </w:tc>
        <w:tc>
          <w:tcPr>
            <w:tcW w:w="0" w:type="auto"/>
          </w:tcPr>
          <w:p w14:paraId="041CF93D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1 882</w:t>
            </w:r>
          </w:p>
        </w:tc>
        <w:tc>
          <w:tcPr>
            <w:tcW w:w="0" w:type="auto"/>
          </w:tcPr>
          <w:p w14:paraId="66924285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1 589</w:t>
            </w:r>
          </w:p>
        </w:tc>
        <w:tc>
          <w:tcPr>
            <w:tcW w:w="0" w:type="auto"/>
          </w:tcPr>
          <w:p w14:paraId="140ECC59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1 305</w:t>
            </w:r>
          </w:p>
        </w:tc>
        <w:tc>
          <w:tcPr>
            <w:tcW w:w="0" w:type="auto"/>
          </w:tcPr>
          <w:p w14:paraId="16C2389E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1 079</w:t>
            </w:r>
          </w:p>
        </w:tc>
      </w:tr>
      <w:tr w:rsidR="00B16415" w:rsidRPr="00E412EC" w14:paraId="271782DD" w14:textId="77777777" w:rsidTr="00B16415">
        <w:tc>
          <w:tcPr>
            <w:tcW w:w="0" w:type="auto"/>
          </w:tcPr>
          <w:p w14:paraId="69A8E1F5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20 – 24 let </w:t>
            </w:r>
          </w:p>
        </w:tc>
        <w:tc>
          <w:tcPr>
            <w:tcW w:w="0" w:type="auto"/>
          </w:tcPr>
          <w:p w14:paraId="0EF1538A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8 097</w:t>
            </w:r>
          </w:p>
        </w:tc>
        <w:tc>
          <w:tcPr>
            <w:tcW w:w="0" w:type="auto"/>
          </w:tcPr>
          <w:p w14:paraId="5B1E9F4F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6 573</w:t>
            </w:r>
          </w:p>
        </w:tc>
        <w:tc>
          <w:tcPr>
            <w:tcW w:w="0" w:type="auto"/>
          </w:tcPr>
          <w:p w14:paraId="40D29329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5 084</w:t>
            </w:r>
          </w:p>
        </w:tc>
        <w:tc>
          <w:tcPr>
            <w:tcW w:w="0" w:type="auto"/>
          </w:tcPr>
          <w:p w14:paraId="6964503A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3 599</w:t>
            </w:r>
          </w:p>
        </w:tc>
        <w:tc>
          <w:tcPr>
            <w:tcW w:w="0" w:type="auto"/>
          </w:tcPr>
          <w:p w14:paraId="4866B416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2 443</w:t>
            </w:r>
          </w:p>
        </w:tc>
      </w:tr>
      <w:tr w:rsidR="00B16415" w:rsidRPr="00E412EC" w14:paraId="15356508" w14:textId="77777777" w:rsidTr="00B16415">
        <w:tc>
          <w:tcPr>
            <w:tcW w:w="0" w:type="auto"/>
          </w:tcPr>
          <w:p w14:paraId="4C042E14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25 -29let</w:t>
            </w:r>
          </w:p>
        </w:tc>
        <w:tc>
          <w:tcPr>
            <w:tcW w:w="0" w:type="auto"/>
          </w:tcPr>
          <w:p w14:paraId="57688E48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6 604</w:t>
            </w:r>
          </w:p>
        </w:tc>
        <w:tc>
          <w:tcPr>
            <w:tcW w:w="0" w:type="auto"/>
          </w:tcPr>
          <w:p w14:paraId="612731E7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5 791</w:t>
            </w:r>
          </w:p>
        </w:tc>
        <w:tc>
          <w:tcPr>
            <w:tcW w:w="0" w:type="auto"/>
          </w:tcPr>
          <w:p w14:paraId="37B24B47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4 749</w:t>
            </w:r>
          </w:p>
        </w:tc>
        <w:tc>
          <w:tcPr>
            <w:tcW w:w="0" w:type="auto"/>
          </w:tcPr>
          <w:p w14:paraId="4DFEACE6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3 655</w:t>
            </w:r>
          </w:p>
        </w:tc>
        <w:tc>
          <w:tcPr>
            <w:tcW w:w="0" w:type="auto"/>
          </w:tcPr>
          <w:p w14:paraId="3E3BBFAF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 xml:space="preserve">2 605 </w:t>
            </w:r>
          </w:p>
        </w:tc>
      </w:tr>
      <w:tr w:rsidR="00B16415" w:rsidRPr="00E412EC" w14:paraId="3FA8E3F1" w14:textId="77777777" w:rsidTr="00B16415">
        <w:tc>
          <w:tcPr>
            <w:tcW w:w="0" w:type="auto"/>
          </w:tcPr>
          <w:p w14:paraId="3C71B02F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30 – 34- let </w:t>
            </w:r>
          </w:p>
        </w:tc>
        <w:tc>
          <w:tcPr>
            <w:tcW w:w="0" w:type="auto"/>
          </w:tcPr>
          <w:p w14:paraId="7080D177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6 896</w:t>
            </w:r>
          </w:p>
        </w:tc>
        <w:tc>
          <w:tcPr>
            <w:tcW w:w="0" w:type="auto"/>
          </w:tcPr>
          <w:p w14:paraId="18F0ACA2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5 989</w:t>
            </w:r>
          </w:p>
        </w:tc>
        <w:tc>
          <w:tcPr>
            <w:tcW w:w="0" w:type="auto"/>
          </w:tcPr>
          <w:p w14:paraId="641B73A1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4 832</w:t>
            </w:r>
          </w:p>
        </w:tc>
        <w:tc>
          <w:tcPr>
            <w:tcW w:w="0" w:type="auto"/>
          </w:tcPr>
          <w:p w14:paraId="0C2FCAD9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3 856</w:t>
            </w:r>
          </w:p>
        </w:tc>
        <w:tc>
          <w:tcPr>
            <w:tcW w:w="0" w:type="auto"/>
          </w:tcPr>
          <w:p w14:paraId="208594C4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2 791</w:t>
            </w:r>
          </w:p>
        </w:tc>
      </w:tr>
      <w:tr w:rsidR="00B16415" w:rsidRPr="00E412EC" w14:paraId="47E00B38" w14:textId="77777777" w:rsidTr="00B16415">
        <w:tc>
          <w:tcPr>
            <w:tcW w:w="0" w:type="auto"/>
          </w:tcPr>
          <w:p w14:paraId="4D3D6BFE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35-39 let </w:t>
            </w:r>
          </w:p>
        </w:tc>
        <w:tc>
          <w:tcPr>
            <w:tcW w:w="0" w:type="auto"/>
          </w:tcPr>
          <w:p w14:paraId="4864C823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8 156</w:t>
            </w:r>
          </w:p>
        </w:tc>
        <w:tc>
          <w:tcPr>
            <w:tcW w:w="0" w:type="auto"/>
          </w:tcPr>
          <w:p w14:paraId="5D5ED0E3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7 689</w:t>
            </w:r>
          </w:p>
        </w:tc>
        <w:tc>
          <w:tcPr>
            <w:tcW w:w="0" w:type="auto"/>
          </w:tcPr>
          <w:p w14:paraId="19807D11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6 224</w:t>
            </w:r>
          </w:p>
        </w:tc>
        <w:tc>
          <w:tcPr>
            <w:tcW w:w="0" w:type="auto"/>
          </w:tcPr>
          <w:p w14:paraId="714ABE87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4 819</w:t>
            </w:r>
          </w:p>
        </w:tc>
        <w:tc>
          <w:tcPr>
            <w:tcW w:w="0" w:type="auto"/>
          </w:tcPr>
          <w:p w14:paraId="5B7C3A93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3 389</w:t>
            </w:r>
          </w:p>
        </w:tc>
      </w:tr>
      <w:tr w:rsidR="00B16415" w:rsidRPr="00E412EC" w14:paraId="42984241" w14:textId="77777777" w:rsidTr="00B16415">
        <w:tc>
          <w:tcPr>
            <w:tcW w:w="0" w:type="auto"/>
          </w:tcPr>
          <w:p w14:paraId="791B39CF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40 – 44 let </w:t>
            </w:r>
          </w:p>
        </w:tc>
        <w:tc>
          <w:tcPr>
            <w:tcW w:w="0" w:type="auto"/>
          </w:tcPr>
          <w:p w14:paraId="2485AB91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6 677</w:t>
            </w:r>
          </w:p>
        </w:tc>
        <w:tc>
          <w:tcPr>
            <w:tcW w:w="0" w:type="auto"/>
          </w:tcPr>
          <w:p w14:paraId="3713ACC6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6 520</w:t>
            </w:r>
          </w:p>
        </w:tc>
        <w:tc>
          <w:tcPr>
            <w:tcW w:w="0" w:type="auto"/>
          </w:tcPr>
          <w:p w14:paraId="08D7EC45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5 727</w:t>
            </w:r>
          </w:p>
        </w:tc>
        <w:tc>
          <w:tcPr>
            <w:tcW w:w="0" w:type="auto"/>
          </w:tcPr>
          <w:p w14:paraId="5E8FB95A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4 847</w:t>
            </w:r>
          </w:p>
        </w:tc>
        <w:tc>
          <w:tcPr>
            <w:tcW w:w="0" w:type="auto"/>
          </w:tcPr>
          <w:p w14:paraId="4AC6AAEE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3 640</w:t>
            </w:r>
          </w:p>
        </w:tc>
      </w:tr>
      <w:tr w:rsidR="00B16415" w:rsidRPr="00E412EC" w14:paraId="6297A4C3" w14:textId="77777777" w:rsidTr="00B16415">
        <w:tc>
          <w:tcPr>
            <w:tcW w:w="0" w:type="auto"/>
          </w:tcPr>
          <w:p w14:paraId="663290A0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45 -49let </w:t>
            </w:r>
          </w:p>
        </w:tc>
        <w:tc>
          <w:tcPr>
            <w:tcW w:w="0" w:type="auto"/>
          </w:tcPr>
          <w:p w14:paraId="3CE3423C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6 066</w:t>
            </w:r>
          </w:p>
        </w:tc>
        <w:tc>
          <w:tcPr>
            <w:tcW w:w="0" w:type="auto"/>
          </w:tcPr>
          <w:p w14:paraId="7570D827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5 659</w:t>
            </w:r>
          </w:p>
        </w:tc>
        <w:tc>
          <w:tcPr>
            <w:tcW w:w="0" w:type="auto"/>
          </w:tcPr>
          <w:p w14:paraId="052140A4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4 870</w:t>
            </w:r>
          </w:p>
        </w:tc>
        <w:tc>
          <w:tcPr>
            <w:tcW w:w="0" w:type="auto"/>
          </w:tcPr>
          <w:p w14:paraId="67B9796A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3 956</w:t>
            </w:r>
          </w:p>
        </w:tc>
        <w:tc>
          <w:tcPr>
            <w:tcW w:w="0" w:type="auto"/>
          </w:tcPr>
          <w:p w14:paraId="5173CD4B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3 045</w:t>
            </w:r>
          </w:p>
        </w:tc>
      </w:tr>
      <w:tr w:rsidR="00B16415" w:rsidRPr="00E412EC" w14:paraId="3DA95FA2" w14:textId="77777777" w:rsidTr="00B16415">
        <w:tc>
          <w:tcPr>
            <w:tcW w:w="0" w:type="auto"/>
          </w:tcPr>
          <w:p w14:paraId="6E98C9F8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50 – 54 let </w:t>
            </w:r>
          </w:p>
        </w:tc>
        <w:tc>
          <w:tcPr>
            <w:tcW w:w="0" w:type="auto"/>
          </w:tcPr>
          <w:p w14:paraId="768915F8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6 229</w:t>
            </w:r>
          </w:p>
        </w:tc>
        <w:tc>
          <w:tcPr>
            <w:tcW w:w="0" w:type="auto"/>
          </w:tcPr>
          <w:p w14:paraId="041CB413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6 029</w:t>
            </w:r>
          </w:p>
        </w:tc>
        <w:tc>
          <w:tcPr>
            <w:tcW w:w="0" w:type="auto"/>
          </w:tcPr>
          <w:p w14:paraId="5C34DC72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5 373</w:t>
            </w:r>
          </w:p>
        </w:tc>
        <w:tc>
          <w:tcPr>
            <w:tcW w:w="0" w:type="auto"/>
          </w:tcPr>
          <w:p w14:paraId="72F9ED4F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4 445</w:t>
            </w:r>
          </w:p>
        </w:tc>
        <w:tc>
          <w:tcPr>
            <w:tcW w:w="0" w:type="auto"/>
          </w:tcPr>
          <w:p w14:paraId="7911DF1D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3 370</w:t>
            </w:r>
          </w:p>
        </w:tc>
      </w:tr>
      <w:tr w:rsidR="00B16415" w:rsidRPr="00E412EC" w14:paraId="09E7E712" w14:textId="77777777" w:rsidTr="00B16415">
        <w:tc>
          <w:tcPr>
            <w:tcW w:w="0" w:type="auto"/>
          </w:tcPr>
          <w:p w14:paraId="25C6ACAF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55 – 59 let </w:t>
            </w:r>
          </w:p>
        </w:tc>
        <w:tc>
          <w:tcPr>
            <w:tcW w:w="0" w:type="auto"/>
          </w:tcPr>
          <w:p w14:paraId="51DB7F74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7 973</w:t>
            </w:r>
          </w:p>
        </w:tc>
        <w:tc>
          <w:tcPr>
            <w:tcW w:w="0" w:type="auto"/>
          </w:tcPr>
          <w:p w14:paraId="6CB562B9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7 597</w:t>
            </w:r>
          </w:p>
        </w:tc>
        <w:tc>
          <w:tcPr>
            <w:tcW w:w="0" w:type="auto"/>
          </w:tcPr>
          <w:p w14:paraId="05994E65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6 672</w:t>
            </w:r>
          </w:p>
        </w:tc>
        <w:tc>
          <w:tcPr>
            <w:tcW w:w="0" w:type="auto"/>
          </w:tcPr>
          <w:p w14:paraId="65611D7B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5 425</w:t>
            </w:r>
          </w:p>
        </w:tc>
        <w:tc>
          <w:tcPr>
            <w:tcW w:w="0" w:type="auto"/>
          </w:tcPr>
          <w:p w14:paraId="59B4D8A4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4 181</w:t>
            </w:r>
          </w:p>
        </w:tc>
      </w:tr>
      <w:tr w:rsidR="00B16415" w:rsidRPr="00E412EC" w14:paraId="059AEBFF" w14:textId="77777777" w:rsidTr="00B16415">
        <w:tc>
          <w:tcPr>
            <w:tcW w:w="0" w:type="auto"/>
          </w:tcPr>
          <w:p w14:paraId="209848B3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60 – 64 let </w:t>
            </w:r>
          </w:p>
        </w:tc>
        <w:tc>
          <w:tcPr>
            <w:tcW w:w="0" w:type="auto"/>
          </w:tcPr>
          <w:p w14:paraId="0D29C67C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2 490</w:t>
            </w:r>
          </w:p>
        </w:tc>
        <w:tc>
          <w:tcPr>
            <w:tcW w:w="0" w:type="auto"/>
          </w:tcPr>
          <w:p w14:paraId="16B03327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2 863</w:t>
            </w:r>
          </w:p>
        </w:tc>
        <w:tc>
          <w:tcPr>
            <w:tcW w:w="0" w:type="auto"/>
          </w:tcPr>
          <w:p w14:paraId="00A72A2D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2 858</w:t>
            </w:r>
          </w:p>
        </w:tc>
        <w:tc>
          <w:tcPr>
            <w:tcW w:w="0" w:type="auto"/>
          </w:tcPr>
          <w:p w14:paraId="2809AD02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2 911</w:t>
            </w:r>
          </w:p>
        </w:tc>
        <w:tc>
          <w:tcPr>
            <w:tcW w:w="0" w:type="auto"/>
          </w:tcPr>
          <w:p w14:paraId="163EE319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2 656</w:t>
            </w:r>
          </w:p>
        </w:tc>
      </w:tr>
      <w:tr w:rsidR="00B16415" w:rsidRPr="00E412EC" w14:paraId="5C92B631" w14:textId="77777777" w:rsidTr="00B16415">
        <w:trPr>
          <w:trHeight w:val="570"/>
        </w:trPr>
        <w:tc>
          <w:tcPr>
            <w:tcW w:w="0" w:type="auto"/>
          </w:tcPr>
          <w:p w14:paraId="235C506C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65 let a více </w:t>
            </w:r>
          </w:p>
        </w:tc>
        <w:tc>
          <w:tcPr>
            <w:tcW w:w="0" w:type="auto"/>
          </w:tcPr>
          <w:p w14:paraId="2785F299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14:paraId="58B8B1FB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</w:tcPr>
          <w:p w14:paraId="4090DCF0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124</w:t>
            </w:r>
          </w:p>
        </w:tc>
        <w:tc>
          <w:tcPr>
            <w:tcW w:w="0" w:type="auto"/>
          </w:tcPr>
          <w:p w14:paraId="1078B0D1" w14:textId="77777777" w:rsidR="00B16415" w:rsidRPr="00CD4AF0" w:rsidRDefault="00B16415" w:rsidP="00B16415">
            <w:pPr>
              <w:ind w:firstLine="0"/>
              <w:rPr>
                <w:sz w:val="22"/>
                <w:szCs w:val="22"/>
              </w:rPr>
            </w:pPr>
            <w:r w:rsidRPr="00CD4AF0">
              <w:rPr>
                <w:sz w:val="22"/>
                <w:szCs w:val="22"/>
              </w:rPr>
              <w:t>148</w:t>
            </w:r>
          </w:p>
        </w:tc>
        <w:tc>
          <w:tcPr>
            <w:tcW w:w="0" w:type="auto"/>
          </w:tcPr>
          <w:p w14:paraId="0123FC4D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171</w:t>
            </w:r>
          </w:p>
        </w:tc>
      </w:tr>
      <w:tr w:rsidR="00B16415" w:rsidRPr="00E412EC" w14:paraId="3B4CFE2E" w14:textId="77777777" w:rsidTr="00B16415">
        <w:tc>
          <w:tcPr>
            <w:tcW w:w="0" w:type="auto"/>
          </w:tcPr>
          <w:p w14:paraId="036453B1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0" w:type="auto"/>
          </w:tcPr>
          <w:p w14:paraId="3AEB5CBB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61 681</w:t>
            </w:r>
          </w:p>
        </w:tc>
        <w:tc>
          <w:tcPr>
            <w:tcW w:w="0" w:type="auto"/>
          </w:tcPr>
          <w:p w14:paraId="72514AF2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56 674</w:t>
            </w:r>
          </w:p>
        </w:tc>
        <w:tc>
          <w:tcPr>
            <w:tcW w:w="0" w:type="auto"/>
          </w:tcPr>
          <w:p w14:paraId="33B51E06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48 102</w:t>
            </w:r>
          </w:p>
        </w:tc>
        <w:tc>
          <w:tcPr>
            <w:tcW w:w="0" w:type="auto"/>
          </w:tcPr>
          <w:p w14:paraId="464DAC9D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38 966</w:t>
            </w:r>
          </w:p>
        </w:tc>
        <w:tc>
          <w:tcPr>
            <w:tcW w:w="0" w:type="auto"/>
          </w:tcPr>
          <w:p w14:paraId="2CE3D41C" w14:textId="77777777" w:rsidR="00B16415" w:rsidRPr="00CD4AF0" w:rsidRDefault="00B16415" w:rsidP="00B16415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29 370</w:t>
            </w:r>
          </w:p>
        </w:tc>
      </w:tr>
    </w:tbl>
    <w:p w14:paraId="5CB47653" w14:textId="77777777" w:rsidR="00B16415" w:rsidRDefault="00B16415" w:rsidP="00B16415">
      <w:pPr>
        <w:spacing w:after="200" w:line="276" w:lineRule="auto"/>
        <w:ind w:firstLine="0"/>
        <w:jc w:val="left"/>
      </w:pPr>
    </w:p>
    <w:p w14:paraId="122C4644" w14:textId="77777777" w:rsidR="00B16415" w:rsidRDefault="00B16415" w:rsidP="00B16415">
      <w:pPr>
        <w:spacing w:after="200" w:line="276" w:lineRule="auto"/>
        <w:ind w:firstLine="0"/>
        <w:jc w:val="left"/>
      </w:pPr>
    </w:p>
    <w:p w14:paraId="479058B3" w14:textId="77777777" w:rsidR="00B16415" w:rsidRDefault="00B16415" w:rsidP="00B16415">
      <w:pPr>
        <w:spacing w:after="200" w:line="276" w:lineRule="auto"/>
        <w:ind w:firstLine="0"/>
        <w:jc w:val="left"/>
      </w:pPr>
    </w:p>
    <w:p w14:paraId="07A79523" w14:textId="77777777" w:rsidR="00B16415" w:rsidRDefault="00B16415" w:rsidP="00B16415">
      <w:pPr>
        <w:spacing w:after="200" w:line="276" w:lineRule="auto"/>
        <w:ind w:firstLine="0"/>
        <w:jc w:val="left"/>
      </w:pPr>
    </w:p>
    <w:p w14:paraId="4311057B" w14:textId="77777777" w:rsidR="00B16415" w:rsidRDefault="00B16415" w:rsidP="00B16415">
      <w:pPr>
        <w:spacing w:after="200" w:line="276" w:lineRule="auto"/>
        <w:ind w:firstLine="0"/>
        <w:jc w:val="left"/>
      </w:pPr>
    </w:p>
    <w:p w14:paraId="7F0C0823" w14:textId="77777777" w:rsidR="00B16415" w:rsidRDefault="00B16415" w:rsidP="00B16415">
      <w:pPr>
        <w:spacing w:after="200" w:line="276" w:lineRule="auto"/>
        <w:ind w:firstLine="0"/>
        <w:jc w:val="left"/>
      </w:pPr>
    </w:p>
    <w:p w14:paraId="0BA1195C" w14:textId="77777777" w:rsidR="00B16415" w:rsidRDefault="00B16415" w:rsidP="00B16415">
      <w:pPr>
        <w:spacing w:after="200" w:line="276" w:lineRule="auto"/>
        <w:ind w:firstLine="0"/>
        <w:jc w:val="left"/>
      </w:pPr>
    </w:p>
    <w:p w14:paraId="3E568E9A" w14:textId="77777777" w:rsidR="00B16415" w:rsidRDefault="00B16415" w:rsidP="00B16415">
      <w:pPr>
        <w:spacing w:after="200" w:line="276" w:lineRule="auto"/>
        <w:ind w:firstLine="0"/>
        <w:jc w:val="left"/>
      </w:pPr>
    </w:p>
    <w:p w14:paraId="19A97BEB" w14:textId="77777777" w:rsidR="00B16415" w:rsidRDefault="00B16415" w:rsidP="00B16415">
      <w:pPr>
        <w:spacing w:after="200" w:line="276" w:lineRule="auto"/>
        <w:ind w:firstLine="0"/>
        <w:jc w:val="left"/>
      </w:pPr>
    </w:p>
    <w:p w14:paraId="1603B546" w14:textId="77777777" w:rsidR="00B16415" w:rsidRDefault="00B16415" w:rsidP="00B16415">
      <w:pPr>
        <w:spacing w:after="200" w:line="276" w:lineRule="auto"/>
        <w:ind w:firstLine="0"/>
        <w:jc w:val="left"/>
      </w:pPr>
    </w:p>
    <w:p w14:paraId="7C201A3E" w14:textId="77777777" w:rsidR="00B16415" w:rsidRDefault="00B16415" w:rsidP="00B16415">
      <w:pPr>
        <w:spacing w:line="276" w:lineRule="auto"/>
        <w:ind w:firstLine="0"/>
        <w:jc w:val="left"/>
      </w:pPr>
    </w:p>
    <w:p w14:paraId="75CFF13C" w14:textId="524A0148" w:rsidR="00B16415" w:rsidRDefault="00B16415" w:rsidP="00B16415">
      <w:pPr>
        <w:spacing w:after="200" w:line="276" w:lineRule="auto"/>
        <w:ind w:firstLine="0"/>
        <w:jc w:val="left"/>
      </w:pPr>
      <w:r w:rsidRPr="00863C55">
        <w:rPr>
          <w:i/>
          <w:sz w:val="20"/>
        </w:rPr>
        <w:t>Zdroj: Vlastní zpracování, dle ČSŮ,</w:t>
      </w:r>
    </w:p>
    <w:p w14:paraId="15171FD9" w14:textId="53682D29" w:rsidR="00994E2A" w:rsidRDefault="00206591" w:rsidP="00B16415">
      <w:pPr>
        <w:spacing w:after="200" w:line="276" w:lineRule="auto"/>
        <w:ind w:firstLine="0"/>
        <w:jc w:val="left"/>
      </w:pPr>
      <w:r>
        <w:br w:type="page"/>
      </w:r>
    </w:p>
    <w:p w14:paraId="49D97FA1" w14:textId="24B7C465" w:rsidR="00B16415" w:rsidRDefault="00B16415" w:rsidP="00B16415">
      <w:r>
        <w:lastRenderedPageBreak/>
        <w:t>V první kategorii do 19 let bylo evidováno na úřadu práce 2 334 uchazečů o zaměstnání. V druhé kategorii 20 – 24 let bylo evidováno 8 097 uchazečů o zaměstnání, což bylo nejvíce evidovaných uchazečů ve všech porovnávaných kategoriích za srovnávané období. V kategorii 25 – 29 let byl zachycen počet uchazečů ve výši 6 604 jedinců. Ve čtvrté kategorii bylo evidováno na úřadu práce 6 896 uchazečů. V kategorii 35 – 39 let bylo evidováno na úřadu práce 8 156 uchazečů. Ve skupině 40 – 44 let hledalo nové zaměstnání 6 677 uchazečů o zaměstnání. V kategorii 45 – 49 let bylo evidováno 6 066 uchazečů o zaměstnání. V kategorii 50 – 54 let bylo evidováno na úřadu práce 6 229 uchazečů o zaměstnání. V deváté kategorii byl počet uchazečů ve výši 7 973 jedinců.</w:t>
      </w:r>
    </w:p>
    <w:p w14:paraId="051AD7BA" w14:textId="51B3F7CC" w:rsidR="00863C55" w:rsidRPr="00B16415" w:rsidRDefault="00B16415" w:rsidP="00B16415">
      <w:r>
        <w:t>Za porovnávané období v roce 2016 bylo nejvíce evidovaných uchazečů v kategorii 60 – 64 let, kdy evidovaných byl výši 2 911 uchazečů o zaměstnání. V roce 2017 byl zaznamenán nejvyšší počet uchazečů v kategorii 65 let a více, kdy byl ve výši 171 jedinců. V roce 2017 byl evidovaný nejmenší počet uchazečů na úřadu práce ve Středočeském kraji, kdy bylo evidováno 29 370 jedinců o zaměstnání.</w:t>
      </w:r>
    </w:p>
    <w:p w14:paraId="223A9F1A" w14:textId="3E15A187" w:rsidR="00B16415" w:rsidRDefault="00863C55" w:rsidP="00C32DBC">
      <w:r>
        <w:br w:type="page"/>
      </w:r>
      <w:r w:rsidR="00B8038C">
        <w:lastRenderedPageBreak/>
        <w:t xml:space="preserve">Celý vývoj na úřadu práce ve Středočeském kraji je </w:t>
      </w:r>
      <w:r w:rsidR="00B8038C" w:rsidRPr="00FE427E">
        <w:t>uveden v </w:t>
      </w:r>
      <w:r w:rsidR="00FE427E" w:rsidRPr="00FE427E">
        <w:t>tabulce č. 11</w:t>
      </w:r>
      <w:r w:rsidR="00B8038C">
        <w:t>, kdy červená barva znázorňuje ne</w:t>
      </w:r>
      <w:r w:rsidR="00BD3850">
        <w:t>j</w:t>
      </w:r>
      <w:r w:rsidR="00B8038C">
        <w:t>větší snížení uchazečů</w:t>
      </w:r>
      <w:r w:rsidR="00C4421E">
        <w:t xml:space="preserve"> na úřadu práce,</w:t>
      </w:r>
      <w:r w:rsidR="00B8038C">
        <w:t xml:space="preserve"> v dané kategorii za porovnávané období. </w:t>
      </w:r>
      <w:r w:rsidR="00C4421E">
        <w:t>Modrou barvou v tabul</w:t>
      </w:r>
      <w:r w:rsidR="00FE427E">
        <w:t>ce č. 11</w:t>
      </w:r>
      <w:r w:rsidR="00C4421E">
        <w:t xml:space="preserve"> je označeno nejmenší snížení nezaměstnaných na úřadu práce ve Středočeském kraji. Z</w:t>
      </w:r>
      <w:r w:rsidR="00FE427E">
        <w:t>elenou barvou je v tabulce č. 11</w:t>
      </w:r>
      <w:r w:rsidR="00C4421E">
        <w:t xml:space="preserve"> vyznačen </w:t>
      </w:r>
      <w:r w:rsidR="00DD06D2">
        <w:t xml:space="preserve">největší přírůstek </w:t>
      </w:r>
      <w:r w:rsidR="00C4421E">
        <w:t xml:space="preserve">nezaměstnaných </w:t>
      </w:r>
      <w:r w:rsidR="00DD06D2">
        <w:t xml:space="preserve">osob </w:t>
      </w:r>
      <w:r w:rsidR="00C4421E">
        <w:t>na úřadu práce</w:t>
      </w:r>
      <w:r w:rsidR="00B16415">
        <w:t>.</w:t>
      </w:r>
    </w:p>
    <w:p w14:paraId="2ABB9EBD" w14:textId="0B84F87A" w:rsidR="00C32DBC" w:rsidRPr="00C32DBC" w:rsidRDefault="00FE427E" w:rsidP="002250B8">
      <w:pPr>
        <w:spacing w:after="240"/>
      </w:pPr>
      <w:r>
        <w:t>Dle tabulky č. 11</w:t>
      </w:r>
      <w:r w:rsidR="00C32DBC">
        <w:t xml:space="preserve"> lze konstatovat, že k největšímu úbytku na úřadu práce došlo v roce 2014 v kategorii 20 – 24 let, kdy se počet evidovaných uchazečů o zaměstnání snížil o 1 524 jedinců</w:t>
      </w:r>
      <w:r w:rsidR="00563CAA">
        <w:t xml:space="preserve"> Za porovnávané období v kategoriích: do 19 let, 20 – 24 let, 25 – 29 let, 30 – 34 let, 35 – 39 let, 40 – 44 let, 45 – 49 let, 50 – 54 </w:t>
      </w:r>
      <w:r w:rsidR="00234AA8">
        <w:t xml:space="preserve">let a 55 – 59 </w:t>
      </w:r>
      <w:r w:rsidR="00D958BC">
        <w:t>let bylo evidováno snížení na</w:t>
      </w:r>
      <w:r w:rsidR="00234AA8">
        <w:t xml:space="preserve"> úřadu práce ve S</w:t>
      </w:r>
      <w:r w:rsidR="00D958BC">
        <w:t>tředočeském kraji. V roce 2013 vznikl největší přírůstek uchazečů na úřadu práce, kdy se počet uchazečů zvýšil o 373 jedinců. Přírůstek uchazečů vznik v kategorii 60 – 64 let</w:t>
      </w:r>
      <w:r w:rsidR="006879A2">
        <w:t xml:space="preserve">, v uvedené kategorii v dalších </w:t>
      </w:r>
      <w:r w:rsidR="00810254">
        <w:t>letech dochází k úbytku uchazečů na úřadu práce. V kategorii 65 let a více se za porovnávané období 2013 –</w:t>
      </w:r>
      <w:r w:rsidR="00E84451">
        <w:t xml:space="preserve"> 2017 počet evidovaných uchazečů na úřadu práce každý rok zvyšuje. K</w:t>
      </w:r>
      <w:r w:rsidR="00C5783E">
        <w:t> nejvyššímu zvýšení v uvedené kategorii došlo v roce 2015, kdy se počet uchazečů na úř</w:t>
      </w:r>
      <w:r w:rsidR="002250B8">
        <w:t>adu práce zvýšil o 42 jedinců.</w:t>
      </w:r>
    </w:p>
    <w:p w14:paraId="1AD96242" w14:textId="2346FF9F" w:rsidR="00305A07" w:rsidRPr="00C4421E" w:rsidRDefault="00C4421E" w:rsidP="00B8038C">
      <w:pPr>
        <w:spacing w:line="240" w:lineRule="auto"/>
        <w:ind w:firstLine="0"/>
        <w:jc w:val="left"/>
        <w:rPr>
          <w:i/>
          <w:color w:val="000000" w:themeColor="text1"/>
          <w:sz w:val="20"/>
        </w:rPr>
      </w:pPr>
      <w:bookmarkStart w:id="57" w:name="_Toc15639656"/>
      <w:r w:rsidRPr="00FB2EF2">
        <w:rPr>
          <w:i/>
          <w:color w:val="000000" w:themeColor="text1"/>
          <w:sz w:val="20"/>
        </w:rPr>
        <w:t xml:space="preserve">Tabulka </w:t>
      </w:r>
      <w:r w:rsidRPr="00FB2EF2">
        <w:rPr>
          <w:i/>
          <w:color w:val="000000" w:themeColor="text1"/>
          <w:sz w:val="20"/>
        </w:rPr>
        <w:fldChar w:fldCharType="begin"/>
      </w:r>
      <w:r w:rsidRPr="00FB2EF2">
        <w:rPr>
          <w:i/>
          <w:color w:val="000000" w:themeColor="text1"/>
          <w:sz w:val="20"/>
        </w:rPr>
        <w:instrText xml:space="preserve"> SEQ Tabulka \* ARABIC </w:instrText>
      </w:r>
      <w:r w:rsidRPr="00FB2EF2">
        <w:rPr>
          <w:i/>
          <w:color w:val="000000" w:themeColor="text1"/>
          <w:sz w:val="20"/>
        </w:rPr>
        <w:fldChar w:fldCharType="separate"/>
      </w:r>
      <w:r w:rsidR="00343D89" w:rsidRPr="00FB2EF2">
        <w:rPr>
          <w:i/>
          <w:noProof/>
          <w:color w:val="000000" w:themeColor="text1"/>
          <w:sz w:val="20"/>
        </w:rPr>
        <w:t>11</w:t>
      </w:r>
      <w:r w:rsidRPr="00FB2EF2">
        <w:rPr>
          <w:i/>
          <w:color w:val="000000" w:themeColor="text1"/>
          <w:sz w:val="20"/>
        </w:rPr>
        <w:fldChar w:fldCharType="end"/>
      </w:r>
      <w:r w:rsidRPr="00FB2EF2">
        <w:rPr>
          <w:i/>
          <w:color w:val="000000" w:themeColor="text1"/>
          <w:sz w:val="20"/>
        </w:rPr>
        <w:t xml:space="preserve"> Vývoj</w:t>
      </w:r>
      <w:r w:rsidRPr="00B8038C">
        <w:rPr>
          <w:i/>
          <w:color w:val="000000" w:themeColor="text1"/>
          <w:sz w:val="20"/>
        </w:rPr>
        <w:t xml:space="preserve"> na úřadu práce ve Středočeském kraji v období 2013 - 2017</w:t>
      </w:r>
      <w:bookmarkEnd w:id="57"/>
    </w:p>
    <w:tbl>
      <w:tblPr>
        <w:tblStyle w:val="Mkatabulky"/>
        <w:tblpPr w:leftFromText="141" w:rightFromText="141" w:vertAnchor="page" w:horzAnchor="margin" w:tblpY="8175"/>
        <w:tblW w:w="9528" w:type="dxa"/>
        <w:tblLook w:val="04A0" w:firstRow="1" w:lastRow="0" w:firstColumn="1" w:lastColumn="0" w:noHBand="0" w:noVBand="1"/>
      </w:tblPr>
      <w:tblGrid>
        <w:gridCol w:w="1085"/>
        <w:gridCol w:w="767"/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</w:tblGrid>
      <w:tr w:rsidR="00A32BAA" w14:paraId="179F1D50" w14:textId="77777777" w:rsidTr="00A32BAA">
        <w:trPr>
          <w:trHeight w:val="551"/>
        </w:trPr>
        <w:tc>
          <w:tcPr>
            <w:tcW w:w="1085" w:type="dxa"/>
          </w:tcPr>
          <w:p w14:paraId="76F2D026" w14:textId="77777777" w:rsidR="00A32BAA" w:rsidRDefault="00A32BAA" w:rsidP="00A32BAA">
            <w:pPr>
              <w:ind w:firstLine="0"/>
            </w:pPr>
            <w:r w:rsidRPr="00714677">
              <w:rPr>
                <w:b/>
                <w:sz w:val="22"/>
              </w:rPr>
              <w:t>K 31.12</w:t>
            </w:r>
            <w:r>
              <w:t>.</w:t>
            </w:r>
          </w:p>
        </w:tc>
        <w:tc>
          <w:tcPr>
            <w:tcW w:w="767" w:type="dxa"/>
          </w:tcPr>
          <w:p w14:paraId="5C2826BB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 xml:space="preserve">Do 19 let </w:t>
            </w:r>
          </w:p>
        </w:tc>
        <w:tc>
          <w:tcPr>
            <w:tcW w:w="767" w:type="dxa"/>
          </w:tcPr>
          <w:p w14:paraId="0B62C78D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20 – 24 let</w:t>
            </w:r>
          </w:p>
        </w:tc>
        <w:tc>
          <w:tcPr>
            <w:tcW w:w="767" w:type="dxa"/>
          </w:tcPr>
          <w:p w14:paraId="678E2A1D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25 -29let</w:t>
            </w:r>
          </w:p>
        </w:tc>
        <w:tc>
          <w:tcPr>
            <w:tcW w:w="767" w:type="dxa"/>
          </w:tcPr>
          <w:p w14:paraId="53F275B9" w14:textId="77777777" w:rsidR="00A32BAA" w:rsidRDefault="00A32BAA" w:rsidP="00A32BAA">
            <w:pPr>
              <w:ind w:firstLine="0"/>
            </w:pPr>
            <w:r>
              <w:rPr>
                <w:b/>
                <w:sz w:val="22"/>
                <w:szCs w:val="22"/>
              </w:rPr>
              <w:t>30 – 34</w:t>
            </w:r>
            <w:r w:rsidRPr="00CD4AF0">
              <w:rPr>
                <w:b/>
                <w:sz w:val="22"/>
                <w:szCs w:val="22"/>
              </w:rPr>
              <w:t xml:space="preserve"> let</w:t>
            </w:r>
          </w:p>
        </w:tc>
        <w:tc>
          <w:tcPr>
            <w:tcW w:w="767" w:type="dxa"/>
          </w:tcPr>
          <w:p w14:paraId="179B1639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35-39 let</w:t>
            </w:r>
          </w:p>
        </w:tc>
        <w:tc>
          <w:tcPr>
            <w:tcW w:w="768" w:type="dxa"/>
          </w:tcPr>
          <w:p w14:paraId="33B03E48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40 – 44 let</w:t>
            </w:r>
          </w:p>
        </w:tc>
        <w:tc>
          <w:tcPr>
            <w:tcW w:w="768" w:type="dxa"/>
          </w:tcPr>
          <w:p w14:paraId="0B522521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45 -49let</w:t>
            </w:r>
          </w:p>
        </w:tc>
        <w:tc>
          <w:tcPr>
            <w:tcW w:w="768" w:type="dxa"/>
          </w:tcPr>
          <w:p w14:paraId="696715B6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50 – 54 let</w:t>
            </w:r>
          </w:p>
        </w:tc>
        <w:tc>
          <w:tcPr>
            <w:tcW w:w="768" w:type="dxa"/>
          </w:tcPr>
          <w:p w14:paraId="32B8E632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55 – 59 let</w:t>
            </w:r>
          </w:p>
        </w:tc>
        <w:tc>
          <w:tcPr>
            <w:tcW w:w="768" w:type="dxa"/>
          </w:tcPr>
          <w:p w14:paraId="7A63E866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 xml:space="preserve">60 – 64 let </w:t>
            </w:r>
          </w:p>
        </w:tc>
        <w:tc>
          <w:tcPr>
            <w:tcW w:w="768" w:type="dxa"/>
          </w:tcPr>
          <w:p w14:paraId="65D781E5" w14:textId="77777777" w:rsidR="00A32BAA" w:rsidRDefault="00A32BAA" w:rsidP="00A32BAA">
            <w:pPr>
              <w:ind w:firstLine="0"/>
            </w:pPr>
            <w:r w:rsidRPr="00CD4AF0">
              <w:rPr>
                <w:b/>
                <w:sz w:val="22"/>
                <w:szCs w:val="22"/>
              </w:rPr>
              <w:t>65 let a více</w:t>
            </w:r>
          </w:p>
        </w:tc>
      </w:tr>
      <w:tr w:rsidR="00A32BAA" w14:paraId="1C4C3880" w14:textId="77777777" w:rsidTr="00A32BAA">
        <w:tc>
          <w:tcPr>
            <w:tcW w:w="1085" w:type="dxa"/>
          </w:tcPr>
          <w:p w14:paraId="4E3447D9" w14:textId="77777777" w:rsidR="00A32BAA" w:rsidRPr="00714677" w:rsidRDefault="00A32BAA" w:rsidP="00A32BAA">
            <w:pPr>
              <w:ind w:firstLine="0"/>
              <w:rPr>
                <w:b/>
                <w:sz w:val="20"/>
              </w:rPr>
            </w:pPr>
            <w:r w:rsidRPr="00714677">
              <w:rPr>
                <w:b/>
                <w:sz w:val="20"/>
              </w:rPr>
              <w:t>2013-2014</w:t>
            </w:r>
          </w:p>
        </w:tc>
        <w:tc>
          <w:tcPr>
            <w:tcW w:w="767" w:type="dxa"/>
          </w:tcPr>
          <w:p w14:paraId="46B53C1A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507BC1">
              <w:rPr>
                <w:color w:val="FF0000"/>
                <w:sz w:val="20"/>
              </w:rPr>
              <w:t>-452</w:t>
            </w:r>
          </w:p>
        </w:tc>
        <w:tc>
          <w:tcPr>
            <w:tcW w:w="767" w:type="dxa"/>
          </w:tcPr>
          <w:p w14:paraId="31CF9D58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507BC1">
              <w:rPr>
                <w:color w:val="FF0000"/>
                <w:sz w:val="20"/>
              </w:rPr>
              <w:t>-1 524</w:t>
            </w:r>
          </w:p>
        </w:tc>
        <w:tc>
          <w:tcPr>
            <w:tcW w:w="767" w:type="dxa"/>
          </w:tcPr>
          <w:p w14:paraId="04D40207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507BC1">
              <w:rPr>
                <w:color w:val="1F497D" w:themeColor="text2"/>
                <w:sz w:val="20"/>
              </w:rPr>
              <w:t>-813</w:t>
            </w:r>
          </w:p>
        </w:tc>
        <w:tc>
          <w:tcPr>
            <w:tcW w:w="767" w:type="dxa"/>
          </w:tcPr>
          <w:p w14:paraId="545E7DD7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B8038C">
              <w:rPr>
                <w:color w:val="1F497D" w:themeColor="text2"/>
                <w:sz w:val="20"/>
              </w:rPr>
              <w:t xml:space="preserve">-907 </w:t>
            </w:r>
          </w:p>
        </w:tc>
        <w:tc>
          <w:tcPr>
            <w:tcW w:w="767" w:type="dxa"/>
          </w:tcPr>
          <w:p w14:paraId="480E7CE4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B8038C">
              <w:rPr>
                <w:color w:val="1F497D" w:themeColor="text2"/>
                <w:sz w:val="20"/>
              </w:rPr>
              <w:t>-467</w:t>
            </w:r>
          </w:p>
        </w:tc>
        <w:tc>
          <w:tcPr>
            <w:tcW w:w="768" w:type="dxa"/>
          </w:tcPr>
          <w:p w14:paraId="6EDA2439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B8038C">
              <w:rPr>
                <w:color w:val="1F497D" w:themeColor="text2"/>
                <w:sz w:val="20"/>
              </w:rPr>
              <w:t>-157</w:t>
            </w:r>
          </w:p>
        </w:tc>
        <w:tc>
          <w:tcPr>
            <w:tcW w:w="768" w:type="dxa"/>
          </w:tcPr>
          <w:p w14:paraId="41AC800A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B8038C">
              <w:rPr>
                <w:color w:val="1F497D" w:themeColor="text2"/>
                <w:sz w:val="20"/>
              </w:rPr>
              <w:t>-407</w:t>
            </w:r>
          </w:p>
        </w:tc>
        <w:tc>
          <w:tcPr>
            <w:tcW w:w="768" w:type="dxa"/>
          </w:tcPr>
          <w:p w14:paraId="11B8D7AD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B8038C">
              <w:rPr>
                <w:color w:val="1F497D" w:themeColor="text2"/>
                <w:sz w:val="20"/>
              </w:rPr>
              <w:t>-200</w:t>
            </w:r>
          </w:p>
        </w:tc>
        <w:tc>
          <w:tcPr>
            <w:tcW w:w="768" w:type="dxa"/>
          </w:tcPr>
          <w:p w14:paraId="7B36CBBB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-376</w:t>
            </w:r>
          </w:p>
        </w:tc>
        <w:tc>
          <w:tcPr>
            <w:tcW w:w="768" w:type="dxa"/>
          </w:tcPr>
          <w:p w14:paraId="0032B482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B8038C">
              <w:rPr>
                <w:color w:val="00B050"/>
                <w:sz w:val="20"/>
              </w:rPr>
              <w:t>+373</w:t>
            </w:r>
          </w:p>
        </w:tc>
        <w:tc>
          <w:tcPr>
            <w:tcW w:w="768" w:type="dxa"/>
          </w:tcPr>
          <w:p w14:paraId="34437E2C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+23</w:t>
            </w:r>
          </w:p>
        </w:tc>
      </w:tr>
      <w:tr w:rsidR="00A32BAA" w14:paraId="2A4638E2" w14:textId="77777777" w:rsidTr="00A32BAA">
        <w:tc>
          <w:tcPr>
            <w:tcW w:w="1085" w:type="dxa"/>
          </w:tcPr>
          <w:p w14:paraId="3320588C" w14:textId="77777777" w:rsidR="00A32BAA" w:rsidRPr="00714677" w:rsidRDefault="00A32BAA" w:rsidP="00A32BAA">
            <w:pPr>
              <w:ind w:firstLine="0"/>
              <w:rPr>
                <w:b/>
                <w:sz w:val="20"/>
              </w:rPr>
            </w:pPr>
            <w:r w:rsidRPr="00714677">
              <w:rPr>
                <w:b/>
                <w:sz w:val="20"/>
              </w:rPr>
              <w:t>2014-2015</w:t>
            </w:r>
          </w:p>
        </w:tc>
        <w:tc>
          <w:tcPr>
            <w:tcW w:w="767" w:type="dxa"/>
          </w:tcPr>
          <w:p w14:paraId="7AF1C8B9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-293</w:t>
            </w:r>
          </w:p>
        </w:tc>
        <w:tc>
          <w:tcPr>
            <w:tcW w:w="767" w:type="dxa"/>
          </w:tcPr>
          <w:p w14:paraId="28AE678E" w14:textId="77777777" w:rsidR="00A32BAA" w:rsidRPr="00BE3EFA" w:rsidRDefault="00A32BAA" w:rsidP="00A32BAA">
            <w:pPr>
              <w:ind w:firstLine="0"/>
              <w:rPr>
                <w:color w:val="FF0000"/>
                <w:sz w:val="20"/>
              </w:rPr>
            </w:pPr>
            <w:r w:rsidRPr="00507BC1">
              <w:rPr>
                <w:sz w:val="20"/>
              </w:rPr>
              <w:t>-1 489</w:t>
            </w:r>
          </w:p>
        </w:tc>
        <w:tc>
          <w:tcPr>
            <w:tcW w:w="767" w:type="dxa"/>
          </w:tcPr>
          <w:p w14:paraId="45C78049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-1 042 </w:t>
            </w:r>
          </w:p>
        </w:tc>
        <w:tc>
          <w:tcPr>
            <w:tcW w:w="767" w:type="dxa"/>
          </w:tcPr>
          <w:p w14:paraId="11915839" w14:textId="77777777" w:rsidR="00A32BAA" w:rsidRPr="00507BC1" w:rsidRDefault="00A32BAA" w:rsidP="00A32BAA">
            <w:pPr>
              <w:ind w:firstLine="0"/>
              <w:rPr>
                <w:color w:val="FF0000"/>
                <w:sz w:val="20"/>
              </w:rPr>
            </w:pPr>
            <w:r w:rsidRPr="00507BC1">
              <w:rPr>
                <w:color w:val="FF0000"/>
                <w:sz w:val="20"/>
              </w:rPr>
              <w:t>-1 157</w:t>
            </w:r>
          </w:p>
        </w:tc>
        <w:tc>
          <w:tcPr>
            <w:tcW w:w="767" w:type="dxa"/>
          </w:tcPr>
          <w:p w14:paraId="0FF2452C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B8038C">
              <w:rPr>
                <w:color w:val="FF0000"/>
                <w:sz w:val="20"/>
              </w:rPr>
              <w:t>-1 465</w:t>
            </w:r>
          </w:p>
        </w:tc>
        <w:tc>
          <w:tcPr>
            <w:tcW w:w="768" w:type="dxa"/>
          </w:tcPr>
          <w:p w14:paraId="5C5460E1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-793</w:t>
            </w:r>
          </w:p>
        </w:tc>
        <w:tc>
          <w:tcPr>
            <w:tcW w:w="768" w:type="dxa"/>
          </w:tcPr>
          <w:p w14:paraId="2C1584E9" w14:textId="77777777" w:rsidR="00A32BAA" w:rsidRPr="00BE3EFA" w:rsidRDefault="00A32BAA" w:rsidP="00A32BAA">
            <w:pPr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-789</w:t>
            </w:r>
          </w:p>
        </w:tc>
        <w:tc>
          <w:tcPr>
            <w:tcW w:w="768" w:type="dxa"/>
          </w:tcPr>
          <w:p w14:paraId="5098AB12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-656</w:t>
            </w:r>
          </w:p>
        </w:tc>
        <w:tc>
          <w:tcPr>
            <w:tcW w:w="768" w:type="dxa"/>
          </w:tcPr>
          <w:p w14:paraId="0BE7B5DF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-925</w:t>
            </w:r>
          </w:p>
        </w:tc>
        <w:tc>
          <w:tcPr>
            <w:tcW w:w="768" w:type="dxa"/>
          </w:tcPr>
          <w:p w14:paraId="5338E7CE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-5</w:t>
            </w:r>
          </w:p>
        </w:tc>
        <w:tc>
          <w:tcPr>
            <w:tcW w:w="768" w:type="dxa"/>
          </w:tcPr>
          <w:p w14:paraId="4921A1BA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B8038C">
              <w:rPr>
                <w:color w:val="00B050"/>
                <w:sz w:val="20"/>
              </w:rPr>
              <w:t>+ 42</w:t>
            </w:r>
          </w:p>
        </w:tc>
      </w:tr>
      <w:tr w:rsidR="00A32BAA" w14:paraId="27AC9C3E" w14:textId="77777777" w:rsidTr="00A32BAA">
        <w:tc>
          <w:tcPr>
            <w:tcW w:w="1085" w:type="dxa"/>
          </w:tcPr>
          <w:p w14:paraId="6301078C" w14:textId="77777777" w:rsidR="00A32BAA" w:rsidRPr="00714677" w:rsidRDefault="00A32BAA" w:rsidP="00A32BAA">
            <w:pPr>
              <w:ind w:firstLine="0"/>
              <w:rPr>
                <w:b/>
                <w:sz w:val="20"/>
              </w:rPr>
            </w:pPr>
            <w:r w:rsidRPr="00714677">
              <w:rPr>
                <w:b/>
                <w:sz w:val="20"/>
              </w:rPr>
              <w:t>2015-2016</w:t>
            </w:r>
          </w:p>
        </w:tc>
        <w:tc>
          <w:tcPr>
            <w:tcW w:w="767" w:type="dxa"/>
          </w:tcPr>
          <w:p w14:paraId="398B70B5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-284</w:t>
            </w:r>
          </w:p>
        </w:tc>
        <w:tc>
          <w:tcPr>
            <w:tcW w:w="767" w:type="dxa"/>
          </w:tcPr>
          <w:p w14:paraId="356FAA58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-1485</w:t>
            </w:r>
          </w:p>
        </w:tc>
        <w:tc>
          <w:tcPr>
            <w:tcW w:w="767" w:type="dxa"/>
          </w:tcPr>
          <w:p w14:paraId="17E6BC9A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507BC1">
              <w:rPr>
                <w:color w:val="FF0000"/>
                <w:sz w:val="20"/>
              </w:rPr>
              <w:t>-1 094</w:t>
            </w:r>
          </w:p>
        </w:tc>
        <w:tc>
          <w:tcPr>
            <w:tcW w:w="767" w:type="dxa"/>
          </w:tcPr>
          <w:p w14:paraId="09DE1021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-976</w:t>
            </w:r>
          </w:p>
        </w:tc>
        <w:tc>
          <w:tcPr>
            <w:tcW w:w="767" w:type="dxa"/>
          </w:tcPr>
          <w:p w14:paraId="271D6D99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-1 405</w:t>
            </w:r>
          </w:p>
        </w:tc>
        <w:tc>
          <w:tcPr>
            <w:tcW w:w="768" w:type="dxa"/>
          </w:tcPr>
          <w:p w14:paraId="2F02557C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-880</w:t>
            </w:r>
          </w:p>
        </w:tc>
        <w:tc>
          <w:tcPr>
            <w:tcW w:w="768" w:type="dxa"/>
          </w:tcPr>
          <w:p w14:paraId="079633CB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-914</w:t>
            </w:r>
          </w:p>
        </w:tc>
        <w:tc>
          <w:tcPr>
            <w:tcW w:w="768" w:type="dxa"/>
          </w:tcPr>
          <w:p w14:paraId="284D99A3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-928</w:t>
            </w:r>
          </w:p>
        </w:tc>
        <w:tc>
          <w:tcPr>
            <w:tcW w:w="768" w:type="dxa"/>
          </w:tcPr>
          <w:p w14:paraId="440BC01B" w14:textId="77777777" w:rsidR="00A32BAA" w:rsidRPr="00ED34D7" w:rsidRDefault="00A32BAA" w:rsidP="00A32BAA">
            <w:pPr>
              <w:ind w:firstLine="0"/>
              <w:rPr>
                <w:color w:val="1F497D" w:themeColor="text2"/>
                <w:sz w:val="20"/>
              </w:rPr>
            </w:pPr>
            <w:r w:rsidRPr="00B8038C">
              <w:rPr>
                <w:color w:val="FF0000"/>
                <w:sz w:val="20"/>
              </w:rPr>
              <w:t>-1 247</w:t>
            </w:r>
          </w:p>
        </w:tc>
        <w:tc>
          <w:tcPr>
            <w:tcW w:w="768" w:type="dxa"/>
          </w:tcPr>
          <w:p w14:paraId="11D5A700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-53</w:t>
            </w:r>
          </w:p>
        </w:tc>
        <w:tc>
          <w:tcPr>
            <w:tcW w:w="768" w:type="dxa"/>
          </w:tcPr>
          <w:p w14:paraId="4C7460A6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+ 24</w:t>
            </w:r>
          </w:p>
        </w:tc>
      </w:tr>
      <w:tr w:rsidR="00A32BAA" w14:paraId="349BD005" w14:textId="77777777" w:rsidTr="00A32BAA">
        <w:tc>
          <w:tcPr>
            <w:tcW w:w="1085" w:type="dxa"/>
          </w:tcPr>
          <w:p w14:paraId="23F2CB7F" w14:textId="77777777" w:rsidR="00A32BAA" w:rsidRPr="00714677" w:rsidRDefault="00A32BAA" w:rsidP="00A32BAA">
            <w:pPr>
              <w:ind w:firstLine="0"/>
              <w:rPr>
                <w:b/>
                <w:sz w:val="20"/>
              </w:rPr>
            </w:pPr>
            <w:r w:rsidRPr="00714677">
              <w:rPr>
                <w:b/>
                <w:sz w:val="20"/>
              </w:rPr>
              <w:t>2016-2017</w:t>
            </w:r>
          </w:p>
        </w:tc>
        <w:tc>
          <w:tcPr>
            <w:tcW w:w="767" w:type="dxa"/>
          </w:tcPr>
          <w:p w14:paraId="347579DD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507BC1">
              <w:rPr>
                <w:color w:val="1F497D" w:themeColor="text2"/>
                <w:sz w:val="20"/>
              </w:rPr>
              <w:t>-226</w:t>
            </w:r>
          </w:p>
        </w:tc>
        <w:tc>
          <w:tcPr>
            <w:tcW w:w="767" w:type="dxa"/>
          </w:tcPr>
          <w:p w14:paraId="19D0EC01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 w:rsidRPr="00507BC1">
              <w:rPr>
                <w:color w:val="1F497D" w:themeColor="text2"/>
                <w:sz w:val="20"/>
              </w:rPr>
              <w:t>-1 156</w:t>
            </w:r>
          </w:p>
        </w:tc>
        <w:tc>
          <w:tcPr>
            <w:tcW w:w="767" w:type="dxa"/>
          </w:tcPr>
          <w:p w14:paraId="7EFA983C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-1 050</w:t>
            </w:r>
          </w:p>
        </w:tc>
        <w:tc>
          <w:tcPr>
            <w:tcW w:w="767" w:type="dxa"/>
          </w:tcPr>
          <w:p w14:paraId="6EAF26A3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-1 065</w:t>
            </w:r>
          </w:p>
        </w:tc>
        <w:tc>
          <w:tcPr>
            <w:tcW w:w="767" w:type="dxa"/>
          </w:tcPr>
          <w:p w14:paraId="506A2A55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-1 430</w:t>
            </w:r>
          </w:p>
        </w:tc>
        <w:tc>
          <w:tcPr>
            <w:tcW w:w="768" w:type="dxa"/>
          </w:tcPr>
          <w:p w14:paraId="13E6E71B" w14:textId="77777777" w:rsidR="00A32BAA" w:rsidRPr="00B8038C" w:rsidRDefault="00A32BAA" w:rsidP="00A32BAA">
            <w:pPr>
              <w:ind w:firstLine="0"/>
              <w:rPr>
                <w:color w:val="FF0000"/>
                <w:sz w:val="20"/>
              </w:rPr>
            </w:pPr>
            <w:r w:rsidRPr="00B8038C">
              <w:rPr>
                <w:color w:val="FF0000"/>
                <w:sz w:val="20"/>
              </w:rPr>
              <w:t>-1 207</w:t>
            </w:r>
          </w:p>
        </w:tc>
        <w:tc>
          <w:tcPr>
            <w:tcW w:w="768" w:type="dxa"/>
          </w:tcPr>
          <w:p w14:paraId="1C3CC3B0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-911</w:t>
            </w:r>
          </w:p>
        </w:tc>
        <w:tc>
          <w:tcPr>
            <w:tcW w:w="768" w:type="dxa"/>
          </w:tcPr>
          <w:p w14:paraId="622BF859" w14:textId="77777777" w:rsidR="00A32BAA" w:rsidRPr="00996957" w:rsidRDefault="00A32BAA" w:rsidP="00A32BAA">
            <w:pPr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-1 075</w:t>
            </w:r>
          </w:p>
        </w:tc>
        <w:tc>
          <w:tcPr>
            <w:tcW w:w="768" w:type="dxa"/>
          </w:tcPr>
          <w:p w14:paraId="4BE35E20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-1 244</w:t>
            </w:r>
          </w:p>
        </w:tc>
        <w:tc>
          <w:tcPr>
            <w:tcW w:w="768" w:type="dxa"/>
          </w:tcPr>
          <w:p w14:paraId="6C9ECBC3" w14:textId="77777777" w:rsidR="00A32BAA" w:rsidRPr="00B8038C" w:rsidRDefault="00A32BAA" w:rsidP="00A32BAA">
            <w:pPr>
              <w:ind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-</w:t>
            </w:r>
            <w:r w:rsidRPr="00B8038C">
              <w:rPr>
                <w:color w:val="FF0000"/>
                <w:sz w:val="20"/>
              </w:rPr>
              <w:t>255</w:t>
            </w:r>
          </w:p>
        </w:tc>
        <w:tc>
          <w:tcPr>
            <w:tcW w:w="768" w:type="dxa"/>
          </w:tcPr>
          <w:p w14:paraId="22FBE563" w14:textId="77777777" w:rsidR="00A32BAA" w:rsidRPr="00C635C4" w:rsidRDefault="00A32BAA" w:rsidP="00A32BA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+23</w:t>
            </w:r>
          </w:p>
        </w:tc>
      </w:tr>
    </w:tbl>
    <w:p w14:paraId="0C398870" w14:textId="61DFCFB0" w:rsidR="00EB604D" w:rsidRPr="00DD06D2" w:rsidRDefault="00B8038C" w:rsidP="00D2026B">
      <w:pPr>
        <w:spacing w:after="200" w:line="276" w:lineRule="auto"/>
        <w:ind w:firstLine="0"/>
        <w:jc w:val="left"/>
        <w:rPr>
          <w:i/>
          <w:sz w:val="20"/>
        </w:rPr>
      </w:pPr>
      <w:r w:rsidRPr="00F00583">
        <w:rPr>
          <w:i/>
          <w:sz w:val="20"/>
        </w:rPr>
        <w:t>Zdro</w:t>
      </w:r>
      <w:r w:rsidR="00234AA8">
        <w:rPr>
          <w:i/>
          <w:sz w:val="20"/>
        </w:rPr>
        <w:t>j: Vlastní zpracování, dle ČSÚ,</w:t>
      </w:r>
    </w:p>
    <w:p w14:paraId="046E9D04" w14:textId="1331546D" w:rsidR="00846FFA" w:rsidRDefault="00D2026B" w:rsidP="00D2026B">
      <w:pPr>
        <w:spacing w:after="200" w:line="276" w:lineRule="auto"/>
        <w:ind w:firstLine="0"/>
        <w:jc w:val="left"/>
      </w:pPr>
      <w:r>
        <w:br w:type="page"/>
      </w:r>
    </w:p>
    <w:p w14:paraId="1B753DCE" w14:textId="64F722E0" w:rsidR="00846FFA" w:rsidRDefault="00846FFA" w:rsidP="00DC2557">
      <w:pPr>
        <w:pStyle w:val="Nadpis2"/>
      </w:pPr>
      <w:r>
        <w:lastRenderedPageBreak/>
        <w:t xml:space="preserve"> </w:t>
      </w:r>
      <w:bookmarkStart w:id="58" w:name="_Toc15889406"/>
      <w:r w:rsidR="00540C28">
        <w:t>Míra ekonomicky aktivních obyvatel v Olomouckém kraji</w:t>
      </w:r>
      <w:bookmarkEnd w:id="58"/>
    </w:p>
    <w:p w14:paraId="364E7162" w14:textId="03F66248" w:rsidR="00540C28" w:rsidRPr="00540C28" w:rsidRDefault="00540C28" w:rsidP="00DD2179">
      <w:pPr>
        <w:spacing w:after="240"/>
      </w:pPr>
      <w:r>
        <w:t xml:space="preserve">V tabulce č. 12 je zaznamenána míra ekonomicky aktivních obyvatel v Olomouckém kraji. </w:t>
      </w:r>
      <w:r w:rsidR="00A53168">
        <w:t>V roce 2013 byla ekonomická míra obyvatelstva v Olomouckém kraji nejvyšší, kdy</w:t>
      </w:r>
      <w:r w:rsidR="00DD2179">
        <w:t xml:space="preserve"> byl</w:t>
      </w:r>
      <w:r w:rsidR="00ED3C3D">
        <w:t>a</w:t>
      </w:r>
      <w:r w:rsidR="00DD2179">
        <w:t xml:space="preserve"> evidovaná</w:t>
      </w:r>
      <w:r w:rsidR="00A53168">
        <w:t xml:space="preserve"> ve výši 67,55%. V roce 2014 se ekonomická míra aktivních obyvatel snížila </w:t>
      </w:r>
      <w:r w:rsidR="00DD2179">
        <w:br/>
      </w:r>
      <w:r w:rsidR="00A53168">
        <w:t>o 0,7%. Dle tabulky lze konstatovat, že ekonomická míra aktivních obyvatel se v roce 2015</w:t>
      </w:r>
      <w:r w:rsidR="004D4F3B">
        <w:t xml:space="preserve"> snížila o 0,68%. V roce 2016 došlo k největšímu snížení míry ekonomicky aktivního obyvatelstva v Olomouckém kraji, kdy se míra ek</w:t>
      </w:r>
      <w:r w:rsidR="00DD2179">
        <w:t xml:space="preserve">onomicky aktivního obyvatelstva snížila </w:t>
      </w:r>
      <w:r w:rsidR="00DD2179">
        <w:br/>
        <w:t>o 0,72%. V roce 2017 byla zaznamenána nejnižší obecná míra ekonomicky aktivních obyvatel v Olomouckém kraji za porovnávané období, kdy byla ve výši 64,81%.</w:t>
      </w:r>
      <w:r w:rsidR="00A22FF1">
        <w:t xml:space="preserve"> Míra ekonomicky aktivního obyvatelstva se v Olomouckém kraji snižuje, protože klesá počet evidovaných obyvatel a aktivních obyvatel v </w:t>
      </w:r>
      <w:r w:rsidR="00A22FF1">
        <w:rPr>
          <w:rStyle w:val="st"/>
        </w:rPr>
        <w:t>agendovém systému v Olomouckém kraji.</w:t>
      </w:r>
    </w:p>
    <w:p w14:paraId="18143826" w14:textId="467321B3" w:rsidR="00196938" w:rsidRDefault="009E1130" w:rsidP="009E1130">
      <w:pPr>
        <w:pStyle w:val="Titulek"/>
        <w:spacing w:after="0"/>
        <w:ind w:firstLine="0"/>
        <w:rPr>
          <w:color w:val="000000" w:themeColor="text1"/>
          <w:sz w:val="20"/>
        </w:rPr>
      </w:pPr>
      <w:bookmarkStart w:id="59" w:name="_Toc15639657"/>
      <w:r w:rsidRPr="009E1130">
        <w:rPr>
          <w:color w:val="000000" w:themeColor="text1"/>
          <w:sz w:val="20"/>
        </w:rPr>
        <w:t xml:space="preserve">Tabulka </w:t>
      </w:r>
      <w:r w:rsidRPr="009E1130">
        <w:rPr>
          <w:color w:val="000000" w:themeColor="text1"/>
          <w:sz w:val="20"/>
        </w:rPr>
        <w:fldChar w:fldCharType="begin"/>
      </w:r>
      <w:r w:rsidRPr="009E1130">
        <w:rPr>
          <w:color w:val="000000" w:themeColor="text1"/>
          <w:sz w:val="20"/>
        </w:rPr>
        <w:instrText xml:space="preserve"> SEQ Tabulka \* ARABIC </w:instrText>
      </w:r>
      <w:r w:rsidRPr="009E1130">
        <w:rPr>
          <w:color w:val="000000" w:themeColor="text1"/>
          <w:sz w:val="20"/>
        </w:rPr>
        <w:fldChar w:fldCharType="separate"/>
      </w:r>
      <w:r w:rsidR="00343D89">
        <w:rPr>
          <w:noProof/>
          <w:color w:val="000000" w:themeColor="text1"/>
          <w:sz w:val="20"/>
        </w:rPr>
        <w:t>12</w:t>
      </w:r>
      <w:r w:rsidRPr="009E1130">
        <w:rPr>
          <w:color w:val="000000" w:themeColor="text1"/>
          <w:sz w:val="20"/>
        </w:rPr>
        <w:fldChar w:fldCharType="end"/>
      </w:r>
      <w:r w:rsidRPr="009E1130">
        <w:rPr>
          <w:color w:val="000000" w:themeColor="text1"/>
          <w:sz w:val="20"/>
        </w:rPr>
        <w:t xml:space="preserve"> Míra ekonomicky aktivních obyvatel v Olomouckém kraji</w:t>
      </w:r>
      <w:bookmarkEnd w:id="59"/>
    </w:p>
    <w:tbl>
      <w:tblPr>
        <w:tblpPr w:leftFromText="141" w:rightFromText="141" w:vertAnchor="page" w:horzAnchor="margin" w:tblpY="664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8"/>
        <w:gridCol w:w="855"/>
        <w:gridCol w:w="855"/>
        <w:gridCol w:w="855"/>
        <w:gridCol w:w="855"/>
        <w:gridCol w:w="855"/>
      </w:tblGrid>
      <w:tr w:rsidR="00762963" w:rsidRPr="009E1130" w14:paraId="31DD7F21" w14:textId="77777777" w:rsidTr="00762963">
        <w:trPr>
          <w:trHeight w:val="24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302C3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034" w14:textId="77777777" w:rsidR="00762963" w:rsidRPr="009E1130" w:rsidRDefault="00762963" w:rsidP="0076296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ACD" w14:textId="77777777" w:rsidR="00762963" w:rsidRPr="009E1130" w:rsidRDefault="00762963" w:rsidP="0076296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285B" w14:textId="77777777" w:rsidR="00762963" w:rsidRPr="009E1130" w:rsidRDefault="00762963" w:rsidP="0076296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B89" w14:textId="77777777" w:rsidR="00762963" w:rsidRPr="009E1130" w:rsidRDefault="00762963" w:rsidP="0076296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6D64" w14:textId="77777777" w:rsidR="00762963" w:rsidRPr="009E1130" w:rsidRDefault="00762963" w:rsidP="0076296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762963" w:rsidRPr="009E1130" w14:paraId="52303F94" w14:textId="77777777" w:rsidTr="00762963">
        <w:trPr>
          <w:trHeight w:val="2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DAC0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>Celkový p. obyvatel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AF5A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636 356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AA1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635 711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F66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634 718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A63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633 925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F09A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633 178</w:t>
            </w:r>
          </w:p>
        </w:tc>
      </w:tr>
      <w:tr w:rsidR="00762963" w:rsidRPr="009E1130" w14:paraId="43314A37" w14:textId="77777777" w:rsidTr="00762963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DF5E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>Aktivní obyvatelé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161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429 863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3F9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424 947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A37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420 019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2E5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414 933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C689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410 336</w:t>
            </w:r>
          </w:p>
        </w:tc>
      </w:tr>
      <w:tr w:rsidR="00762963" w:rsidRPr="009E1130" w14:paraId="422436BD" w14:textId="77777777" w:rsidTr="00762963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EA7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E1130">
              <w:rPr>
                <w:b/>
                <w:bCs/>
                <w:color w:val="000000"/>
                <w:sz w:val="22"/>
                <w:szCs w:val="22"/>
              </w:rPr>
              <w:t>Míra ekonomicky aktivních obyvatel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723A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1B0D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7E7D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72A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8835C" w14:textId="77777777" w:rsidR="00762963" w:rsidRPr="009E1130" w:rsidRDefault="00762963" w:rsidP="0076296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E1130">
              <w:rPr>
                <w:color w:val="000000"/>
                <w:sz w:val="22"/>
                <w:szCs w:val="22"/>
              </w:rPr>
              <w:t>64,81</w:t>
            </w:r>
          </w:p>
        </w:tc>
      </w:tr>
    </w:tbl>
    <w:p w14:paraId="4006E7AC" w14:textId="77777777" w:rsidR="00B516E6" w:rsidRDefault="00B516E6" w:rsidP="009E1130">
      <w:pPr>
        <w:ind w:firstLine="0"/>
        <w:rPr>
          <w:i/>
          <w:sz w:val="20"/>
        </w:rPr>
      </w:pPr>
    </w:p>
    <w:p w14:paraId="63F29450" w14:textId="77777777" w:rsidR="00B516E6" w:rsidRDefault="00B516E6" w:rsidP="009E1130">
      <w:pPr>
        <w:ind w:firstLine="0"/>
        <w:rPr>
          <w:i/>
          <w:sz w:val="20"/>
        </w:rPr>
      </w:pPr>
    </w:p>
    <w:p w14:paraId="2DBE9561" w14:textId="77777777" w:rsidR="00DD2179" w:rsidRDefault="00DD2179" w:rsidP="009E1130">
      <w:pPr>
        <w:ind w:firstLine="0"/>
        <w:rPr>
          <w:i/>
          <w:sz w:val="20"/>
        </w:rPr>
      </w:pPr>
    </w:p>
    <w:p w14:paraId="08E4ECCB" w14:textId="77777777" w:rsidR="00762963" w:rsidRDefault="00762963" w:rsidP="00762963">
      <w:pPr>
        <w:spacing w:line="240" w:lineRule="auto"/>
        <w:ind w:firstLine="0"/>
        <w:rPr>
          <w:i/>
          <w:sz w:val="20"/>
        </w:rPr>
      </w:pPr>
    </w:p>
    <w:p w14:paraId="6CF9A39E" w14:textId="0BF164A2" w:rsidR="00B516E6" w:rsidRPr="00B516E6" w:rsidRDefault="009E1130" w:rsidP="00762963">
      <w:pPr>
        <w:spacing w:after="240" w:line="240" w:lineRule="auto"/>
        <w:ind w:firstLine="0"/>
        <w:rPr>
          <w:i/>
          <w:sz w:val="20"/>
        </w:rPr>
      </w:pPr>
      <w:r w:rsidRPr="009E1130">
        <w:rPr>
          <w:i/>
          <w:sz w:val="20"/>
        </w:rPr>
        <w:t>Zdroj: V</w:t>
      </w:r>
      <w:r>
        <w:rPr>
          <w:i/>
          <w:sz w:val="20"/>
        </w:rPr>
        <w:t>lastní zpracování, dle ČSÚ,</w:t>
      </w:r>
    </w:p>
    <w:p w14:paraId="31FBD0BD" w14:textId="08811A0B" w:rsidR="00196938" w:rsidRDefault="00540C28" w:rsidP="00DC2557">
      <w:pPr>
        <w:pStyle w:val="Nadpis2"/>
      </w:pPr>
      <w:bookmarkStart w:id="60" w:name="_Toc15889407"/>
      <w:r>
        <w:t>Míra ekonomicky aktivních obyvatel ve Středočeském kraji</w:t>
      </w:r>
      <w:bookmarkEnd w:id="60"/>
    </w:p>
    <w:p w14:paraId="02FEDD53" w14:textId="42834746" w:rsidR="009E1130" w:rsidRDefault="00B516E6" w:rsidP="00762963">
      <w:pPr>
        <w:pStyle w:val="Titulek"/>
        <w:spacing w:after="0"/>
        <w:ind w:firstLine="0"/>
        <w:rPr>
          <w:color w:val="000000" w:themeColor="text1"/>
          <w:sz w:val="20"/>
        </w:rPr>
      </w:pPr>
      <w:bookmarkStart w:id="61" w:name="_Toc15639658"/>
      <w:r w:rsidRPr="00B516E6">
        <w:rPr>
          <w:color w:val="000000" w:themeColor="text1"/>
          <w:sz w:val="20"/>
        </w:rPr>
        <w:t xml:space="preserve">Tabulka </w:t>
      </w:r>
      <w:r w:rsidRPr="00B516E6">
        <w:rPr>
          <w:color w:val="000000" w:themeColor="text1"/>
          <w:sz w:val="20"/>
        </w:rPr>
        <w:fldChar w:fldCharType="begin"/>
      </w:r>
      <w:r w:rsidRPr="00B516E6">
        <w:rPr>
          <w:color w:val="000000" w:themeColor="text1"/>
          <w:sz w:val="20"/>
        </w:rPr>
        <w:instrText xml:space="preserve"> SEQ Tabulka \* ARABIC </w:instrText>
      </w:r>
      <w:r w:rsidRPr="00B516E6">
        <w:rPr>
          <w:color w:val="000000" w:themeColor="text1"/>
          <w:sz w:val="20"/>
        </w:rPr>
        <w:fldChar w:fldCharType="separate"/>
      </w:r>
      <w:r w:rsidR="00343D89">
        <w:rPr>
          <w:noProof/>
          <w:color w:val="000000" w:themeColor="text1"/>
          <w:sz w:val="20"/>
        </w:rPr>
        <w:t>13</w:t>
      </w:r>
      <w:r w:rsidRPr="00B516E6">
        <w:rPr>
          <w:color w:val="000000" w:themeColor="text1"/>
          <w:sz w:val="20"/>
        </w:rPr>
        <w:fldChar w:fldCharType="end"/>
      </w:r>
      <w:r w:rsidRPr="00B516E6">
        <w:rPr>
          <w:color w:val="000000" w:themeColor="text1"/>
          <w:sz w:val="20"/>
        </w:rPr>
        <w:t xml:space="preserve"> Míra ekonomicky aktivních obyvatel ve Středočeském kraji</w:t>
      </w:r>
      <w:bookmarkEnd w:id="61"/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8"/>
        <w:gridCol w:w="1020"/>
        <w:gridCol w:w="1020"/>
        <w:gridCol w:w="1020"/>
        <w:gridCol w:w="1020"/>
        <w:gridCol w:w="1020"/>
      </w:tblGrid>
      <w:tr w:rsidR="00540C28" w:rsidRPr="00540C28" w14:paraId="06AD0775" w14:textId="77777777" w:rsidTr="00540C28">
        <w:trPr>
          <w:trHeight w:val="2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F38A1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031" w14:textId="77777777" w:rsidR="00540C28" w:rsidRPr="00540C28" w:rsidRDefault="00540C28" w:rsidP="00540C28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917B" w14:textId="77777777" w:rsidR="00540C28" w:rsidRPr="00540C28" w:rsidRDefault="00540C28" w:rsidP="00540C28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B4A" w14:textId="77777777" w:rsidR="00540C28" w:rsidRPr="00540C28" w:rsidRDefault="00540C28" w:rsidP="00540C28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63E" w14:textId="77777777" w:rsidR="00540C28" w:rsidRPr="00540C28" w:rsidRDefault="00540C28" w:rsidP="00540C28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99D9" w14:textId="77777777" w:rsidR="00540C28" w:rsidRPr="00540C28" w:rsidRDefault="00540C28" w:rsidP="00540C28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>2017</w:t>
            </w:r>
          </w:p>
        </w:tc>
      </w:tr>
      <w:tr w:rsidR="00540C28" w:rsidRPr="00540C28" w14:paraId="0A94323E" w14:textId="77777777" w:rsidTr="00540C28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BD17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>Aktivní obyvatelé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DEE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875 654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D61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874 701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BBC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873 382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1E9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872 510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FFCD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873 540</w:t>
            </w:r>
          </w:p>
        </w:tc>
      </w:tr>
      <w:tr w:rsidR="00540C28" w:rsidRPr="00540C28" w14:paraId="43965F0D" w14:textId="77777777" w:rsidTr="00540C28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3509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>Celkový p. obyvatel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832B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1 302 336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DD9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1 315 299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6E2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1 326 876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90D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1 338 982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03677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1 352 795</w:t>
            </w:r>
          </w:p>
        </w:tc>
      </w:tr>
      <w:tr w:rsidR="00540C28" w:rsidRPr="00540C28" w14:paraId="24AF18B8" w14:textId="77777777" w:rsidTr="00540C28">
        <w:trPr>
          <w:trHeight w:val="2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FDB2" w14:textId="23D762B4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540C28">
              <w:rPr>
                <w:b/>
                <w:color w:val="000000"/>
                <w:sz w:val="22"/>
                <w:szCs w:val="22"/>
              </w:rPr>
              <w:t>Míra ekonomicky aktivních obyvatel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0D2" w14:textId="049A0665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A1C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447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65,82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2CD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1F21" w14:textId="77777777" w:rsidR="00540C28" w:rsidRPr="00540C28" w:rsidRDefault="00540C28" w:rsidP="00540C28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40C28">
              <w:rPr>
                <w:color w:val="000000"/>
                <w:sz w:val="22"/>
                <w:szCs w:val="22"/>
              </w:rPr>
              <w:t>64,57</w:t>
            </w:r>
          </w:p>
        </w:tc>
      </w:tr>
    </w:tbl>
    <w:p w14:paraId="67499BD3" w14:textId="78A5D530" w:rsidR="00DD2179" w:rsidRDefault="00540C28" w:rsidP="00DD2179">
      <w:pPr>
        <w:spacing w:after="240"/>
        <w:ind w:firstLine="0"/>
        <w:rPr>
          <w:i/>
          <w:sz w:val="20"/>
        </w:rPr>
      </w:pPr>
      <w:r w:rsidRPr="00540C28">
        <w:rPr>
          <w:i/>
          <w:sz w:val="20"/>
        </w:rPr>
        <w:t>Zdroj: Vlastní zpracování, dle ČSÚ,</w:t>
      </w:r>
    </w:p>
    <w:p w14:paraId="0DEBE0AC" w14:textId="6CB73160" w:rsidR="00DD2179" w:rsidRPr="00DD2179" w:rsidRDefault="004836DB" w:rsidP="00DD2179">
      <w:r>
        <w:t xml:space="preserve">V tabulce č. 13 je zachycen vývoj míry ekonomicky aktivního obyvatelstva ve Středočeském kraji za období 2013 – 2017. Největší míra ekonomicky aktivního obyvatelstva za porovnávané období byla v roce 2013 ve výši 67%. V roce 2014 se míra ekonomicky aktivního obyvatelstva ve Středočeském kraji snížila o 0,5%, kdy byla ve výši 66,5%. V roce 2015 se ekonomická míra </w:t>
      </w:r>
      <w:r w:rsidR="00762963">
        <w:t>aktivního obyvatelstva snížila o 0,68%, kdy byla ve výši 65,82%. Dle tabulky lze konstatovat, že v roce 2016 byla míra ekonomicky aktivních obyvatel ve výši 65,16%, kdy došlo ke sníže</w:t>
      </w:r>
      <w:r w:rsidR="00343D89">
        <w:t>ní o 0,66%. Ve statistice byla v roce 2017 evidovaná nejnižší míra ekonomicky aktivního obyvatelstva ve Středočeském kraji. Míra ekonomicky aktivních obyvatel klesá ve Středočeském kraji, protože klesá počet aktivních obyvatel ve Středočeském kraji.</w:t>
      </w:r>
    </w:p>
    <w:p w14:paraId="380A7A64" w14:textId="3C66A921" w:rsidR="00271AAF" w:rsidRPr="00271AAF" w:rsidRDefault="00271AAF" w:rsidP="00DC2557">
      <w:pPr>
        <w:pStyle w:val="Nadpis2"/>
      </w:pPr>
      <w:bookmarkStart w:id="62" w:name="_Toc15889408"/>
      <w:r>
        <w:lastRenderedPageBreak/>
        <w:t>Komparace obecné míry nezaměstnanosti v Olomouckém a Středočeském kraji</w:t>
      </w:r>
      <w:bookmarkEnd w:id="62"/>
    </w:p>
    <w:p w14:paraId="3119B6A6" w14:textId="6E9709D9" w:rsidR="00523479" w:rsidRPr="00B06CB9" w:rsidRDefault="00436957" w:rsidP="004E0D48">
      <w:pPr>
        <w:spacing w:after="480"/>
      </w:pPr>
      <w:r>
        <w:t xml:space="preserve">Při srovnání obecné míry nezaměstnanosti v obou porovnávaných krajích, lze zjistit, že obecná míra nezaměstnanosti je ve Středočeském kraji v jednotlivých obdobích vždy nižší. V tabulce č. </w:t>
      </w:r>
      <w:r w:rsidR="00FB2EF2">
        <w:t>14</w:t>
      </w:r>
      <w:r w:rsidR="00523479">
        <w:t xml:space="preserve"> lze vidět rozdíl, </w:t>
      </w:r>
      <w:r>
        <w:t>o kolik byla obecná míra nezaměstnanosti vyšší ve S</w:t>
      </w:r>
      <w:r w:rsidR="00523479">
        <w:t>tředočeském kraji než v Olomouckém kraji. V roce 2016 byl rozdíl obecné míry nezaměstnanosti nejmenší, kdy byl 0,6%. Za srovnávané období</w:t>
      </w:r>
      <w:r w:rsidR="004E7583">
        <w:t xml:space="preserve"> byl největší rozdíl v roce 2013, kdy obecná míra n</w:t>
      </w:r>
      <w:r w:rsidR="00206591">
        <w:t>ezaměstnanosti byla ve výši 4%.</w:t>
      </w:r>
    </w:p>
    <w:p w14:paraId="66C74A3D" w14:textId="24AD6214" w:rsidR="00523479" w:rsidRPr="00B06CB9" w:rsidRDefault="00523479" w:rsidP="00523479">
      <w:pPr>
        <w:pStyle w:val="Titulek"/>
        <w:ind w:firstLine="0"/>
        <w:rPr>
          <w:color w:val="auto"/>
          <w:sz w:val="20"/>
        </w:rPr>
      </w:pPr>
      <w:bookmarkStart w:id="63" w:name="_Toc15639659"/>
      <w:r w:rsidRPr="00B06CB9">
        <w:rPr>
          <w:color w:val="auto"/>
          <w:sz w:val="20"/>
        </w:rPr>
        <w:t xml:space="preserve">Tabulka </w:t>
      </w:r>
      <w:r w:rsidRPr="00B06CB9">
        <w:rPr>
          <w:color w:val="auto"/>
          <w:sz w:val="20"/>
        </w:rPr>
        <w:fldChar w:fldCharType="begin"/>
      </w:r>
      <w:r w:rsidRPr="00B06CB9">
        <w:rPr>
          <w:color w:val="auto"/>
          <w:sz w:val="20"/>
        </w:rPr>
        <w:instrText xml:space="preserve"> SEQ Tabulka \* ARABIC </w:instrText>
      </w:r>
      <w:r w:rsidRPr="00B06CB9">
        <w:rPr>
          <w:color w:val="auto"/>
          <w:sz w:val="20"/>
        </w:rPr>
        <w:fldChar w:fldCharType="separate"/>
      </w:r>
      <w:r w:rsidR="00343D89">
        <w:rPr>
          <w:noProof/>
          <w:color w:val="auto"/>
          <w:sz w:val="20"/>
        </w:rPr>
        <w:t>14</w:t>
      </w:r>
      <w:r w:rsidRPr="00B06CB9">
        <w:rPr>
          <w:color w:val="auto"/>
          <w:sz w:val="20"/>
        </w:rPr>
        <w:fldChar w:fldCharType="end"/>
      </w:r>
      <w:r w:rsidR="00B06CB9" w:rsidRPr="00B06CB9">
        <w:rPr>
          <w:color w:val="auto"/>
          <w:sz w:val="20"/>
        </w:rPr>
        <w:t xml:space="preserve">Rozdíl </w:t>
      </w:r>
      <w:r w:rsidRPr="00B06CB9">
        <w:rPr>
          <w:color w:val="auto"/>
          <w:sz w:val="20"/>
        </w:rPr>
        <w:t>obecné míry nezaměstnanosti</w:t>
      </w:r>
      <w:r w:rsidR="00B06CB9" w:rsidRPr="00B06CB9">
        <w:rPr>
          <w:color w:val="auto"/>
          <w:sz w:val="20"/>
        </w:rPr>
        <w:t xml:space="preserve"> v porovnávaných krajích</w:t>
      </w:r>
      <w:r w:rsidR="004E7583" w:rsidRPr="00B06CB9">
        <w:rPr>
          <w:color w:val="auto"/>
          <w:sz w:val="20"/>
        </w:rPr>
        <w:t>.</w:t>
      </w:r>
      <w:bookmarkEnd w:id="63"/>
    </w:p>
    <w:tbl>
      <w:tblPr>
        <w:tblW w:w="4948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365"/>
        <w:gridCol w:w="365"/>
        <w:gridCol w:w="365"/>
        <w:gridCol w:w="365"/>
        <w:gridCol w:w="365"/>
      </w:tblGrid>
      <w:tr w:rsidR="00523479" w:rsidRPr="00477568" w14:paraId="32518E6D" w14:textId="77777777" w:rsidTr="00EF237F">
        <w:trPr>
          <w:cantSplit/>
          <w:trHeight w:val="438"/>
        </w:trPr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679A" w14:textId="77777777" w:rsidR="00523479" w:rsidRPr="00477568" w:rsidRDefault="00523479" w:rsidP="00EF237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86155" w14:textId="77777777" w:rsidR="00523479" w:rsidRPr="00477568" w:rsidRDefault="00523479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2013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A99F3" w14:textId="77777777" w:rsidR="00523479" w:rsidRPr="00477568" w:rsidRDefault="00523479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2014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0CF3A" w14:textId="77777777" w:rsidR="00523479" w:rsidRPr="00477568" w:rsidRDefault="00523479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2015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AB6A5" w14:textId="77777777" w:rsidR="00523479" w:rsidRPr="00477568" w:rsidRDefault="00523479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2016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7D91DC" w14:textId="77777777" w:rsidR="00523479" w:rsidRPr="00477568" w:rsidRDefault="00523479" w:rsidP="00EF237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477568">
              <w:rPr>
                <w:b/>
                <w:bCs/>
                <w:color w:val="000000"/>
                <w:sz w:val="18"/>
                <w:szCs w:val="22"/>
              </w:rPr>
              <w:t>2017</w:t>
            </w:r>
          </w:p>
        </w:tc>
      </w:tr>
      <w:tr w:rsidR="00523479" w:rsidRPr="00477568" w14:paraId="18D585BD" w14:textId="77777777" w:rsidTr="00EF237F">
        <w:trPr>
          <w:trHeight w:val="438"/>
        </w:trPr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AC8F" w14:textId="77777777" w:rsidR="00523479" w:rsidRPr="00477568" w:rsidRDefault="00523479" w:rsidP="00EF237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77568">
              <w:rPr>
                <w:b/>
                <w:bCs/>
                <w:color w:val="000000"/>
                <w:sz w:val="22"/>
              </w:rPr>
              <w:t>Míra nezaměstnanosti</w:t>
            </w:r>
            <w:r>
              <w:rPr>
                <w:b/>
                <w:bCs/>
                <w:color w:val="000000"/>
                <w:sz w:val="22"/>
              </w:rPr>
              <w:t xml:space="preserve"> vyjádřena v %</w:t>
            </w:r>
            <w:r w:rsidRPr="00477568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D64B" w14:textId="6E350591" w:rsidR="00523479" w:rsidRPr="00477568" w:rsidRDefault="00523479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EE42" w14:textId="47CE229F" w:rsidR="00523479" w:rsidRPr="00477568" w:rsidRDefault="00523479" w:rsidP="00523479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5349" w14:textId="563FA0D8" w:rsidR="00523479" w:rsidRPr="00477568" w:rsidRDefault="00523479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2,4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F45A" w14:textId="4617F043" w:rsidR="00523479" w:rsidRPr="00477568" w:rsidRDefault="00523479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0,6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22EC" w14:textId="1F69153B" w:rsidR="00523479" w:rsidRPr="00477568" w:rsidRDefault="00523479" w:rsidP="00EF23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22"/>
              </w:rPr>
            </w:pPr>
            <w:r w:rsidRPr="00477568">
              <w:rPr>
                <w:color w:val="000000"/>
                <w:sz w:val="18"/>
                <w:szCs w:val="22"/>
              </w:rPr>
              <w:t>1</w:t>
            </w:r>
          </w:p>
        </w:tc>
      </w:tr>
    </w:tbl>
    <w:p w14:paraId="3CF25EA9" w14:textId="77777777" w:rsidR="00271AAF" w:rsidRDefault="00523479" w:rsidP="002A58BA">
      <w:pPr>
        <w:spacing w:after="480" w:line="240" w:lineRule="auto"/>
        <w:ind w:firstLine="0"/>
        <w:rPr>
          <w:i/>
          <w:sz w:val="20"/>
        </w:rPr>
      </w:pPr>
      <w:r w:rsidRPr="00523479">
        <w:rPr>
          <w:i/>
          <w:sz w:val="20"/>
        </w:rPr>
        <w:t>Zdroj: V</w:t>
      </w:r>
      <w:r w:rsidR="002A58BA">
        <w:rPr>
          <w:i/>
          <w:sz w:val="20"/>
        </w:rPr>
        <w:t>lastní zpracování,</w:t>
      </w:r>
    </w:p>
    <w:p w14:paraId="6C2EA7BB" w14:textId="0DD22D01" w:rsidR="00C77987" w:rsidRPr="00C77987" w:rsidRDefault="00271AAF" w:rsidP="00C77987">
      <w:pPr>
        <w:spacing w:after="360"/>
      </w:pPr>
      <w:r>
        <w:t>V grafu č. 1 je znázorněno porovnávání obou krajů p</w:t>
      </w:r>
      <w:r w:rsidR="00374815">
        <w:t>ři obecné míře nezaměstnanosti. Křivka</w:t>
      </w:r>
      <w:r>
        <w:t>, která je červenou barvou</w:t>
      </w:r>
      <w:r w:rsidR="00ED3C3D">
        <w:t>,</w:t>
      </w:r>
      <w:r>
        <w:t xml:space="preserve"> označuje v</w:t>
      </w:r>
      <w:r w:rsidR="00C77987">
        <w:t> </w:t>
      </w:r>
      <w:r>
        <w:t>grafu</w:t>
      </w:r>
      <w:r w:rsidR="00C77987">
        <w:t xml:space="preserve"> č.</w:t>
      </w:r>
      <w:r w:rsidR="00ED3C3D">
        <w:t xml:space="preserve"> </w:t>
      </w:r>
      <w:r w:rsidR="00C77987">
        <w:t>1</w:t>
      </w:r>
      <w:r>
        <w:t xml:space="preserve"> obecnou míru nezaměstnanosti ve Středočeském kraji. </w:t>
      </w:r>
      <w:r w:rsidR="00374815">
        <w:t>Křivka</w:t>
      </w:r>
      <w:r w:rsidR="00C77987">
        <w:t xml:space="preserve">, která </w:t>
      </w:r>
      <w:proofErr w:type="gramStart"/>
      <w:r w:rsidR="00C77987">
        <w:t>je</w:t>
      </w:r>
      <w:proofErr w:type="gramEnd"/>
      <w:r w:rsidR="00C77987">
        <w:t xml:space="preserve"> modrou barvou v grafu č.1 označuje obecnou míru nezaměstnanosti v Olomouckém kraji. </w:t>
      </w:r>
      <w:r w:rsidR="00374815">
        <w:t>Dle grafu č. 1 lze konstatovat, že obecná míra v nezaměstnanosti každý rok klesá. V Olomouckém kraji klesá obecná míra nezaměstnanosti pomaleji než ve Středočeském.</w:t>
      </w:r>
    </w:p>
    <w:p w14:paraId="7B1A603F" w14:textId="74D8A227" w:rsidR="003D174E" w:rsidRDefault="00271AAF" w:rsidP="00897F4D">
      <w:pPr>
        <w:spacing w:line="240" w:lineRule="auto"/>
        <w:ind w:firstLine="0"/>
        <w:rPr>
          <w:i/>
          <w:sz w:val="20"/>
        </w:rPr>
      </w:pPr>
      <w:bookmarkStart w:id="64" w:name="_Toc15639708"/>
      <w:r>
        <w:rPr>
          <w:i/>
          <w:sz w:val="20"/>
        </w:rPr>
        <w:t>Graf</w:t>
      </w:r>
      <w:r w:rsidR="00277992">
        <w:rPr>
          <w:i/>
          <w:sz w:val="20"/>
        </w:rPr>
        <w:t xml:space="preserve"> </w:t>
      </w:r>
      <w:r w:rsidR="004E7583" w:rsidRPr="002A58BA">
        <w:rPr>
          <w:i/>
          <w:sz w:val="20"/>
        </w:rPr>
        <w:fldChar w:fldCharType="begin"/>
      </w:r>
      <w:r w:rsidR="004E7583" w:rsidRPr="002A58BA">
        <w:rPr>
          <w:i/>
          <w:sz w:val="20"/>
        </w:rPr>
        <w:instrText xml:space="preserve"> SEQ Graf \* ARABIC </w:instrText>
      </w:r>
      <w:r w:rsidR="004E7583" w:rsidRPr="002A58BA">
        <w:rPr>
          <w:i/>
          <w:sz w:val="20"/>
        </w:rPr>
        <w:fldChar w:fldCharType="separate"/>
      </w:r>
      <w:r w:rsidR="00D34F45">
        <w:rPr>
          <w:i/>
          <w:noProof/>
          <w:sz w:val="20"/>
        </w:rPr>
        <w:t>1</w:t>
      </w:r>
      <w:r w:rsidR="004E7583" w:rsidRPr="002A58BA">
        <w:rPr>
          <w:i/>
          <w:sz w:val="20"/>
        </w:rPr>
        <w:fldChar w:fldCharType="end"/>
      </w:r>
      <w:r w:rsidR="00277992">
        <w:rPr>
          <w:i/>
          <w:sz w:val="20"/>
        </w:rPr>
        <w:t xml:space="preserve"> </w:t>
      </w:r>
      <w:r w:rsidR="004E7583" w:rsidRPr="002A58BA">
        <w:rPr>
          <w:i/>
          <w:sz w:val="20"/>
        </w:rPr>
        <w:t>Komparace</w:t>
      </w:r>
      <w:r>
        <w:rPr>
          <w:i/>
          <w:sz w:val="20"/>
        </w:rPr>
        <w:t xml:space="preserve"> obecné míry</w:t>
      </w:r>
      <w:r w:rsidR="00277992">
        <w:rPr>
          <w:i/>
          <w:sz w:val="20"/>
        </w:rPr>
        <w:t xml:space="preserve"> nezaměstnanosti v obou krajích</w:t>
      </w:r>
      <w:bookmarkEnd w:id="64"/>
    </w:p>
    <w:p w14:paraId="6D5B3820" w14:textId="52D79A83" w:rsidR="00271AAF" w:rsidRDefault="00DC2140" w:rsidP="00897F4D">
      <w:pPr>
        <w:spacing w:line="240" w:lineRule="auto"/>
        <w:ind w:firstLine="0"/>
        <w:rPr>
          <w:i/>
          <w:sz w:val="20"/>
        </w:rPr>
      </w:pPr>
      <w:r>
        <w:rPr>
          <w:noProof/>
        </w:rPr>
        <w:drawing>
          <wp:inline distT="0" distB="0" distL="0" distR="0" wp14:anchorId="344F6F01" wp14:editId="155094A4">
            <wp:extent cx="4775982" cy="2124222"/>
            <wp:effectExtent l="0" t="0" r="24765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71AAF">
        <w:rPr>
          <w:i/>
          <w:sz w:val="20"/>
        </w:rPr>
        <w:t xml:space="preserve"> </w:t>
      </w:r>
    </w:p>
    <w:p w14:paraId="1CB88FAE" w14:textId="2EED58ED" w:rsidR="003F2616" w:rsidRDefault="00277992" w:rsidP="00271AAF">
      <w:pPr>
        <w:spacing w:after="360" w:line="240" w:lineRule="auto"/>
        <w:ind w:firstLine="0"/>
        <w:rPr>
          <w:i/>
          <w:sz w:val="20"/>
        </w:rPr>
      </w:pPr>
      <w:r>
        <w:rPr>
          <w:i/>
          <w:sz w:val="20"/>
        </w:rPr>
        <w:t>Zdroj: Vlastní zpracování</w:t>
      </w:r>
      <w:r w:rsidR="008E02E6">
        <w:rPr>
          <w:i/>
          <w:sz w:val="20"/>
        </w:rPr>
        <w:t>,</w:t>
      </w:r>
    </w:p>
    <w:p w14:paraId="27B6E7F5" w14:textId="64B4806B" w:rsidR="004E7583" w:rsidRPr="004E7583" w:rsidRDefault="003F2616" w:rsidP="003F2616">
      <w:pPr>
        <w:spacing w:after="200" w:line="276" w:lineRule="auto"/>
        <w:ind w:firstLine="0"/>
        <w:jc w:val="left"/>
        <w:rPr>
          <w:i/>
          <w:sz w:val="20"/>
        </w:rPr>
      </w:pPr>
      <w:r>
        <w:rPr>
          <w:i/>
          <w:sz w:val="20"/>
        </w:rPr>
        <w:br w:type="page"/>
      </w:r>
    </w:p>
    <w:p w14:paraId="2CD91460" w14:textId="58882D7A" w:rsidR="00C77987" w:rsidRPr="00C77987" w:rsidRDefault="00C77987" w:rsidP="00DC2557">
      <w:pPr>
        <w:pStyle w:val="Nadpis2"/>
      </w:pPr>
      <w:bookmarkStart w:id="65" w:name="_Toc15889409"/>
      <w:r>
        <w:lastRenderedPageBreak/>
        <w:t>Komparace obou krajů při průměrných mzdách</w:t>
      </w:r>
      <w:bookmarkEnd w:id="65"/>
    </w:p>
    <w:p w14:paraId="6BFE0A8C" w14:textId="48160647" w:rsidR="00AD5F47" w:rsidRDefault="004E7583" w:rsidP="00AD5F47">
      <w:pPr>
        <w:spacing w:after="240"/>
      </w:pPr>
      <w:r>
        <w:t>Průměrná mzda se v obou krajích zvyšuje, protože v obou krajích roste inflace. Ve Středočeském kraji</w:t>
      </w:r>
      <w:r w:rsidR="00271AAF">
        <w:t xml:space="preserve"> jsou vždy vyšší průměrné mzdy</w:t>
      </w:r>
      <w:r w:rsidR="00C77987">
        <w:t xml:space="preserve"> než v Olomouckém kraji</w:t>
      </w:r>
      <w:r w:rsidR="00374815" w:rsidRPr="00374815">
        <w:t>. Dle grafu č. 2 lze konstatovat</w:t>
      </w:r>
      <w:r w:rsidR="00C77987">
        <w:t xml:space="preserve"> vývoj a rozdíl v</w:t>
      </w:r>
      <w:r w:rsidR="004A7316">
        <w:t>e srovnávaných krajích, modrou barvou je znázorněná průměrná měsíční mzda za zaměstnance v Olomouckém kraji. Červenou barvou</w:t>
      </w:r>
      <w:r w:rsidR="00AD5F47">
        <w:t xml:space="preserve"> je označená </w:t>
      </w:r>
      <w:r w:rsidR="00374815">
        <w:t>křivka</w:t>
      </w:r>
      <w:r w:rsidR="00AD5F47">
        <w:t>, která zobrazuje průměrnou měsíční mzdu</w:t>
      </w:r>
      <w:r w:rsidR="004A7316">
        <w:t xml:space="preserve"> za fyzické osoby v Olomouckém kraji</w:t>
      </w:r>
      <w:r w:rsidR="004A7316" w:rsidRPr="007032AA">
        <w:t xml:space="preserve">. </w:t>
      </w:r>
      <w:r w:rsidR="00374815" w:rsidRPr="007032AA">
        <w:t xml:space="preserve">Lze konstatovat, </w:t>
      </w:r>
      <w:r w:rsidR="007032AA" w:rsidRPr="007032AA">
        <w:t>že ve spojnicovém grafu je zelená, fialová, modrá a červená křivka</w:t>
      </w:r>
      <w:r w:rsidR="007032AA">
        <w:t xml:space="preserve">. Zelená </w:t>
      </w:r>
      <w:r w:rsidR="004A7316">
        <w:t xml:space="preserve">přímka znázorňuje průměrné měsíční mzdy za zaměstnance ve Středočeském kraji. </w:t>
      </w:r>
      <w:r w:rsidR="007032AA">
        <w:t>Křivka</w:t>
      </w:r>
      <w:r w:rsidR="004A7316">
        <w:t>, která je vyznačená v grafu fialovou barvou</w:t>
      </w:r>
      <w:r w:rsidR="00AD5F47">
        <w:t>,</w:t>
      </w:r>
      <w:r w:rsidR="004A7316">
        <w:t xml:space="preserve"> znázorňuje průměrnou měsíční mzdu za fyzické osoby ve Středočeském kraji.</w:t>
      </w:r>
      <w:r w:rsidR="007032AA">
        <w:t xml:space="preserve"> Modrou barvou je označen vývoj průměrné mzdy za zaměstnance v Olomouckém kraji. Červená křivka znázorňuje vývoj průměrných mezd za fyzické osoby v Olomouckém kraji. Z grafu je patrné, že průměrné mzdy za zaměstnance a za fyzické osoby rostou, což je dáno rostoucí inflací </w:t>
      </w:r>
      <w:r w:rsidR="00A614E8">
        <w:t xml:space="preserve">a zakládáním nových podniků. </w:t>
      </w:r>
      <w:r w:rsidR="007032AA">
        <w:t xml:space="preserve">v obou </w:t>
      </w:r>
      <w:r w:rsidR="00EA33DC">
        <w:t>krajích.</w:t>
      </w:r>
    </w:p>
    <w:p w14:paraId="3301B8D9" w14:textId="1AEEF14A" w:rsidR="00144D60" w:rsidRDefault="00AD5F47" w:rsidP="00144D60">
      <w:pPr>
        <w:pStyle w:val="Titulek"/>
        <w:ind w:firstLine="0"/>
        <w:rPr>
          <w:noProof/>
        </w:rPr>
      </w:pPr>
      <w:bookmarkStart w:id="66" w:name="_Toc15639709"/>
      <w:r w:rsidRPr="00AD5F47">
        <w:rPr>
          <w:color w:val="auto"/>
          <w:sz w:val="20"/>
        </w:rPr>
        <w:t xml:space="preserve">Graf </w:t>
      </w:r>
      <w:r w:rsidRPr="00AD5F47">
        <w:rPr>
          <w:color w:val="auto"/>
          <w:sz w:val="20"/>
        </w:rPr>
        <w:fldChar w:fldCharType="begin"/>
      </w:r>
      <w:r w:rsidRPr="00AD5F47">
        <w:rPr>
          <w:color w:val="auto"/>
          <w:sz w:val="20"/>
        </w:rPr>
        <w:instrText xml:space="preserve"> SEQ Graf \* ARABIC </w:instrText>
      </w:r>
      <w:r w:rsidRPr="00AD5F47">
        <w:rPr>
          <w:color w:val="auto"/>
          <w:sz w:val="20"/>
        </w:rPr>
        <w:fldChar w:fldCharType="separate"/>
      </w:r>
      <w:r w:rsidR="00D34F45">
        <w:rPr>
          <w:noProof/>
          <w:color w:val="auto"/>
          <w:sz w:val="20"/>
        </w:rPr>
        <w:t>2</w:t>
      </w:r>
      <w:r w:rsidRPr="00AD5F47">
        <w:rPr>
          <w:color w:val="auto"/>
          <w:sz w:val="20"/>
        </w:rPr>
        <w:fldChar w:fldCharType="end"/>
      </w:r>
      <w:r w:rsidR="00277992">
        <w:rPr>
          <w:color w:val="auto"/>
          <w:sz w:val="20"/>
        </w:rPr>
        <w:t xml:space="preserve"> </w:t>
      </w:r>
      <w:r w:rsidRPr="00AD5F47">
        <w:rPr>
          <w:color w:val="auto"/>
          <w:sz w:val="20"/>
        </w:rPr>
        <w:t>Kompa</w:t>
      </w:r>
      <w:r w:rsidR="007D1607">
        <w:rPr>
          <w:color w:val="auto"/>
          <w:sz w:val="20"/>
        </w:rPr>
        <w:t>race průměrných mezd obou krajů</w:t>
      </w:r>
      <w:bookmarkEnd w:id="66"/>
    </w:p>
    <w:p w14:paraId="44F1519B" w14:textId="4CA54AD4" w:rsidR="00C77987" w:rsidRPr="00144D60" w:rsidRDefault="00144D60" w:rsidP="00144D60">
      <w:pPr>
        <w:pStyle w:val="Titulek"/>
        <w:ind w:firstLine="0"/>
        <w:rPr>
          <w:color w:val="auto"/>
          <w:sz w:val="20"/>
        </w:rPr>
      </w:pPr>
      <w:r>
        <w:rPr>
          <w:noProof/>
        </w:rPr>
        <w:drawing>
          <wp:inline distT="0" distB="0" distL="0" distR="0" wp14:anchorId="5079B2B1" wp14:editId="1378569A">
            <wp:extent cx="4772025" cy="2914650"/>
            <wp:effectExtent l="0" t="0" r="9525" b="1905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34F2B12" w14:textId="7F37E443" w:rsidR="009E32A8" w:rsidRDefault="00144D60" w:rsidP="007D1607">
      <w:pPr>
        <w:spacing w:after="360"/>
        <w:ind w:firstLine="0"/>
        <w:rPr>
          <w:i/>
          <w:sz w:val="20"/>
        </w:rPr>
      </w:pPr>
      <w:r>
        <w:rPr>
          <w:i/>
          <w:sz w:val="20"/>
        </w:rPr>
        <w:t>Zdroj: Vlastní zpracování</w:t>
      </w:r>
    </w:p>
    <w:p w14:paraId="0F61DF69" w14:textId="4C19EA98" w:rsidR="00F24800" w:rsidRPr="009E32A8" w:rsidRDefault="009E32A8" w:rsidP="009E32A8">
      <w:pPr>
        <w:spacing w:after="360"/>
        <w:rPr>
          <w:i/>
          <w:sz w:val="20"/>
        </w:rPr>
      </w:pPr>
      <w:r>
        <w:rPr>
          <w:i/>
          <w:sz w:val="20"/>
        </w:rPr>
        <w:br w:type="page"/>
      </w:r>
      <w:r w:rsidR="00FB2EF2" w:rsidRPr="00FB2EF2">
        <w:lastRenderedPageBreak/>
        <w:t>V tabulce č. 15</w:t>
      </w:r>
      <w:r w:rsidR="00450456">
        <w:t xml:space="preserve"> je zaznamenán rozdíl v průměrných měsíčních mzdách za zaměstnance </w:t>
      </w:r>
      <w:r w:rsidR="001966E4">
        <w:br/>
      </w:r>
      <w:r w:rsidR="00450456">
        <w:t>a fyzické osoby. Největší rozdíl v průměrných mzdách za zaměstnance v porovnávaných krajích byl v roce 2017, kdy rozdíl byl 3 597 Kč. V roce 2017 byl největší rozdíl v průměrných měsíčních mzdách za fyzické osoby, kdy byl ve výši 3 576 K</w:t>
      </w:r>
      <w:r w:rsidR="00F24800">
        <w:t>č</w:t>
      </w:r>
      <w:r w:rsidR="00A614E8">
        <w:t xml:space="preserve">. Dle tabulky lze konstatovat, </w:t>
      </w:r>
      <w:r w:rsidR="00450456">
        <w:t>že nejmenší rozdíl v průměrných mzdách za zaměstnance</w:t>
      </w:r>
      <w:r w:rsidR="00F24800">
        <w:t xml:space="preserve"> a fyzické osoby</w:t>
      </w:r>
      <w:r w:rsidR="00450456">
        <w:t xml:space="preserve"> byl v roce </w:t>
      </w:r>
      <w:r w:rsidR="00F24800">
        <w:t>2013, kdy za zaměstnance byl ve výši 2 817 Kč a za</w:t>
      </w:r>
      <w:r w:rsidR="00A614E8">
        <w:t xml:space="preserve"> fyzické osoby ve výši 2 777Kč.</w:t>
      </w:r>
    </w:p>
    <w:p w14:paraId="79C799E2" w14:textId="56DF5613" w:rsidR="000A43EC" w:rsidRDefault="00DE5578" w:rsidP="000A43EC">
      <w:pPr>
        <w:pStyle w:val="Titulek"/>
        <w:spacing w:after="0"/>
        <w:ind w:firstLine="0"/>
        <w:rPr>
          <w:color w:val="auto"/>
        </w:rPr>
      </w:pPr>
      <w:bookmarkStart w:id="67" w:name="_Toc15639660"/>
      <w:r w:rsidRPr="00FB2EF2">
        <w:rPr>
          <w:color w:val="auto"/>
          <w:sz w:val="20"/>
        </w:rPr>
        <w:t>Tabulka</w:t>
      </w:r>
      <w:r w:rsidR="000A43EC" w:rsidRPr="00FB2EF2">
        <w:rPr>
          <w:color w:val="auto"/>
          <w:sz w:val="20"/>
        </w:rPr>
        <w:fldChar w:fldCharType="begin"/>
      </w:r>
      <w:r w:rsidR="000A43EC" w:rsidRPr="00FB2EF2">
        <w:rPr>
          <w:color w:val="auto"/>
          <w:sz w:val="20"/>
        </w:rPr>
        <w:instrText xml:space="preserve"> SEQ Tabulka \* ARABIC </w:instrText>
      </w:r>
      <w:r w:rsidR="000A43EC" w:rsidRPr="00FB2EF2">
        <w:rPr>
          <w:color w:val="auto"/>
          <w:sz w:val="20"/>
        </w:rPr>
        <w:fldChar w:fldCharType="separate"/>
      </w:r>
      <w:r w:rsidR="00343D89" w:rsidRPr="00FB2EF2">
        <w:rPr>
          <w:noProof/>
          <w:color w:val="auto"/>
          <w:sz w:val="20"/>
        </w:rPr>
        <w:t>15</w:t>
      </w:r>
      <w:r w:rsidR="000A43EC" w:rsidRPr="00FB2EF2">
        <w:rPr>
          <w:color w:val="auto"/>
          <w:sz w:val="20"/>
        </w:rPr>
        <w:fldChar w:fldCharType="end"/>
      </w:r>
      <w:r w:rsidR="000A43EC" w:rsidRPr="00B06CB9">
        <w:rPr>
          <w:color w:val="auto"/>
          <w:sz w:val="20"/>
        </w:rPr>
        <w:t xml:space="preserve"> Rozdíl v průměrných mzdách za zaměstnance a fyzické osoby v porovnávaných </w:t>
      </w:r>
      <w:r w:rsidR="000A43EC" w:rsidRPr="00B06CB9">
        <w:rPr>
          <w:color w:val="auto"/>
        </w:rPr>
        <w:t>krajích</w:t>
      </w:r>
      <w:bookmarkEnd w:id="67"/>
    </w:p>
    <w:tbl>
      <w:tblPr>
        <w:tblpPr w:leftFromText="141" w:rightFromText="141" w:vertAnchor="text" w:horzAnchor="margin" w:tblpY="57"/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20"/>
        <w:gridCol w:w="720"/>
        <w:gridCol w:w="720"/>
        <w:gridCol w:w="720"/>
        <w:gridCol w:w="720"/>
      </w:tblGrid>
      <w:tr w:rsidR="000A43EC" w:rsidRPr="00E001A5" w14:paraId="724E5090" w14:textId="77777777" w:rsidTr="000A43EC">
        <w:trPr>
          <w:trHeight w:val="54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3DF" w14:textId="77777777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 xml:space="preserve">Období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2C0B" w14:textId="77777777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6728" w14:textId="77777777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361B" w14:textId="77777777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9C14" w14:textId="77777777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5ED1" w14:textId="77777777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001A5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A43EC" w:rsidRPr="00E001A5" w14:paraId="0B6A1588" w14:textId="77777777" w:rsidTr="000A43EC">
        <w:trPr>
          <w:cantSplit/>
          <w:trHeight w:val="5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9FF2" w14:textId="77777777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001A5">
              <w:rPr>
                <w:bCs/>
                <w:color w:val="000000"/>
                <w:sz w:val="20"/>
                <w:szCs w:val="20"/>
              </w:rPr>
              <w:t xml:space="preserve">Průměrná měsíční mzda v Kč (na zaměstnance)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5D5AA" w14:textId="444C845D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2B0ED" w14:textId="06577F26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A4997" w14:textId="7DD2DF80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6095D" w14:textId="16BE19B1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1F0A6" w14:textId="760CD992" w:rsidR="000A43EC" w:rsidRPr="00E001A5" w:rsidRDefault="00450456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3 597</w:t>
            </w:r>
          </w:p>
        </w:tc>
      </w:tr>
      <w:tr w:rsidR="000A43EC" w:rsidRPr="00E001A5" w14:paraId="404116F7" w14:textId="77777777" w:rsidTr="000A43EC">
        <w:trPr>
          <w:cantSplit/>
          <w:trHeight w:val="5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B461" w14:textId="77777777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001A5">
              <w:rPr>
                <w:bCs/>
                <w:color w:val="000000"/>
                <w:sz w:val="20"/>
                <w:szCs w:val="20"/>
              </w:rPr>
              <w:t>Průměrná měsíční mzda FO (Fyzické osoby) 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CF35C" w14:textId="467EB7A1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0EFA8" w14:textId="65B5783E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6D4B3" w14:textId="1DD530CE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BA9B" w14:textId="15EC6063" w:rsidR="000A43EC" w:rsidRPr="00E001A5" w:rsidRDefault="000A43EC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B581" w14:textId="6603B6EA" w:rsidR="000A43EC" w:rsidRPr="00E001A5" w:rsidRDefault="00450456" w:rsidP="000A43EC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3 576</w:t>
            </w:r>
          </w:p>
        </w:tc>
      </w:tr>
    </w:tbl>
    <w:p w14:paraId="6CF1FF17" w14:textId="77777777" w:rsidR="00B06CB9" w:rsidRPr="00B06CB9" w:rsidRDefault="00B06CB9" w:rsidP="00B06CB9"/>
    <w:p w14:paraId="56CAADCD" w14:textId="77777777" w:rsidR="000A43EC" w:rsidRDefault="000A43EC" w:rsidP="00222049"/>
    <w:p w14:paraId="387A7F51" w14:textId="77777777" w:rsidR="000A43EC" w:rsidRDefault="000A43EC" w:rsidP="00222049"/>
    <w:p w14:paraId="44C5C58B" w14:textId="77777777" w:rsidR="000A43EC" w:rsidRDefault="000A43EC" w:rsidP="000A43EC">
      <w:pPr>
        <w:spacing w:line="240" w:lineRule="auto"/>
        <w:contextualSpacing/>
      </w:pPr>
    </w:p>
    <w:p w14:paraId="2D889983" w14:textId="77777777" w:rsidR="000A43EC" w:rsidRDefault="000A43EC" w:rsidP="000A43EC">
      <w:pPr>
        <w:spacing w:line="240" w:lineRule="auto"/>
      </w:pPr>
    </w:p>
    <w:p w14:paraId="36AD62DB" w14:textId="5F8C84D2" w:rsidR="009E32A8" w:rsidRDefault="000A43EC" w:rsidP="00F24800">
      <w:pPr>
        <w:spacing w:after="360" w:line="240" w:lineRule="auto"/>
        <w:ind w:firstLine="0"/>
        <w:rPr>
          <w:i/>
          <w:sz w:val="20"/>
        </w:rPr>
      </w:pPr>
      <w:r w:rsidRPr="000A43EC">
        <w:rPr>
          <w:i/>
          <w:sz w:val="20"/>
        </w:rPr>
        <w:t>Zdroj: Vl</w:t>
      </w:r>
      <w:r>
        <w:rPr>
          <w:i/>
          <w:sz w:val="20"/>
        </w:rPr>
        <w:t>astní zpracování</w:t>
      </w:r>
      <w:r w:rsidR="00DE5578">
        <w:rPr>
          <w:i/>
          <w:sz w:val="20"/>
        </w:rPr>
        <w:t>,</w:t>
      </w:r>
    </w:p>
    <w:p w14:paraId="10BC7DB8" w14:textId="77777777" w:rsidR="009E32A8" w:rsidRDefault="009E32A8">
      <w:pPr>
        <w:spacing w:after="200" w:line="276" w:lineRule="auto"/>
        <w:ind w:firstLine="0"/>
        <w:jc w:val="left"/>
        <w:rPr>
          <w:i/>
          <w:sz w:val="20"/>
        </w:rPr>
      </w:pPr>
      <w:r>
        <w:rPr>
          <w:i/>
          <w:sz w:val="20"/>
        </w:rPr>
        <w:br w:type="page"/>
      </w:r>
    </w:p>
    <w:p w14:paraId="2E111A64" w14:textId="1949A755" w:rsidR="007D1607" w:rsidRPr="00FB2EF2" w:rsidRDefault="007D1607" w:rsidP="00DC2557">
      <w:pPr>
        <w:pStyle w:val="Nadpis2"/>
      </w:pPr>
      <w:bookmarkStart w:id="68" w:name="_Toc15889410"/>
      <w:r w:rsidRPr="00FB2EF2">
        <w:lastRenderedPageBreak/>
        <w:t>Komparace vybraných krajů při mediánu mezd</w:t>
      </w:r>
      <w:bookmarkEnd w:id="68"/>
    </w:p>
    <w:p w14:paraId="59E76DAF" w14:textId="315BFE74" w:rsidR="006223E7" w:rsidRPr="00414521" w:rsidRDefault="006223E7" w:rsidP="007D1607">
      <w:pPr>
        <w:spacing w:after="240"/>
        <w:rPr>
          <w:strike/>
        </w:rPr>
      </w:pPr>
      <w:r w:rsidRPr="007D1607">
        <w:t xml:space="preserve">V grafu č. 3 lze vidět komparaci </w:t>
      </w:r>
      <w:r w:rsidR="008E6743" w:rsidRPr="007D1607">
        <w:t xml:space="preserve">měsíčního mediánu mezd v </w:t>
      </w:r>
      <w:r w:rsidRPr="007D1607">
        <w:t>Ol</w:t>
      </w:r>
      <w:r w:rsidR="008E6743" w:rsidRPr="007D1607">
        <w:t>omouckém</w:t>
      </w:r>
      <w:r w:rsidRPr="007D1607">
        <w:t xml:space="preserve"> </w:t>
      </w:r>
      <w:r w:rsidR="001966E4">
        <w:br/>
      </w:r>
      <w:r w:rsidRPr="007D1607">
        <w:t>a Středočeské</w:t>
      </w:r>
      <w:r w:rsidR="008E6743" w:rsidRPr="007D1607">
        <w:t>m kraji</w:t>
      </w:r>
      <w:r w:rsidR="00D3463D">
        <w:t xml:space="preserve"> za ob</w:t>
      </w:r>
      <w:r w:rsidR="00D3463D" w:rsidRPr="00A614E8">
        <w:t xml:space="preserve">dobí 2013 – 2017. Červená </w:t>
      </w:r>
      <w:r w:rsidR="00A614E8" w:rsidRPr="00A614E8">
        <w:t>křivka</w:t>
      </w:r>
      <w:r w:rsidRPr="00A614E8">
        <w:t xml:space="preserve"> znázorňuje</w:t>
      </w:r>
      <w:r w:rsidR="007D1607" w:rsidRPr="00A614E8">
        <w:t xml:space="preserve"> měsíční</w:t>
      </w:r>
      <w:r w:rsidRPr="00A614E8">
        <w:t xml:space="preserve"> </w:t>
      </w:r>
      <w:r w:rsidR="008E6743" w:rsidRPr="00A614E8">
        <w:t xml:space="preserve">medián </w:t>
      </w:r>
      <w:r w:rsidR="00D3463D" w:rsidRPr="00A614E8">
        <w:t>mezd Olomouckého kraje a zelená</w:t>
      </w:r>
      <w:r w:rsidR="00A614E8" w:rsidRPr="00A614E8">
        <w:t xml:space="preserve"> křivka znázorňuje</w:t>
      </w:r>
      <w:r w:rsidR="008E6743" w:rsidRPr="00A614E8">
        <w:t xml:space="preserve"> </w:t>
      </w:r>
      <w:r w:rsidR="007D1607" w:rsidRPr="00A614E8">
        <w:t xml:space="preserve">měsíční </w:t>
      </w:r>
      <w:r w:rsidR="008E6743" w:rsidRPr="00A614E8">
        <w:t>m</w:t>
      </w:r>
      <w:r w:rsidR="00FB2EF2">
        <w:t>edián mezd Středočeského kraje.</w:t>
      </w:r>
    </w:p>
    <w:p w14:paraId="773A59DB" w14:textId="0587256E" w:rsidR="00B26995" w:rsidRDefault="00F67831" w:rsidP="00F67831">
      <w:pPr>
        <w:pStyle w:val="Titulek"/>
        <w:spacing w:after="0"/>
        <w:ind w:firstLine="0"/>
        <w:rPr>
          <w:color w:val="000000" w:themeColor="text1"/>
          <w:sz w:val="20"/>
        </w:rPr>
      </w:pPr>
      <w:bookmarkStart w:id="69" w:name="_Toc15639710"/>
      <w:r w:rsidRPr="00F67831">
        <w:rPr>
          <w:color w:val="000000" w:themeColor="text1"/>
          <w:sz w:val="20"/>
        </w:rPr>
        <w:t xml:space="preserve">Graf </w:t>
      </w:r>
      <w:r w:rsidRPr="00F67831">
        <w:rPr>
          <w:color w:val="000000" w:themeColor="text1"/>
          <w:sz w:val="20"/>
        </w:rPr>
        <w:fldChar w:fldCharType="begin"/>
      </w:r>
      <w:r w:rsidRPr="00F67831">
        <w:rPr>
          <w:color w:val="000000" w:themeColor="text1"/>
          <w:sz w:val="20"/>
        </w:rPr>
        <w:instrText xml:space="preserve"> SEQ Graf \* ARABIC </w:instrText>
      </w:r>
      <w:r w:rsidRPr="00F67831">
        <w:rPr>
          <w:color w:val="000000" w:themeColor="text1"/>
          <w:sz w:val="20"/>
        </w:rPr>
        <w:fldChar w:fldCharType="separate"/>
      </w:r>
      <w:r w:rsidR="00D34F45">
        <w:rPr>
          <w:noProof/>
          <w:color w:val="000000" w:themeColor="text1"/>
          <w:sz w:val="20"/>
        </w:rPr>
        <w:t>3</w:t>
      </w:r>
      <w:r w:rsidRPr="00F67831">
        <w:rPr>
          <w:color w:val="000000" w:themeColor="text1"/>
          <w:sz w:val="20"/>
        </w:rPr>
        <w:fldChar w:fldCharType="end"/>
      </w:r>
      <w:r w:rsidR="00277992">
        <w:rPr>
          <w:color w:val="000000" w:themeColor="text1"/>
          <w:sz w:val="20"/>
        </w:rPr>
        <w:t xml:space="preserve"> </w:t>
      </w:r>
      <w:r w:rsidRPr="00F67831">
        <w:rPr>
          <w:color w:val="000000" w:themeColor="text1"/>
          <w:sz w:val="20"/>
        </w:rPr>
        <w:t>Komparace mediánu mezd ve vybraných krajích</w:t>
      </w:r>
      <w:bookmarkEnd w:id="69"/>
    </w:p>
    <w:p w14:paraId="71C518F4" w14:textId="59AFC315" w:rsidR="00F67831" w:rsidRDefault="00DC2140" w:rsidP="00144D60">
      <w:pPr>
        <w:ind w:firstLine="0"/>
      </w:pPr>
      <w:r>
        <w:rPr>
          <w:noProof/>
        </w:rPr>
        <w:drawing>
          <wp:inline distT="0" distB="0" distL="0" distR="0" wp14:anchorId="46DBF51D" wp14:editId="0A9F09D8">
            <wp:extent cx="4572000" cy="2743200"/>
            <wp:effectExtent l="0" t="0" r="19050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5659AB3" w14:textId="79464E0E" w:rsidR="007D1607" w:rsidRDefault="006223E7" w:rsidP="009E32A8">
      <w:pPr>
        <w:spacing w:after="240"/>
        <w:ind w:firstLine="0"/>
      </w:pPr>
      <w:r w:rsidRPr="006223E7">
        <w:rPr>
          <w:i/>
          <w:sz w:val="20"/>
        </w:rPr>
        <w:t xml:space="preserve">Zdroj: Vlastní </w:t>
      </w:r>
      <w:r w:rsidRPr="006223E7">
        <w:rPr>
          <w:i/>
          <w:sz w:val="20"/>
          <w:szCs w:val="20"/>
        </w:rPr>
        <w:t>zpracování</w:t>
      </w:r>
    </w:p>
    <w:p w14:paraId="2F15102D" w14:textId="77777777" w:rsidR="009E32A8" w:rsidRDefault="009E32A8">
      <w:pPr>
        <w:spacing w:after="200" w:line="276" w:lineRule="auto"/>
        <w:ind w:firstLine="0"/>
        <w:jc w:val="left"/>
      </w:pPr>
      <w:r>
        <w:br w:type="page"/>
      </w:r>
    </w:p>
    <w:p w14:paraId="3F9D42F6" w14:textId="5038D520" w:rsidR="009E32A8" w:rsidRDefault="009E32A8" w:rsidP="00DC2557">
      <w:pPr>
        <w:pStyle w:val="Nadpis2"/>
      </w:pPr>
      <w:bookmarkStart w:id="70" w:name="_Toc15889411"/>
      <w:r>
        <w:lastRenderedPageBreak/>
        <w:t>Komparace obou krajů ve vývoji</w:t>
      </w:r>
      <w:r w:rsidR="00BA33D7">
        <w:t xml:space="preserve"> uchazečů o zaměstnání</w:t>
      </w:r>
      <w:r>
        <w:t xml:space="preserve"> na úřadu práce</w:t>
      </w:r>
      <w:bookmarkEnd w:id="70"/>
    </w:p>
    <w:p w14:paraId="1499CE6A" w14:textId="28E31090" w:rsidR="009E32A8" w:rsidRDefault="00567602" w:rsidP="00BA33D7">
      <w:pPr>
        <w:spacing w:after="240"/>
      </w:pPr>
      <w:r>
        <w:t>Dle grafu lze konstatovat, že</w:t>
      </w:r>
      <w:r w:rsidR="00465ECF">
        <w:t xml:space="preserve"> identifikované rozdíly v celkovém počtu uchazečů na úřadu práce mezi Středočeským a Olomouckým krajem. Celkový počet uchazečů na úřadu práce ve Středočeském kraji je znázorněn </w:t>
      </w:r>
      <w:r w:rsidR="00FF21AC">
        <w:t>červenou křiv</w:t>
      </w:r>
      <w:r w:rsidR="00465ECF">
        <w:t xml:space="preserve">kou. Za uvedené období 2013 – 2017 je </w:t>
      </w:r>
      <w:r w:rsidR="005D2E2D">
        <w:t xml:space="preserve">celkový počet registrovaných uchazečů o zaměstnání v Olomouckém kraji znázorněn </w:t>
      </w:r>
      <w:r w:rsidR="00FF21AC">
        <w:t>modrou křivkou.</w:t>
      </w:r>
    </w:p>
    <w:p w14:paraId="49918B26" w14:textId="14DD34D2" w:rsidR="00BA33D7" w:rsidRDefault="00BA33D7" w:rsidP="00C75928">
      <w:pPr>
        <w:pStyle w:val="Titulek"/>
        <w:spacing w:after="0"/>
        <w:ind w:firstLine="0"/>
        <w:rPr>
          <w:color w:val="000000" w:themeColor="text1"/>
          <w:sz w:val="20"/>
          <w:szCs w:val="20"/>
        </w:rPr>
      </w:pPr>
      <w:bookmarkStart w:id="71" w:name="_Toc15639711"/>
      <w:r w:rsidRPr="00BA33D7">
        <w:rPr>
          <w:color w:val="000000" w:themeColor="text1"/>
          <w:sz w:val="20"/>
          <w:szCs w:val="20"/>
        </w:rPr>
        <w:t xml:space="preserve">Graf </w:t>
      </w:r>
      <w:r w:rsidRPr="00BA33D7">
        <w:rPr>
          <w:color w:val="000000" w:themeColor="text1"/>
          <w:sz w:val="20"/>
          <w:szCs w:val="20"/>
        </w:rPr>
        <w:fldChar w:fldCharType="begin"/>
      </w:r>
      <w:r w:rsidRPr="00BA33D7">
        <w:rPr>
          <w:color w:val="000000" w:themeColor="text1"/>
          <w:sz w:val="20"/>
          <w:szCs w:val="20"/>
        </w:rPr>
        <w:instrText xml:space="preserve"> SEQ Graf \* ARABIC </w:instrText>
      </w:r>
      <w:r w:rsidRPr="00BA33D7">
        <w:rPr>
          <w:color w:val="000000" w:themeColor="text1"/>
          <w:sz w:val="20"/>
          <w:szCs w:val="20"/>
        </w:rPr>
        <w:fldChar w:fldCharType="separate"/>
      </w:r>
      <w:r w:rsidR="00D34F45">
        <w:rPr>
          <w:noProof/>
          <w:color w:val="000000" w:themeColor="text1"/>
          <w:sz w:val="20"/>
          <w:szCs w:val="20"/>
        </w:rPr>
        <w:t>4</w:t>
      </w:r>
      <w:r w:rsidRPr="00BA33D7">
        <w:rPr>
          <w:color w:val="000000" w:themeColor="text1"/>
          <w:sz w:val="20"/>
          <w:szCs w:val="20"/>
        </w:rPr>
        <w:fldChar w:fldCharType="end"/>
      </w:r>
      <w:r w:rsidRPr="00BA33D7">
        <w:rPr>
          <w:color w:val="000000" w:themeColor="text1"/>
          <w:sz w:val="20"/>
          <w:szCs w:val="20"/>
        </w:rPr>
        <w:t xml:space="preserve"> Komparace vybraných krajů při vývoji uchazečů o zaměstnání na úřadu práce</w:t>
      </w:r>
      <w:bookmarkEnd w:id="71"/>
    </w:p>
    <w:p w14:paraId="0B95E5A3" w14:textId="584B5BF7" w:rsidR="00277992" w:rsidRPr="00277992" w:rsidRDefault="00DC2140" w:rsidP="00277992">
      <w:pPr>
        <w:ind w:firstLine="0"/>
      </w:pPr>
      <w:r>
        <w:rPr>
          <w:noProof/>
        </w:rPr>
        <w:drawing>
          <wp:inline distT="0" distB="0" distL="0" distR="0" wp14:anchorId="5E14012C" wp14:editId="121F32AD">
            <wp:extent cx="4572000" cy="2743200"/>
            <wp:effectExtent l="0" t="0" r="19050" b="190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F940E50" w14:textId="6A1A7A92" w:rsidR="00BA33D7" w:rsidRDefault="00277992" w:rsidP="00277992">
      <w:pPr>
        <w:spacing w:after="360"/>
        <w:ind w:firstLine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Zdroj: Vlastní zpracování</w:t>
      </w:r>
    </w:p>
    <w:p w14:paraId="51E872DE" w14:textId="33DD6234" w:rsidR="00A45C0E" w:rsidRDefault="00A45C0E" w:rsidP="00A45C0E">
      <w:r>
        <w:t xml:space="preserve">Počet uchazečů na úřadu práce v Olomouckém a Středočeském kraji klesá. Počet evidovaných uchazečů na úřadu práce byl ve Středočeském kraji vyšší než v Olomouckém kraji. </w:t>
      </w:r>
      <w:r w:rsidRPr="00BF3AE4">
        <w:t>Pokud porovnáme vzdělání, lze pozorovat trend, že se lidé snaží v obou krajích dosahovat vyššího vzděl</w:t>
      </w:r>
      <w:r w:rsidR="00A32BAA">
        <w:t>ání.</w:t>
      </w:r>
    </w:p>
    <w:p w14:paraId="77709F42" w14:textId="0AE9ED85" w:rsidR="000A1DA7" w:rsidRDefault="00FB2EF2" w:rsidP="000A1DA7">
      <w:r w:rsidRPr="00FB2EF2">
        <w:t>V tabulce č. 16</w:t>
      </w:r>
      <w:r w:rsidR="00E336CA">
        <w:t xml:space="preserve"> je zachycen rozdíl ve vývoji uchazečů na úřadu práce ve Středočeském </w:t>
      </w:r>
      <w:r w:rsidR="001966E4">
        <w:br/>
      </w:r>
      <w:r w:rsidR="00E336CA">
        <w:t xml:space="preserve">a Olomouckém kraji. </w:t>
      </w:r>
      <w:r w:rsidR="00114F02">
        <w:t>Za jednotlivé srovnávané období byl počet uchazečů na úřadu práce ve Středočeském kraji vyšší než v Olomouckém kraji.</w:t>
      </w:r>
      <w:r w:rsidR="00587DF6">
        <w:t xml:space="preserve"> Za srovnávané období 2013 - 2017</w:t>
      </w:r>
      <w:r w:rsidR="00114F02">
        <w:t xml:space="preserve"> </w:t>
      </w:r>
      <w:r w:rsidR="00587DF6">
        <w:t>z</w:t>
      </w:r>
      <w:r w:rsidR="00654E3D">
        <w:t xml:space="preserve"> celkového počtu uchazečů o zaměstnání na úřadu práce ve Středočeském a Olomouckém kraji byl identifikován největší rozdíl v roce 2013, kdy byl ve výši 18 317 </w:t>
      </w:r>
      <w:r w:rsidR="00587DF6">
        <w:t>uchazečů. Za komparované období v roce</w:t>
      </w:r>
      <w:r w:rsidR="000A1DA7">
        <w:t xml:space="preserve"> 2013 byl identifikován největší rozdíl mezi Středočeským </w:t>
      </w:r>
      <w:r w:rsidR="001966E4">
        <w:br/>
      </w:r>
      <w:r w:rsidR="000A1DA7">
        <w:t>a Olomouckým krajem v následujících kategoriích:</w:t>
      </w:r>
    </w:p>
    <w:p w14:paraId="695D3186" w14:textId="3C6FA482" w:rsidR="000A1DA7" w:rsidRDefault="009052EF" w:rsidP="004D7368">
      <w:pPr>
        <w:pStyle w:val="Odstavecseseznamem"/>
        <w:numPr>
          <w:ilvl w:val="0"/>
          <w:numId w:val="1"/>
        </w:numPr>
      </w:pPr>
      <w:r>
        <w:t>u</w:t>
      </w:r>
      <w:r w:rsidR="00587DF6">
        <w:t xml:space="preserve">chazeči o zaměstnání na úřadu práce </w:t>
      </w:r>
      <w:r w:rsidR="000A1DA7">
        <w:t>do 19 let, kdy byl rozdíl ve výši</w:t>
      </w:r>
      <w:r>
        <w:t xml:space="preserve"> 956 uchazečů,</w:t>
      </w:r>
    </w:p>
    <w:p w14:paraId="3B0D4DD7" w14:textId="00F884C0" w:rsidR="000A1DA7" w:rsidRDefault="009052EF" w:rsidP="004D7368">
      <w:pPr>
        <w:pStyle w:val="Odstavecseseznamem"/>
        <w:numPr>
          <w:ilvl w:val="0"/>
          <w:numId w:val="1"/>
        </w:numPr>
      </w:pPr>
      <w:r>
        <w:t>n</w:t>
      </w:r>
      <w:r w:rsidR="00C10C52">
        <w:t xml:space="preserve">ezaměstnaných </w:t>
      </w:r>
      <w:r w:rsidR="004D7368">
        <w:t xml:space="preserve">ve věku </w:t>
      </w:r>
      <w:r w:rsidR="000A1DA7">
        <w:t>20 – 24 let, kdy byl zaznamenán rozdíl ve výši 2 492 registrovaných</w:t>
      </w:r>
      <w:r>
        <w:t>,</w:t>
      </w:r>
    </w:p>
    <w:p w14:paraId="0731A023" w14:textId="57B4BACA" w:rsidR="00792579" w:rsidRDefault="009052EF" w:rsidP="004D7368">
      <w:pPr>
        <w:pStyle w:val="Odstavecseseznamem"/>
        <w:numPr>
          <w:ilvl w:val="0"/>
          <w:numId w:val="1"/>
        </w:numPr>
      </w:pPr>
      <w:r>
        <w:lastRenderedPageBreak/>
        <w:t>e</w:t>
      </w:r>
      <w:r w:rsidR="004D7368">
        <w:t xml:space="preserve">vidované osoby na úřadu práce ve věku </w:t>
      </w:r>
      <w:r w:rsidR="00792579">
        <w:t>25 – 29 let, kdy mezi srovnávanými kraji vznikl rozdíl o 1 892 evidovaných uchazečů</w:t>
      </w:r>
      <w:r>
        <w:t>,</w:t>
      </w:r>
    </w:p>
    <w:p w14:paraId="4BF40915" w14:textId="73380ADB" w:rsidR="004D7368" w:rsidRDefault="009052EF" w:rsidP="004D7368">
      <w:pPr>
        <w:pStyle w:val="Odstavecseseznamem"/>
        <w:numPr>
          <w:ilvl w:val="0"/>
          <w:numId w:val="1"/>
        </w:numPr>
      </w:pPr>
      <w:r>
        <w:t>u</w:t>
      </w:r>
      <w:r w:rsidR="004D7368">
        <w:t xml:space="preserve">chazeči o zaměstnání ve věku </w:t>
      </w:r>
      <w:r w:rsidR="00792579">
        <w:t>30 – 34 let, kdy byl identifikován rozdíl ve výši 2 221 registrovaných na úřadu práce</w:t>
      </w:r>
      <w:r w:rsidR="004D7368">
        <w:t>.</w:t>
      </w:r>
    </w:p>
    <w:p w14:paraId="44BB7273" w14:textId="6DB5879D" w:rsidR="005D2E2D" w:rsidRDefault="004D7368" w:rsidP="00FF21AC">
      <w:pPr>
        <w:spacing w:after="240"/>
      </w:pPr>
      <w:r>
        <w:t xml:space="preserve">Mezi porovnávanými kraji za sledované období byl rozdíl v roce 2014 v kategorii 35 – 39 let, kdy byl počet uchazečů o zaměstnání větší ve Středočeském kraji o 2 744 jedinců. V roce 2014 </w:t>
      </w:r>
      <w:r w:rsidR="00725F7F">
        <w:t>se projevil velký</w:t>
      </w:r>
      <w:r>
        <w:t xml:space="preserve"> počet jedinců na úřadu práce ve Středočeském kraji v kategoriích 50 – 54 let a 55 – 59</w:t>
      </w:r>
      <w:r w:rsidR="00FF21AC">
        <w:t xml:space="preserve"> let. Z tabulky č. 14 lze konstatovat,</w:t>
      </w:r>
      <w:r>
        <w:t xml:space="preserve"> že</w:t>
      </w:r>
      <w:r w:rsidR="00960F75">
        <w:t xml:space="preserve"> za uvedené období byl nevětší</w:t>
      </w:r>
      <w:r>
        <w:t xml:space="preserve"> rozdíl v kategorii 50 – 54 let byl ve výši 1 463 </w:t>
      </w:r>
      <w:r w:rsidR="00960F75">
        <w:t xml:space="preserve">jedincích o zaměstnání. </w:t>
      </w:r>
      <w:r w:rsidR="00725F7F">
        <w:t xml:space="preserve">Za období 2013 – 2017 byl v </w:t>
      </w:r>
      <w:r w:rsidR="00960F75">
        <w:t xml:space="preserve"> kategorii 55 – 59 </w:t>
      </w:r>
      <w:r w:rsidR="00725F7F">
        <w:t xml:space="preserve">let zjištěn největší </w:t>
      </w:r>
      <w:r w:rsidR="00960F75">
        <w:t xml:space="preserve">rozdíl </w:t>
      </w:r>
      <w:r w:rsidR="00960F75" w:rsidRPr="00FF21AC">
        <w:t>ve výši 3</w:t>
      </w:r>
      <w:r w:rsidR="009052EF" w:rsidRPr="00FF21AC">
        <w:t> </w:t>
      </w:r>
      <w:r w:rsidR="00960F75" w:rsidRPr="00FF21AC">
        <w:t>055</w:t>
      </w:r>
      <w:r w:rsidR="009052EF" w:rsidRPr="00FF21AC">
        <w:t xml:space="preserve"> v</w:t>
      </w:r>
      <w:r w:rsidR="00960F75" w:rsidRPr="00FF21AC">
        <w:t xml:space="preserve"> uchazečích</w:t>
      </w:r>
      <w:r w:rsidR="00960F75">
        <w:t xml:space="preserve"> </w:t>
      </w:r>
      <w:r w:rsidR="001966E4">
        <w:br/>
      </w:r>
      <w:r w:rsidR="009052EF">
        <w:t>o zaměstnání.</w:t>
      </w:r>
    </w:p>
    <w:p w14:paraId="1F6E63B3" w14:textId="5C7329AF" w:rsidR="005D2E2D" w:rsidRDefault="005D2E2D" w:rsidP="005D2E2D">
      <w:pPr>
        <w:ind w:firstLine="0"/>
      </w:pPr>
      <w:bookmarkStart w:id="72" w:name="_Toc15639661"/>
      <w:r w:rsidRPr="00984CA0">
        <w:rPr>
          <w:i/>
          <w:color w:val="000000" w:themeColor="text1"/>
          <w:sz w:val="20"/>
          <w:szCs w:val="20"/>
        </w:rPr>
        <w:t xml:space="preserve">Tabulka </w:t>
      </w:r>
      <w:r w:rsidRPr="00984CA0">
        <w:rPr>
          <w:i/>
          <w:color w:val="000000" w:themeColor="text1"/>
          <w:sz w:val="20"/>
          <w:szCs w:val="20"/>
        </w:rPr>
        <w:fldChar w:fldCharType="begin"/>
      </w:r>
      <w:r w:rsidRPr="00984CA0">
        <w:rPr>
          <w:i/>
          <w:color w:val="000000" w:themeColor="text1"/>
          <w:sz w:val="20"/>
          <w:szCs w:val="20"/>
        </w:rPr>
        <w:instrText xml:space="preserve"> SEQ Tabulka \* ARABIC </w:instrText>
      </w:r>
      <w:r w:rsidRPr="00984CA0">
        <w:rPr>
          <w:i/>
          <w:color w:val="000000" w:themeColor="text1"/>
          <w:sz w:val="20"/>
          <w:szCs w:val="20"/>
        </w:rPr>
        <w:fldChar w:fldCharType="separate"/>
      </w:r>
      <w:r w:rsidR="00343D89" w:rsidRPr="00984CA0">
        <w:rPr>
          <w:i/>
          <w:noProof/>
          <w:color w:val="000000" w:themeColor="text1"/>
          <w:sz w:val="20"/>
          <w:szCs w:val="20"/>
        </w:rPr>
        <w:t>16</w:t>
      </w:r>
      <w:r w:rsidRPr="00984CA0">
        <w:rPr>
          <w:i/>
          <w:color w:val="000000" w:themeColor="text1"/>
          <w:sz w:val="20"/>
          <w:szCs w:val="20"/>
        </w:rPr>
        <w:fldChar w:fldCharType="end"/>
      </w:r>
      <w:r w:rsidRPr="00480BDC">
        <w:rPr>
          <w:i/>
          <w:color w:val="000000" w:themeColor="text1"/>
          <w:sz w:val="20"/>
          <w:szCs w:val="20"/>
        </w:rPr>
        <w:t xml:space="preserve"> Identifikované rozdíly vybraných krajů ve vývoji uchazečů na úřadu práce</w:t>
      </w:r>
      <w:bookmarkEnd w:id="72"/>
    </w:p>
    <w:tbl>
      <w:tblPr>
        <w:tblStyle w:val="Mkatabulky"/>
        <w:tblpPr w:leftFromText="141" w:rightFromText="141" w:vertAnchor="page" w:horzAnchor="margin" w:tblpY="6603"/>
        <w:tblW w:w="0" w:type="auto"/>
        <w:tblLook w:val="04A0" w:firstRow="1" w:lastRow="0" w:firstColumn="1" w:lastColumn="0" w:noHBand="0" w:noVBand="1"/>
      </w:tblPr>
      <w:tblGrid>
        <w:gridCol w:w="1310"/>
        <w:gridCol w:w="821"/>
        <w:gridCol w:w="821"/>
        <w:gridCol w:w="821"/>
        <w:gridCol w:w="821"/>
        <w:gridCol w:w="711"/>
      </w:tblGrid>
      <w:tr w:rsidR="00FF21AC" w:rsidRPr="00E412EC" w14:paraId="2CE368EF" w14:textId="77777777" w:rsidTr="00FF21AC">
        <w:tc>
          <w:tcPr>
            <w:tcW w:w="0" w:type="auto"/>
          </w:tcPr>
          <w:p w14:paraId="718B0BDA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K 31.12.</w:t>
            </w:r>
          </w:p>
        </w:tc>
        <w:tc>
          <w:tcPr>
            <w:tcW w:w="0" w:type="auto"/>
          </w:tcPr>
          <w:p w14:paraId="7E528D9F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</w:tcPr>
          <w:p w14:paraId="40100E77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14:paraId="4307AEE4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14:paraId="18CD3B7E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14:paraId="14702260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2017</w:t>
            </w:r>
          </w:p>
        </w:tc>
      </w:tr>
      <w:tr w:rsidR="00FF21AC" w:rsidRPr="00E412EC" w14:paraId="39C7057F" w14:textId="77777777" w:rsidTr="00FF21AC">
        <w:tc>
          <w:tcPr>
            <w:tcW w:w="0" w:type="auto"/>
          </w:tcPr>
          <w:p w14:paraId="2B3D6B2C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Do 19 let </w:t>
            </w:r>
          </w:p>
        </w:tc>
        <w:tc>
          <w:tcPr>
            <w:tcW w:w="0" w:type="auto"/>
          </w:tcPr>
          <w:p w14:paraId="6E45425C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956</w:t>
            </w:r>
          </w:p>
        </w:tc>
        <w:tc>
          <w:tcPr>
            <w:tcW w:w="0" w:type="auto"/>
          </w:tcPr>
          <w:p w14:paraId="720FB948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759</w:t>
            </w:r>
          </w:p>
        </w:tc>
        <w:tc>
          <w:tcPr>
            <w:tcW w:w="0" w:type="auto"/>
          </w:tcPr>
          <w:p w14:paraId="6043F4B8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714</w:t>
            </w:r>
          </w:p>
        </w:tc>
        <w:tc>
          <w:tcPr>
            <w:tcW w:w="0" w:type="auto"/>
          </w:tcPr>
          <w:p w14:paraId="2A101089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551</w:t>
            </w:r>
          </w:p>
        </w:tc>
        <w:tc>
          <w:tcPr>
            <w:tcW w:w="0" w:type="auto"/>
          </w:tcPr>
          <w:p w14:paraId="45571B81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520</w:t>
            </w:r>
          </w:p>
        </w:tc>
      </w:tr>
      <w:tr w:rsidR="00FF21AC" w:rsidRPr="00E412EC" w14:paraId="2BF188EB" w14:textId="77777777" w:rsidTr="00FF21AC">
        <w:tc>
          <w:tcPr>
            <w:tcW w:w="0" w:type="auto"/>
          </w:tcPr>
          <w:p w14:paraId="232AA69D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20 – 24 let </w:t>
            </w:r>
          </w:p>
        </w:tc>
        <w:tc>
          <w:tcPr>
            <w:tcW w:w="0" w:type="auto"/>
          </w:tcPr>
          <w:p w14:paraId="3646A7D5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2 492</w:t>
            </w:r>
          </w:p>
        </w:tc>
        <w:tc>
          <w:tcPr>
            <w:tcW w:w="0" w:type="auto"/>
          </w:tcPr>
          <w:p w14:paraId="4FA16534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2 199</w:t>
            </w:r>
          </w:p>
        </w:tc>
        <w:tc>
          <w:tcPr>
            <w:tcW w:w="0" w:type="auto"/>
          </w:tcPr>
          <w:p w14:paraId="7DB45906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2 057</w:t>
            </w:r>
          </w:p>
        </w:tc>
        <w:tc>
          <w:tcPr>
            <w:tcW w:w="0" w:type="auto"/>
          </w:tcPr>
          <w:p w14:paraId="0AC832EB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1 279</w:t>
            </w:r>
          </w:p>
        </w:tc>
        <w:tc>
          <w:tcPr>
            <w:tcW w:w="0" w:type="auto"/>
          </w:tcPr>
          <w:p w14:paraId="3D561F0A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1 012</w:t>
            </w:r>
          </w:p>
        </w:tc>
      </w:tr>
      <w:tr w:rsidR="00FF21AC" w:rsidRPr="00E412EC" w14:paraId="1A900D67" w14:textId="77777777" w:rsidTr="00FF21AC">
        <w:tc>
          <w:tcPr>
            <w:tcW w:w="0" w:type="auto"/>
          </w:tcPr>
          <w:p w14:paraId="6C1E6161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>25 -29let</w:t>
            </w:r>
          </w:p>
        </w:tc>
        <w:tc>
          <w:tcPr>
            <w:tcW w:w="0" w:type="auto"/>
          </w:tcPr>
          <w:p w14:paraId="648AC76A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1 892</w:t>
            </w:r>
          </w:p>
        </w:tc>
        <w:tc>
          <w:tcPr>
            <w:tcW w:w="0" w:type="auto"/>
          </w:tcPr>
          <w:p w14:paraId="3B110D0B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1 646</w:t>
            </w:r>
          </w:p>
        </w:tc>
        <w:tc>
          <w:tcPr>
            <w:tcW w:w="0" w:type="auto"/>
          </w:tcPr>
          <w:p w14:paraId="182E292E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1 673</w:t>
            </w:r>
          </w:p>
        </w:tc>
        <w:tc>
          <w:tcPr>
            <w:tcW w:w="0" w:type="auto"/>
          </w:tcPr>
          <w:p w14:paraId="3DEE7672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1 042</w:t>
            </w:r>
          </w:p>
        </w:tc>
        <w:tc>
          <w:tcPr>
            <w:tcW w:w="0" w:type="auto"/>
          </w:tcPr>
          <w:p w14:paraId="0042B7C1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778</w:t>
            </w:r>
          </w:p>
        </w:tc>
      </w:tr>
      <w:tr w:rsidR="00FF21AC" w:rsidRPr="00E412EC" w14:paraId="1BF0E57B" w14:textId="77777777" w:rsidTr="00FF21AC">
        <w:tc>
          <w:tcPr>
            <w:tcW w:w="0" w:type="auto"/>
          </w:tcPr>
          <w:p w14:paraId="235EFB4B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30 – 34- let </w:t>
            </w:r>
          </w:p>
        </w:tc>
        <w:tc>
          <w:tcPr>
            <w:tcW w:w="0" w:type="auto"/>
          </w:tcPr>
          <w:p w14:paraId="0DDB2A0C" w14:textId="77777777" w:rsidR="00FF21AC" w:rsidRPr="000055FC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0055FC">
              <w:rPr>
                <w:b/>
                <w:sz w:val="22"/>
                <w:szCs w:val="22"/>
              </w:rPr>
              <w:t>2 221</w:t>
            </w:r>
          </w:p>
        </w:tc>
        <w:tc>
          <w:tcPr>
            <w:tcW w:w="0" w:type="auto"/>
          </w:tcPr>
          <w:p w14:paraId="2BE8C416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2 006</w:t>
            </w:r>
          </w:p>
        </w:tc>
        <w:tc>
          <w:tcPr>
            <w:tcW w:w="0" w:type="auto"/>
          </w:tcPr>
          <w:p w14:paraId="1BB73C89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1 795</w:t>
            </w:r>
          </w:p>
        </w:tc>
        <w:tc>
          <w:tcPr>
            <w:tcW w:w="0" w:type="auto"/>
          </w:tcPr>
          <w:p w14:paraId="5F9A249E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1 419</w:t>
            </w:r>
          </w:p>
        </w:tc>
        <w:tc>
          <w:tcPr>
            <w:tcW w:w="0" w:type="auto"/>
          </w:tcPr>
          <w:p w14:paraId="377B9ADD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1 116</w:t>
            </w:r>
          </w:p>
        </w:tc>
      </w:tr>
      <w:tr w:rsidR="00FF21AC" w:rsidRPr="00E412EC" w14:paraId="7F2760CB" w14:textId="77777777" w:rsidTr="00FF21AC">
        <w:tc>
          <w:tcPr>
            <w:tcW w:w="0" w:type="auto"/>
          </w:tcPr>
          <w:p w14:paraId="03A06752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35-39 let </w:t>
            </w:r>
          </w:p>
        </w:tc>
        <w:tc>
          <w:tcPr>
            <w:tcW w:w="0" w:type="auto"/>
          </w:tcPr>
          <w:p w14:paraId="3BA85AC7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2 545</w:t>
            </w:r>
          </w:p>
        </w:tc>
        <w:tc>
          <w:tcPr>
            <w:tcW w:w="0" w:type="auto"/>
          </w:tcPr>
          <w:p w14:paraId="44AF61A7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2 744</w:t>
            </w:r>
          </w:p>
        </w:tc>
        <w:tc>
          <w:tcPr>
            <w:tcW w:w="0" w:type="auto"/>
          </w:tcPr>
          <w:p w14:paraId="174229F3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2 474</w:t>
            </w:r>
          </w:p>
        </w:tc>
        <w:tc>
          <w:tcPr>
            <w:tcW w:w="0" w:type="auto"/>
          </w:tcPr>
          <w:p w14:paraId="6050006E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1 818</w:t>
            </w:r>
          </w:p>
        </w:tc>
        <w:tc>
          <w:tcPr>
            <w:tcW w:w="0" w:type="auto"/>
          </w:tcPr>
          <w:p w14:paraId="782D5BCB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1 373</w:t>
            </w:r>
          </w:p>
        </w:tc>
      </w:tr>
      <w:tr w:rsidR="00FF21AC" w:rsidRPr="00E412EC" w14:paraId="4C67E5CC" w14:textId="77777777" w:rsidTr="00FF21AC">
        <w:tc>
          <w:tcPr>
            <w:tcW w:w="0" w:type="auto"/>
          </w:tcPr>
          <w:p w14:paraId="24B95B3C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40 – 44 let </w:t>
            </w:r>
          </w:p>
        </w:tc>
        <w:tc>
          <w:tcPr>
            <w:tcW w:w="0" w:type="auto"/>
          </w:tcPr>
          <w:p w14:paraId="75EDE0A3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2 015</w:t>
            </w:r>
          </w:p>
        </w:tc>
        <w:tc>
          <w:tcPr>
            <w:tcW w:w="0" w:type="auto"/>
          </w:tcPr>
          <w:p w14:paraId="41CFD73C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2 002</w:t>
            </w:r>
          </w:p>
        </w:tc>
        <w:tc>
          <w:tcPr>
            <w:tcW w:w="0" w:type="auto"/>
          </w:tcPr>
          <w:p w14:paraId="5D80E2C0" w14:textId="77777777" w:rsidR="00FF21AC" w:rsidRPr="0039576A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39576A">
              <w:rPr>
                <w:b/>
                <w:sz w:val="22"/>
                <w:szCs w:val="22"/>
              </w:rPr>
              <w:t>2 024</w:t>
            </w:r>
          </w:p>
        </w:tc>
        <w:tc>
          <w:tcPr>
            <w:tcW w:w="0" w:type="auto"/>
          </w:tcPr>
          <w:p w14:paraId="3487C44E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1 565</w:t>
            </w:r>
          </w:p>
        </w:tc>
        <w:tc>
          <w:tcPr>
            <w:tcW w:w="0" w:type="auto"/>
          </w:tcPr>
          <w:p w14:paraId="5782B508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1 274</w:t>
            </w:r>
          </w:p>
        </w:tc>
      </w:tr>
      <w:tr w:rsidR="00FF21AC" w:rsidRPr="00E412EC" w14:paraId="3F6623AB" w14:textId="77777777" w:rsidTr="00FF21AC">
        <w:tc>
          <w:tcPr>
            <w:tcW w:w="0" w:type="auto"/>
          </w:tcPr>
          <w:p w14:paraId="48E7A08B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45 -49let </w:t>
            </w:r>
          </w:p>
        </w:tc>
        <w:tc>
          <w:tcPr>
            <w:tcW w:w="0" w:type="auto"/>
          </w:tcPr>
          <w:p w14:paraId="7906E1BD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1 416</w:t>
            </w:r>
          </w:p>
        </w:tc>
        <w:tc>
          <w:tcPr>
            <w:tcW w:w="0" w:type="auto"/>
          </w:tcPr>
          <w:p w14:paraId="180F096C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1 452</w:t>
            </w:r>
          </w:p>
        </w:tc>
        <w:tc>
          <w:tcPr>
            <w:tcW w:w="0" w:type="auto"/>
          </w:tcPr>
          <w:p w14:paraId="13E92E28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1 523</w:t>
            </w:r>
          </w:p>
        </w:tc>
        <w:tc>
          <w:tcPr>
            <w:tcW w:w="0" w:type="auto"/>
          </w:tcPr>
          <w:p w14:paraId="739C77AA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1 096</w:t>
            </w:r>
          </w:p>
        </w:tc>
        <w:tc>
          <w:tcPr>
            <w:tcW w:w="0" w:type="auto"/>
          </w:tcPr>
          <w:p w14:paraId="54A7AB5E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924</w:t>
            </w:r>
          </w:p>
        </w:tc>
      </w:tr>
      <w:tr w:rsidR="00FF21AC" w:rsidRPr="00E412EC" w14:paraId="7C55EA02" w14:textId="77777777" w:rsidTr="00FF21AC">
        <w:tc>
          <w:tcPr>
            <w:tcW w:w="0" w:type="auto"/>
          </w:tcPr>
          <w:p w14:paraId="4C732DE3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50 – 54 let </w:t>
            </w:r>
          </w:p>
        </w:tc>
        <w:tc>
          <w:tcPr>
            <w:tcW w:w="0" w:type="auto"/>
          </w:tcPr>
          <w:p w14:paraId="79B44457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1 346</w:t>
            </w:r>
          </w:p>
        </w:tc>
        <w:tc>
          <w:tcPr>
            <w:tcW w:w="0" w:type="auto"/>
          </w:tcPr>
          <w:p w14:paraId="13AEA682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1 463</w:t>
            </w:r>
          </w:p>
        </w:tc>
        <w:tc>
          <w:tcPr>
            <w:tcW w:w="0" w:type="auto"/>
          </w:tcPr>
          <w:p w14:paraId="2E368818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1 538</w:t>
            </w:r>
          </w:p>
        </w:tc>
        <w:tc>
          <w:tcPr>
            <w:tcW w:w="0" w:type="auto"/>
          </w:tcPr>
          <w:p w14:paraId="7D0FC367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1 134</w:t>
            </w:r>
          </w:p>
        </w:tc>
        <w:tc>
          <w:tcPr>
            <w:tcW w:w="0" w:type="auto"/>
          </w:tcPr>
          <w:p w14:paraId="60C83995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853</w:t>
            </w:r>
          </w:p>
        </w:tc>
      </w:tr>
      <w:tr w:rsidR="00FF21AC" w:rsidRPr="00E412EC" w14:paraId="51C7D285" w14:textId="77777777" w:rsidTr="00FF21AC">
        <w:tc>
          <w:tcPr>
            <w:tcW w:w="0" w:type="auto"/>
          </w:tcPr>
          <w:p w14:paraId="06FF499D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55 – 59 let </w:t>
            </w:r>
          </w:p>
        </w:tc>
        <w:tc>
          <w:tcPr>
            <w:tcW w:w="0" w:type="auto"/>
          </w:tcPr>
          <w:p w14:paraId="0AB7BB52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2 245</w:t>
            </w:r>
          </w:p>
        </w:tc>
        <w:tc>
          <w:tcPr>
            <w:tcW w:w="0" w:type="auto"/>
          </w:tcPr>
          <w:p w14:paraId="4599DD81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3 055</w:t>
            </w:r>
          </w:p>
        </w:tc>
        <w:tc>
          <w:tcPr>
            <w:tcW w:w="0" w:type="auto"/>
          </w:tcPr>
          <w:p w14:paraId="3AD377DA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2 023</w:t>
            </w:r>
          </w:p>
        </w:tc>
        <w:tc>
          <w:tcPr>
            <w:tcW w:w="0" w:type="auto"/>
          </w:tcPr>
          <w:p w14:paraId="5DA9C5CD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1 411</w:t>
            </w:r>
          </w:p>
        </w:tc>
        <w:tc>
          <w:tcPr>
            <w:tcW w:w="0" w:type="auto"/>
          </w:tcPr>
          <w:p w14:paraId="551640FB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962</w:t>
            </w:r>
          </w:p>
        </w:tc>
      </w:tr>
      <w:tr w:rsidR="00FF21AC" w:rsidRPr="00E412EC" w14:paraId="4545F1AD" w14:textId="77777777" w:rsidTr="00FF21AC">
        <w:tc>
          <w:tcPr>
            <w:tcW w:w="0" w:type="auto"/>
          </w:tcPr>
          <w:p w14:paraId="79E42363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60 – 64 let </w:t>
            </w:r>
          </w:p>
        </w:tc>
        <w:tc>
          <w:tcPr>
            <w:tcW w:w="0" w:type="auto"/>
          </w:tcPr>
          <w:p w14:paraId="402E7C75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1 061</w:t>
            </w:r>
          </w:p>
        </w:tc>
        <w:tc>
          <w:tcPr>
            <w:tcW w:w="0" w:type="auto"/>
          </w:tcPr>
          <w:p w14:paraId="52697922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1 230</w:t>
            </w:r>
          </w:p>
        </w:tc>
        <w:tc>
          <w:tcPr>
            <w:tcW w:w="0" w:type="auto"/>
          </w:tcPr>
          <w:p w14:paraId="3358E505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1 156</w:t>
            </w:r>
          </w:p>
        </w:tc>
        <w:tc>
          <w:tcPr>
            <w:tcW w:w="0" w:type="auto"/>
          </w:tcPr>
          <w:p w14:paraId="7456B838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1087</w:t>
            </w:r>
          </w:p>
        </w:tc>
        <w:tc>
          <w:tcPr>
            <w:tcW w:w="0" w:type="auto"/>
          </w:tcPr>
          <w:p w14:paraId="3DE64085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956</w:t>
            </w:r>
          </w:p>
        </w:tc>
      </w:tr>
      <w:tr w:rsidR="00FF21AC" w:rsidRPr="00E412EC" w14:paraId="2ADA4B80" w14:textId="77777777" w:rsidTr="00FF21AC">
        <w:trPr>
          <w:trHeight w:val="570"/>
        </w:trPr>
        <w:tc>
          <w:tcPr>
            <w:tcW w:w="0" w:type="auto"/>
          </w:tcPr>
          <w:p w14:paraId="27555F01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65 let a více </w:t>
            </w:r>
          </w:p>
        </w:tc>
        <w:tc>
          <w:tcPr>
            <w:tcW w:w="0" w:type="auto"/>
          </w:tcPr>
          <w:p w14:paraId="112A6516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2274A78E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14:paraId="704CACA7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</w:tcPr>
          <w:p w14:paraId="48887A1A" w14:textId="77777777" w:rsidR="00FF21AC" w:rsidRPr="00E336CA" w:rsidRDefault="00FF21AC" w:rsidP="00FF21AC">
            <w:pPr>
              <w:ind w:firstLine="0"/>
              <w:rPr>
                <w:sz w:val="22"/>
                <w:szCs w:val="22"/>
              </w:rPr>
            </w:pPr>
            <w:r w:rsidRPr="00E336CA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</w:tcPr>
          <w:p w14:paraId="36C125F7" w14:textId="77777777" w:rsidR="00FF21AC" w:rsidRPr="00114F02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114F02">
              <w:rPr>
                <w:b/>
                <w:sz w:val="22"/>
                <w:szCs w:val="22"/>
              </w:rPr>
              <w:t>83</w:t>
            </w:r>
          </w:p>
        </w:tc>
      </w:tr>
      <w:tr w:rsidR="00FF21AC" w:rsidRPr="00E412EC" w14:paraId="64E14BBC" w14:textId="77777777" w:rsidTr="00FF21AC">
        <w:tc>
          <w:tcPr>
            <w:tcW w:w="0" w:type="auto"/>
          </w:tcPr>
          <w:p w14:paraId="138F2E04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 w:rsidRPr="00CD4AF0">
              <w:rPr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0" w:type="auto"/>
          </w:tcPr>
          <w:p w14:paraId="76E511FD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18 317</w:t>
            </w:r>
          </w:p>
        </w:tc>
        <w:tc>
          <w:tcPr>
            <w:tcW w:w="0" w:type="auto"/>
          </w:tcPr>
          <w:p w14:paraId="4CEFFC23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17 684</w:t>
            </w:r>
          </w:p>
        </w:tc>
        <w:tc>
          <w:tcPr>
            <w:tcW w:w="0" w:type="auto"/>
          </w:tcPr>
          <w:p w14:paraId="2DA8B3D7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10 044</w:t>
            </w:r>
          </w:p>
        </w:tc>
        <w:tc>
          <w:tcPr>
            <w:tcW w:w="0" w:type="auto"/>
          </w:tcPr>
          <w:p w14:paraId="3C0812E0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12 471</w:t>
            </w:r>
          </w:p>
        </w:tc>
        <w:tc>
          <w:tcPr>
            <w:tcW w:w="0" w:type="auto"/>
          </w:tcPr>
          <w:p w14:paraId="1CC8F810" w14:textId="77777777" w:rsidR="00FF21AC" w:rsidRPr="00CD4AF0" w:rsidRDefault="00FF21AC" w:rsidP="00FF21AC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9 851</w:t>
            </w:r>
          </w:p>
        </w:tc>
      </w:tr>
    </w:tbl>
    <w:p w14:paraId="521666D6" w14:textId="77777777" w:rsidR="00277992" w:rsidRDefault="00277992" w:rsidP="005D2E2D">
      <w:pPr>
        <w:spacing w:after="200" w:line="276" w:lineRule="auto"/>
        <w:ind w:firstLine="0"/>
        <w:jc w:val="left"/>
      </w:pPr>
    </w:p>
    <w:p w14:paraId="4073F04A" w14:textId="77777777" w:rsidR="00277992" w:rsidRDefault="00277992" w:rsidP="005D2E2D">
      <w:pPr>
        <w:spacing w:after="200" w:line="276" w:lineRule="auto"/>
        <w:ind w:firstLine="0"/>
        <w:jc w:val="left"/>
      </w:pPr>
    </w:p>
    <w:p w14:paraId="4495C7A5" w14:textId="77777777" w:rsidR="00277992" w:rsidRDefault="00277992" w:rsidP="005D2E2D">
      <w:pPr>
        <w:spacing w:after="200" w:line="276" w:lineRule="auto"/>
        <w:ind w:firstLine="0"/>
        <w:jc w:val="left"/>
      </w:pPr>
    </w:p>
    <w:p w14:paraId="4118EE97" w14:textId="77777777" w:rsidR="00277992" w:rsidRDefault="00277992" w:rsidP="005D2E2D">
      <w:pPr>
        <w:spacing w:after="200" w:line="276" w:lineRule="auto"/>
        <w:ind w:firstLine="0"/>
        <w:jc w:val="left"/>
      </w:pPr>
    </w:p>
    <w:p w14:paraId="7485F50A" w14:textId="77777777" w:rsidR="00277992" w:rsidRDefault="00277992" w:rsidP="005D2E2D">
      <w:pPr>
        <w:spacing w:after="200" w:line="276" w:lineRule="auto"/>
        <w:ind w:firstLine="0"/>
        <w:jc w:val="left"/>
      </w:pPr>
    </w:p>
    <w:p w14:paraId="177C911F" w14:textId="77777777" w:rsidR="005D2E2D" w:rsidRDefault="005D2E2D" w:rsidP="005D2E2D">
      <w:pPr>
        <w:spacing w:after="200" w:line="276" w:lineRule="auto"/>
        <w:ind w:firstLine="0"/>
        <w:jc w:val="left"/>
      </w:pPr>
    </w:p>
    <w:p w14:paraId="20D821B0" w14:textId="77777777" w:rsidR="005D2E2D" w:rsidRDefault="005D2E2D" w:rsidP="005D2E2D">
      <w:pPr>
        <w:spacing w:after="200" w:line="276" w:lineRule="auto"/>
        <w:ind w:firstLine="0"/>
        <w:jc w:val="left"/>
      </w:pPr>
    </w:p>
    <w:p w14:paraId="1E912519" w14:textId="77777777" w:rsidR="005D2E2D" w:rsidRDefault="005D2E2D" w:rsidP="005D2E2D">
      <w:pPr>
        <w:spacing w:after="200" w:line="276" w:lineRule="auto"/>
        <w:ind w:firstLine="0"/>
        <w:jc w:val="left"/>
      </w:pPr>
    </w:p>
    <w:p w14:paraId="4148E07C" w14:textId="77777777" w:rsidR="005D2E2D" w:rsidRDefault="005D2E2D" w:rsidP="005D2E2D">
      <w:pPr>
        <w:spacing w:after="200" w:line="276" w:lineRule="auto"/>
        <w:ind w:firstLine="0"/>
        <w:jc w:val="left"/>
      </w:pPr>
    </w:p>
    <w:p w14:paraId="4A058D14" w14:textId="77777777" w:rsidR="005D2E2D" w:rsidRDefault="005D2E2D" w:rsidP="005D2E2D">
      <w:pPr>
        <w:spacing w:after="200" w:line="276" w:lineRule="auto"/>
        <w:ind w:firstLine="0"/>
        <w:jc w:val="left"/>
      </w:pPr>
    </w:p>
    <w:p w14:paraId="1E69F004" w14:textId="77777777" w:rsidR="005D2E2D" w:rsidRDefault="005D2E2D" w:rsidP="005D2E2D">
      <w:pPr>
        <w:spacing w:line="240" w:lineRule="auto"/>
        <w:ind w:firstLine="0"/>
      </w:pPr>
    </w:p>
    <w:p w14:paraId="179F0989" w14:textId="08F2FA3D" w:rsidR="005D2E2D" w:rsidRDefault="00277992" w:rsidP="005D2E2D">
      <w:pPr>
        <w:spacing w:line="240" w:lineRule="auto"/>
        <w:ind w:firstLine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Zdroj: Vlastní zpracování</w:t>
      </w:r>
      <w:r w:rsidR="008E02E6">
        <w:rPr>
          <w:i/>
          <w:color w:val="000000" w:themeColor="text1"/>
          <w:sz w:val="20"/>
          <w:szCs w:val="20"/>
        </w:rPr>
        <w:t>,</w:t>
      </w:r>
    </w:p>
    <w:p w14:paraId="6364781F" w14:textId="5043D40A" w:rsidR="005D2E2D" w:rsidRDefault="005D2E2D" w:rsidP="005D2E2D">
      <w:pPr>
        <w:spacing w:after="200" w:line="276" w:lineRule="auto"/>
        <w:ind w:firstLine="0"/>
        <w:jc w:val="left"/>
      </w:pPr>
      <w:r>
        <w:br w:type="page"/>
      </w:r>
    </w:p>
    <w:p w14:paraId="00F01298" w14:textId="583A7908" w:rsidR="00725F7F" w:rsidRDefault="00725F7F" w:rsidP="004D7368">
      <w:r>
        <w:lastRenderedPageBreak/>
        <w:t xml:space="preserve">V roce 2015 za srovnávané období (2013 – 2017) byl největší </w:t>
      </w:r>
      <w:r w:rsidR="00C75928">
        <w:t>rozdíl v uvedených kategoriích:</w:t>
      </w:r>
    </w:p>
    <w:p w14:paraId="53A1FAAE" w14:textId="1B477C35" w:rsidR="00725F7F" w:rsidRDefault="00725F7F" w:rsidP="00725F7F">
      <w:pPr>
        <w:pStyle w:val="Odstavecseseznamem"/>
        <w:numPr>
          <w:ilvl w:val="0"/>
          <w:numId w:val="1"/>
        </w:numPr>
      </w:pPr>
      <w:r>
        <w:t>Kategorie 40 – 44 let, kdy ve Středočeském kraji bylo evidováno o 2 024 uchaze</w:t>
      </w:r>
      <w:r w:rsidR="00C75928">
        <w:t>čů více než v Olomouckém kraji.</w:t>
      </w:r>
    </w:p>
    <w:p w14:paraId="768403F5" w14:textId="2411D563" w:rsidR="004D7368" w:rsidRDefault="003602F0" w:rsidP="00725F7F">
      <w:pPr>
        <w:pStyle w:val="Odstavecseseznamem"/>
        <w:numPr>
          <w:ilvl w:val="0"/>
          <w:numId w:val="1"/>
        </w:numPr>
      </w:pPr>
      <w:r>
        <w:t xml:space="preserve">V kategorii 45 – 49 let </w:t>
      </w:r>
      <w:r w:rsidR="00C75928">
        <w:t>byl rozdíl 1 523 v uchazečích.</w:t>
      </w:r>
    </w:p>
    <w:p w14:paraId="66939B2B" w14:textId="3126B491" w:rsidR="003602F0" w:rsidRPr="008755BF" w:rsidRDefault="003602F0" w:rsidP="005D2E2D">
      <w:pPr>
        <w:pStyle w:val="Odstavecseseznamem"/>
        <w:numPr>
          <w:ilvl w:val="0"/>
          <w:numId w:val="1"/>
        </w:numPr>
        <w:spacing w:after="120"/>
        <w:ind w:left="782" w:hanging="357"/>
      </w:pPr>
      <w:r>
        <w:t>Kategorie ve věku 60 – 64 let uchazečů o zaměstnání, kdy v evidovaných uchazečích na úřadu práce byl</w:t>
      </w:r>
      <w:r w:rsidR="00984CA0">
        <w:t xml:space="preserve"> rozdíl 1 156. Dle tabulky č. 16</w:t>
      </w:r>
      <w:r>
        <w:t xml:space="preserve"> je patrné, že v roce 2016 nebyly žádné nejvyšší rozdíly v uvedených kategoriích. </w:t>
      </w:r>
      <w:r w:rsidR="00480BDC">
        <w:t>V roce 2017 byl největší rozdíl zaznamenán v kategorii 65 let a více, kdy rozdíl byl ve vý</w:t>
      </w:r>
      <w:r w:rsidR="00C75928">
        <w:t xml:space="preserve">ši 83 </w:t>
      </w:r>
      <w:proofErr w:type="gramStart"/>
      <w:r w:rsidR="00C75928">
        <w:t>uchazečích</w:t>
      </w:r>
      <w:proofErr w:type="gramEnd"/>
      <w:r w:rsidR="00C75928">
        <w:t xml:space="preserve"> </w:t>
      </w:r>
      <w:r w:rsidR="00C75928">
        <w:br/>
        <w:t>o zaměstnání</w:t>
      </w:r>
      <w:r w:rsidR="00FF21AC">
        <w:t xml:space="preserve">. </w:t>
      </w:r>
      <w:r w:rsidR="007860CC">
        <w:t>Počet starších uchazečů se na úřadu práce v obou krajích zvyšuje, protože se zvyšují poskytované služby zdravotních služeb a zvyšují se odcho</w:t>
      </w:r>
      <w:r w:rsidR="00AB5522">
        <w:t xml:space="preserve">dy seniorů do penze. Počet mladých uchazečů na úřadu práce v porovnávaných krajích se snižuje, což je dáno novými vznikajícími podniky v kraji, kde uchazeči získali </w:t>
      </w:r>
      <w:r w:rsidR="00500EEF" w:rsidRPr="00500EEF">
        <w:t>nová</w:t>
      </w:r>
      <w:r w:rsidR="00AB5522" w:rsidRPr="008A1933">
        <w:rPr>
          <w:color w:val="FF0000"/>
        </w:rPr>
        <w:t xml:space="preserve"> </w:t>
      </w:r>
      <w:r w:rsidR="00AB5522">
        <w:t xml:space="preserve">pracovní místa. Domnívám se, že v příštích letech se situace v obou krajích na úřadu práce </w:t>
      </w:r>
      <w:r w:rsidR="00846FFA">
        <w:t xml:space="preserve">změní, počet uchazečů na úřadech práce </w:t>
      </w:r>
      <w:proofErr w:type="gramStart"/>
      <w:r w:rsidR="008755BF" w:rsidRPr="008755BF">
        <w:t xml:space="preserve">vzroste. </w:t>
      </w:r>
      <w:proofErr w:type="gramEnd"/>
      <w:r w:rsidR="008755BF">
        <w:t>D</w:t>
      </w:r>
      <w:r w:rsidR="008755BF" w:rsidRPr="008755BF">
        <w:t>á se předpokládat, že z důvodu cyklického vývoje ekonomiky nastane ekonomická krize.</w:t>
      </w:r>
    </w:p>
    <w:p w14:paraId="29E9ECDF" w14:textId="137DFFE7" w:rsidR="00B93299" w:rsidRDefault="00DE4622">
      <w:pPr>
        <w:spacing w:after="200" w:line="276" w:lineRule="auto"/>
        <w:ind w:firstLine="0"/>
        <w:jc w:val="left"/>
      </w:pPr>
      <w:r>
        <w:br w:type="page"/>
      </w:r>
    </w:p>
    <w:p w14:paraId="65C91C1D" w14:textId="494C22B9" w:rsidR="00B30436" w:rsidRDefault="00B93299" w:rsidP="00DC2557">
      <w:pPr>
        <w:pStyle w:val="Nadpis2"/>
      </w:pPr>
      <w:bookmarkStart w:id="73" w:name="_Toc15889412"/>
      <w:r>
        <w:lastRenderedPageBreak/>
        <w:t xml:space="preserve">Komparace </w:t>
      </w:r>
      <w:r w:rsidR="00343D89">
        <w:t xml:space="preserve">míry </w:t>
      </w:r>
      <w:r>
        <w:t>ekonomické aktivity obyvatelstva</w:t>
      </w:r>
      <w:bookmarkEnd w:id="73"/>
    </w:p>
    <w:p w14:paraId="65C0D8F9" w14:textId="0CF16E57" w:rsidR="0034320A" w:rsidRPr="00B30436" w:rsidRDefault="00B30436" w:rsidP="00120282">
      <w:pPr>
        <w:spacing w:after="240"/>
      </w:pPr>
      <w:r>
        <w:t>V tabulce č. 17 jsou uvedené rozdíly míry ekonomické aktivity obyvatelstva v obou krajích.</w:t>
      </w:r>
      <w:r w:rsidR="000646D1">
        <w:t xml:space="preserve"> Za porovnávané období je v Olomouckém kraji míra ekonomicky aktivního obyvatelstva v každém roce vyšší než ve Středočeském kraji. </w:t>
      </w:r>
      <w:r w:rsidR="009072D2">
        <w:t xml:space="preserve">V roce 2013 byla míra ekonomicky aktivního obyvatelstva v Olomouckém kraji vyšší o 0,31% než ve Středočeském kraji. </w:t>
      </w:r>
      <w:r w:rsidR="00BD03FD">
        <w:t xml:space="preserve">Největší rozdíl nastal v roce </w:t>
      </w:r>
      <w:r w:rsidR="009072D2">
        <w:t>2015</w:t>
      </w:r>
      <w:r w:rsidR="00BD03FD">
        <w:t xml:space="preserve">, kdy míra ekonomicky aktivního obyvatelstva byla v Olomouckém kraji vyšší o 0,31%. </w:t>
      </w:r>
      <w:r w:rsidR="009072D2">
        <w:t>Nejmenší rozdíl při komparaci míry ekonomicky aktivního obyvatelstva u vybraných krajů byl v roce 2017, kdy byl ve výši 0,23%.</w:t>
      </w:r>
    </w:p>
    <w:p w14:paraId="2B110B1F" w14:textId="6E419A4B" w:rsidR="00343D89" w:rsidRDefault="00343D89" w:rsidP="00BA41D3">
      <w:pPr>
        <w:pStyle w:val="Titulek"/>
        <w:spacing w:after="0"/>
        <w:ind w:firstLine="0"/>
        <w:rPr>
          <w:color w:val="000000" w:themeColor="text1"/>
          <w:sz w:val="20"/>
        </w:rPr>
      </w:pPr>
      <w:bookmarkStart w:id="74" w:name="_Toc15639662"/>
      <w:r w:rsidRPr="00343D89">
        <w:rPr>
          <w:color w:val="000000" w:themeColor="text1"/>
          <w:sz w:val="20"/>
        </w:rPr>
        <w:t xml:space="preserve">Tabulka </w:t>
      </w:r>
      <w:r w:rsidRPr="00343D89">
        <w:rPr>
          <w:color w:val="000000" w:themeColor="text1"/>
          <w:sz w:val="20"/>
        </w:rPr>
        <w:fldChar w:fldCharType="begin"/>
      </w:r>
      <w:r w:rsidRPr="00343D89">
        <w:rPr>
          <w:color w:val="000000" w:themeColor="text1"/>
          <w:sz w:val="20"/>
        </w:rPr>
        <w:instrText xml:space="preserve"> SEQ Tabulka \* ARABIC </w:instrText>
      </w:r>
      <w:r w:rsidRPr="00343D89">
        <w:rPr>
          <w:color w:val="000000" w:themeColor="text1"/>
          <w:sz w:val="20"/>
        </w:rPr>
        <w:fldChar w:fldCharType="separate"/>
      </w:r>
      <w:r w:rsidRPr="00343D89">
        <w:rPr>
          <w:noProof/>
          <w:color w:val="000000" w:themeColor="text1"/>
          <w:sz w:val="20"/>
        </w:rPr>
        <w:t>17</w:t>
      </w:r>
      <w:r w:rsidRPr="00343D89">
        <w:rPr>
          <w:color w:val="000000" w:themeColor="text1"/>
          <w:sz w:val="20"/>
        </w:rPr>
        <w:fldChar w:fldCharType="end"/>
      </w:r>
      <w:r w:rsidRPr="00343D89">
        <w:rPr>
          <w:color w:val="000000" w:themeColor="text1"/>
          <w:sz w:val="20"/>
        </w:rPr>
        <w:t xml:space="preserve"> Komparace míry ekonomické aktivity obyvatelstva</w:t>
      </w:r>
      <w:bookmarkEnd w:id="74"/>
    </w:p>
    <w:tbl>
      <w:tblPr>
        <w:tblpPr w:leftFromText="141" w:rightFromText="141" w:vertAnchor="text" w:horzAnchor="margin" w:tblpY="4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635"/>
        <w:gridCol w:w="635"/>
        <w:gridCol w:w="635"/>
        <w:gridCol w:w="635"/>
        <w:gridCol w:w="635"/>
      </w:tblGrid>
      <w:tr w:rsidR="00BA41D3" w:rsidRPr="0034320A" w14:paraId="2B5E72E0" w14:textId="77777777" w:rsidTr="00BA41D3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F9147" w14:textId="77777777" w:rsidR="00BA41D3" w:rsidRPr="0034320A" w:rsidRDefault="00BA41D3" w:rsidP="00BA41D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4320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428A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320A">
              <w:rPr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16C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320A">
              <w:rPr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52EE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320A">
              <w:rPr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53A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320A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4A12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320A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BA41D3" w:rsidRPr="0034320A" w14:paraId="5DEBB1D3" w14:textId="77777777" w:rsidTr="00BA41D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C926" w14:textId="13A8D313" w:rsidR="00BA41D3" w:rsidRPr="0034320A" w:rsidRDefault="00BA41D3" w:rsidP="00BA41D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Míra ekonomicky aktivních obyvatel Ol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k.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v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57A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F7A9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66,85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ED08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F30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CA8FD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64,81</w:t>
            </w:r>
          </w:p>
        </w:tc>
      </w:tr>
      <w:tr w:rsidR="00BA41D3" w:rsidRPr="0034320A" w14:paraId="7EF86CC2" w14:textId="77777777" w:rsidTr="00BA41D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32B" w14:textId="429836F9" w:rsidR="00BA41D3" w:rsidRPr="0034320A" w:rsidRDefault="00BA41D3" w:rsidP="00BA41D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 xml:space="preserve">Míra ekonomicky aktivních obyvatel </w:t>
            </w:r>
            <w:proofErr w:type="spellStart"/>
            <w:r w:rsidRPr="0034320A">
              <w:rPr>
                <w:color w:val="000000"/>
                <w:sz w:val="22"/>
                <w:szCs w:val="22"/>
              </w:rPr>
              <w:t>Stř</w:t>
            </w:r>
            <w:proofErr w:type="spellEnd"/>
            <w:r w:rsidRPr="0034320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k. v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2874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67,24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D031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66,50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D0C7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65,82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2820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65,16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A388D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64,57</w:t>
            </w:r>
          </w:p>
        </w:tc>
      </w:tr>
      <w:tr w:rsidR="00BA41D3" w:rsidRPr="0034320A" w14:paraId="4E81618F" w14:textId="77777777" w:rsidTr="00BA41D3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5247" w14:textId="77777777" w:rsidR="00BA41D3" w:rsidRPr="0034320A" w:rsidRDefault="00BA41D3" w:rsidP="00BA41D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4320A">
              <w:rPr>
                <w:b/>
                <w:bCs/>
                <w:color w:val="000000"/>
                <w:sz w:val="22"/>
                <w:szCs w:val="22"/>
              </w:rPr>
              <w:t>Rozdíl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v 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4C0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841D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0,34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289F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3EAA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6F8" w14:textId="77777777" w:rsidR="00BA41D3" w:rsidRPr="0034320A" w:rsidRDefault="00BA41D3" w:rsidP="00BA41D3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4320A">
              <w:rPr>
                <w:color w:val="000000"/>
                <w:sz w:val="22"/>
                <w:szCs w:val="22"/>
              </w:rPr>
              <w:t>0,23</w:t>
            </w:r>
          </w:p>
        </w:tc>
      </w:tr>
    </w:tbl>
    <w:p w14:paraId="4B7E81CB" w14:textId="77777777" w:rsidR="00B30436" w:rsidRPr="00B30436" w:rsidRDefault="00B30436" w:rsidP="00B30436"/>
    <w:p w14:paraId="61FD7C6D" w14:textId="77777777" w:rsidR="002250B8" w:rsidRDefault="002250B8">
      <w:pPr>
        <w:spacing w:after="200" w:line="276" w:lineRule="auto"/>
        <w:ind w:firstLine="0"/>
        <w:jc w:val="left"/>
      </w:pPr>
    </w:p>
    <w:p w14:paraId="549B52BD" w14:textId="77777777" w:rsidR="002250B8" w:rsidRDefault="002250B8">
      <w:pPr>
        <w:spacing w:after="200" w:line="276" w:lineRule="auto"/>
        <w:ind w:firstLine="0"/>
        <w:jc w:val="left"/>
      </w:pPr>
    </w:p>
    <w:p w14:paraId="65C20123" w14:textId="549FF2A1" w:rsidR="002250B8" w:rsidRDefault="00120282">
      <w:pPr>
        <w:spacing w:after="200" w:line="276" w:lineRule="auto"/>
        <w:ind w:firstLine="0"/>
        <w:jc w:val="left"/>
        <w:rPr>
          <w:i/>
          <w:sz w:val="20"/>
        </w:rPr>
      </w:pPr>
      <w:r>
        <w:rPr>
          <w:i/>
          <w:sz w:val="20"/>
        </w:rPr>
        <w:t>Zdroj: Vlastní zpracování,</w:t>
      </w:r>
    </w:p>
    <w:p w14:paraId="5A25AF55" w14:textId="6DCBE199" w:rsidR="00D34F45" w:rsidRDefault="00D34F45" w:rsidP="00D34F45">
      <w:pPr>
        <w:pStyle w:val="Titulek"/>
        <w:ind w:firstLine="0"/>
        <w:rPr>
          <w:color w:val="000000" w:themeColor="text1"/>
          <w:sz w:val="20"/>
        </w:rPr>
      </w:pPr>
      <w:bookmarkStart w:id="75" w:name="_Toc15639712"/>
      <w:r w:rsidRPr="00D34F45">
        <w:rPr>
          <w:color w:val="000000" w:themeColor="text1"/>
          <w:sz w:val="20"/>
        </w:rPr>
        <w:t xml:space="preserve">Graf </w:t>
      </w:r>
      <w:r w:rsidRPr="00D34F45">
        <w:rPr>
          <w:color w:val="000000" w:themeColor="text1"/>
          <w:sz w:val="20"/>
        </w:rPr>
        <w:fldChar w:fldCharType="begin"/>
      </w:r>
      <w:r w:rsidRPr="00D34F45">
        <w:rPr>
          <w:color w:val="000000" w:themeColor="text1"/>
          <w:sz w:val="20"/>
        </w:rPr>
        <w:instrText xml:space="preserve"> SEQ Graf \* ARABIC </w:instrText>
      </w:r>
      <w:r w:rsidRPr="00D34F45">
        <w:rPr>
          <w:color w:val="000000" w:themeColor="text1"/>
          <w:sz w:val="20"/>
        </w:rPr>
        <w:fldChar w:fldCharType="separate"/>
      </w:r>
      <w:r w:rsidRPr="00D34F45">
        <w:rPr>
          <w:noProof/>
          <w:color w:val="000000" w:themeColor="text1"/>
          <w:sz w:val="20"/>
        </w:rPr>
        <w:t>5</w:t>
      </w:r>
      <w:r w:rsidRPr="00D34F45">
        <w:rPr>
          <w:color w:val="000000" w:themeColor="text1"/>
          <w:sz w:val="20"/>
        </w:rPr>
        <w:fldChar w:fldCharType="end"/>
      </w:r>
      <w:r w:rsidRPr="00D34F45">
        <w:rPr>
          <w:color w:val="000000" w:themeColor="text1"/>
          <w:sz w:val="20"/>
        </w:rPr>
        <w:t xml:space="preserve"> Komparace míry ekonomické aktivity obyvatelstva</w:t>
      </w:r>
      <w:bookmarkEnd w:id="75"/>
    </w:p>
    <w:p w14:paraId="419A9774" w14:textId="629AA0EE" w:rsidR="00D34F45" w:rsidRDefault="00D34F45" w:rsidP="00D34F45">
      <w:r>
        <w:rPr>
          <w:noProof/>
        </w:rPr>
        <w:drawing>
          <wp:inline distT="0" distB="0" distL="0" distR="0" wp14:anchorId="611CB0E3" wp14:editId="65C6E5CD">
            <wp:extent cx="4262511" cy="1800664"/>
            <wp:effectExtent l="0" t="0" r="24130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8CA3A98" w14:textId="0DF596D4" w:rsidR="00AB09F7" w:rsidRDefault="00AB09F7" w:rsidP="00AB09F7">
      <w:pPr>
        <w:spacing w:after="240"/>
        <w:ind w:firstLine="0"/>
        <w:rPr>
          <w:i/>
          <w:sz w:val="20"/>
        </w:rPr>
      </w:pPr>
      <w:r w:rsidRPr="00AB09F7">
        <w:rPr>
          <w:i/>
          <w:sz w:val="20"/>
        </w:rPr>
        <w:t>Zdroj: Vlastní zpracování,</w:t>
      </w:r>
    </w:p>
    <w:p w14:paraId="21A8039B" w14:textId="0886298B" w:rsidR="00AB09F7" w:rsidRPr="007B49C6" w:rsidRDefault="00AB09F7" w:rsidP="00AB09F7">
      <w:r>
        <w:t xml:space="preserve">V grafu č. 5 je komparace míry ekonomicky aktivních obyvatel mezi Olomouckým </w:t>
      </w:r>
      <w:r w:rsidR="004E0D48">
        <w:br/>
      </w:r>
      <w:r>
        <w:t xml:space="preserve">a Středočeským krajem. Modrá křivka znázorňuje ekonomicky aktivní obyvatelstvo v Olomouckém kraji a červená křivka znázorňuje ekonomicky aktivní obyvatelstvo ve Středočeském kraji. </w:t>
      </w:r>
      <w:r w:rsidR="006A5D77">
        <w:t>Z grafu č. 5 je patrné, že míra ekonomick</w:t>
      </w:r>
      <w:r w:rsidR="008755BF">
        <w:t>y aktivního obyvatelstva klesá v obou krajích.</w:t>
      </w:r>
    </w:p>
    <w:p w14:paraId="10E099EE" w14:textId="172BE9BA" w:rsidR="00DE4622" w:rsidRDefault="00B93299">
      <w:pPr>
        <w:spacing w:after="200" w:line="276" w:lineRule="auto"/>
        <w:ind w:firstLine="0"/>
        <w:jc w:val="left"/>
      </w:pPr>
      <w:r>
        <w:br w:type="page"/>
      </w:r>
    </w:p>
    <w:p w14:paraId="23EA3B22" w14:textId="5B33EA70" w:rsidR="004379BD" w:rsidRPr="006B3461" w:rsidRDefault="00327274" w:rsidP="00DC2557">
      <w:pPr>
        <w:pStyle w:val="Nadpis2"/>
        <w:numPr>
          <w:ilvl w:val="0"/>
          <w:numId w:val="0"/>
        </w:numPr>
        <w:ind w:left="426"/>
      </w:pPr>
      <w:bookmarkStart w:id="76" w:name="_Toc15889413"/>
      <w:r w:rsidRPr="006B3461">
        <w:lastRenderedPageBreak/>
        <w:t>Závěr</w:t>
      </w:r>
      <w:bookmarkEnd w:id="76"/>
    </w:p>
    <w:p w14:paraId="2CA1D8C3" w14:textId="0EC0413A" w:rsidR="00EB70BC" w:rsidRPr="00B64544" w:rsidRDefault="00EB70BC" w:rsidP="00B64544">
      <w:r w:rsidRPr="00E412EC">
        <w:t xml:space="preserve">Ve své bakalářské práci jsem definovala pojmy spjaté s nezaměstnaností. Příkladem </w:t>
      </w:r>
      <w:r w:rsidR="00EF7569" w:rsidRPr="00E412EC">
        <w:t>mohou být druhy nezaměstnanosti</w:t>
      </w:r>
      <w:r w:rsidR="00335D72" w:rsidRPr="00E412EC">
        <w:t xml:space="preserve">, </w:t>
      </w:r>
      <w:r w:rsidR="00EF7569" w:rsidRPr="00E412EC">
        <w:t>trh práce</w:t>
      </w:r>
      <w:r w:rsidR="00335D72" w:rsidRPr="00E412EC">
        <w:t xml:space="preserve">, </w:t>
      </w:r>
      <w:r w:rsidR="00FE7627" w:rsidRPr="00E412EC">
        <w:t>dynamika</w:t>
      </w:r>
      <w:r w:rsidR="00EF7569" w:rsidRPr="00E412EC">
        <w:t xml:space="preserve"> práce za pomoci </w:t>
      </w:r>
      <w:r w:rsidR="00335D72" w:rsidRPr="00E412EC">
        <w:t>B</w:t>
      </w:r>
      <w:r w:rsidR="00EF7569" w:rsidRPr="00E412EC">
        <w:t xml:space="preserve">everidgeovy </w:t>
      </w:r>
      <w:r w:rsidR="00FE7627" w:rsidRPr="00E412EC">
        <w:t>křivk</w:t>
      </w:r>
      <w:r w:rsidR="004379BD" w:rsidRPr="00E412EC">
        <w:t>y.</w:t>
      </w:r>
      <w:r w:rsidR="00B64544">
        <w:t xml:space="preserve"> </w:t>
      </w:r>
      <w:r w:rsidR="00EF7569" w:rsidRPr="00E412EC">
        <w:t>Dále jsem se zaměřila na</w:t>
      </w:r>
      <w:r w:rsidR="00335D72" w:rsidRPr="00E412EC">
        <w:t xml:space="preserve"> </w:t>
      </w:r>
      <w:proofErr w:type="spellStart"/>
      <w:r w:rsidR="00335D72" w:rsidRPr="00E412EC">
        <w:t>P</w:t>
      </w:r>
      <w:r w:rsidR="00EF7569" w:rsidRPr="00E412EC">
        <w:t>hillipsovu</w:t>
      </w:r>
      <w:proofErr w:type="spellEnd"/>
      <w:r w:rsidR="00EF7569" w:rsidRPr="00E412EC">
        <w:t xml:space="preserve"> křivku</w:t>
      </w:r>
      <w:r w:rsidR="004379BD" w:rsidRPr="00E412EC">
        <w:t>,</w:t>
      </w:r>
      <w:r w:rsidR="00EF7569" w:rsidRPr="00E412EC">
        <w:t xml:space="preserve"> na výpočet průměrného příjmu. </w:t>
      </w:r>
      <w:r w:rsidR="004379BD" w:rsidRPr="00E412EC">
        <w:t>D</w:t>
      </w:r>
      <w:r w:rsidR="007F4070" w:rsidRPr="00E412EC">
        <w:t xml:space="preserve">efinovala </w:t>
      </w:r>
      <w:r w:rsidR="004379BD" w:rsidRPr="00E412EC">
        <w:t xml:space="preserve">jsem </w:t>
      </w:r>
      <w:r w:rsidR="007F4070" w:rsidRPr="00E412EC">
        <w:t xml:space="preserve">pojem zaměstnanost, která momentálně na trhu práce vzniká. S plnou zaměstnaností </w:t>
      </w:r>
      <w:r w:rsidR="00246E43" w:rsidRPr="00E412EC">
        <w:t xml:space="preserve">vzniká </w:t>
      </w:r>
      <w:r w:rsidR="007F4070" w:rsidRPr="00E412EC">
        <w:t>mnoho problémů, stejně jako s</w:t>
      </w:r>
      <w:r w:rsidR="000F395D">
        <w:t> </w:t>
      </w:r>
      <w:r w:rsidR="007F4070" w:rsidRPr="00E412EC">
        <w:t>nezaměstnaností</w:t>
      </w:r>
      <w:r w:rsidR="000F395D">
        <w:t>.</w:t>
      </w:r>
    </w:p>
    <w:p w14:paraId="58058DE6" w14:textId="79420220" w:rsidR="00454BAB" w:rsidRPr="00E412EC" w:rsidRDefault="00E412EC" w:rsidP="00EB70BC">
      <w:r w:rsidRPr="00E412EC">
        <w:t>V</w:t>
      </w:r>
      <w:r w:rsidR="00335D72" w:rsidRPr="00E412EC">
        <w:t xml:space="preserve"> </w:t>
      </w:r>
      <w:r w:rsidR="00246E43" w:rsidRPr="00E412EC">
        <w:t xml:space="preserve">bakalářské </w:t>
      </w:r>
      <w:r w:rsidR="00111B6D" w:rsidRPr="00E412EC">
        <w:t xml:space="preserve">práci jsem </w:t>
      </w:r>
      <w:r w:rsidR="00246E43" w:rsidRPr="00E412EC">
        <w:t>s</w:t>
      </w:r>
      <w:r w:rsidR="00111B6D" w:rsidRPr="00E412EC">
        <w:t>hrnula základní informace o porovnávaných krajích. Dále jsem provedla komparaci těchto dvou krajů. První komparaci jsem vytvořila na základě vývoje obecné míry nezamě</w:t>
      </w:r>
      <w:r w:rsidRPr="00E412EC">
        <w:t xml:space="preserve">stnanosti v období </w:t>
      </w:r>
      <w:r w:rsidR="009E32A8">
        <w:t>2013-</w:t>
      </w:r>
      <w:r w:rsidRPr="00E412EC">
        <w:t xml:space="preserve">2017. </w:t>
      </w:r>
      <w:r w:rsidR="00246E43" w:rsidRPr="00E412EC">
        <w:t xml:space="preserve">Následovala komparace </w:t>
      </w:r>
      <w:r w:rsidR="00111B6D" w:rsidRPr="00E412EC">
        <w:t xml:space="preserve">průměrné měsíční mzdy v obou krajích za zaměstnance a </w:t>
      </w:r>
      <w:r w:rsidRPr="00E412EC">
        <w:t>z</w:t>
      </w:r>
      <w:r w:rsidR="000F395D">
        <w:t>a</w:t>
      </w:r>
      <w:r w:rsidR="00246E43" w:rsidRPr="00E412EC">
        <w:t xml:space="preserve"> </w:t>
      </w:r>
      <w:r w:rsidR="00111B6D" w:rsidRPr="00E412EC">
        <w:t xml:space="preserve">fyzické osoby. </w:t>
      </w:r>
      <w:r w:rsidR="000B5F68" w:rsidRPr="00E412EC">
        <w:t>Dále jsem srovnala vývoj mediánu mezd v Olomo</w:t>
      </w:r>
      <w:r w:rsidR="00711FA0">
        <w:t>uckém a Středočeském kraji. Na závěr jsem porovnala míru ekonomicky aktivních</w:t>
      </w:r>
      <w:r w:rsidR="000B23B4">
        <w:t xml:space="preserve"> obyvatel mezi vybranými kraji.</w:t>
      </w:r>
    </w:p>
    <w:p w14:paraId="5C3CCFC4" w14:textId="6AE9C1E3" w:rsidR="00387CE3" w:rsidRDefault="003C150D" w:rsidP="00ED3C3D">
      <w:r w:rsidRPr="00E412EC">
        <w:t>V Olomouckém kraji</w:t>
      </w:r>
      <w:r w:rsidR="00246E43" w:rsidRPr="00E412EC">
        <w:t xml:space="preserve"> dosahuje</w:t>
      </w:r>
      <w:r w:rsidRPr="00E412EC">
        <w:t xml:space="preserve"> </w:t>
      </w:r>
      <w:r w:rsidR="00246E43" w:rsidRPr="00E412EC">
        <w:t xml:space="preserve">výše </w:t>
      </w:r>
      <w:r w:rsidRPr="00E412EC">
        <w:t>obecné míry nezaměstnanosti</w:t>
      </w:r>
      <w:r w:rsidR="00FE7627" w:rsidRPr="00E412EC">
        <w:t xml:space="preserve"> vyšší</w:t>
      </w:r>
      <w:r w:rsidR="00246E43" w:rsidRPr="00E412EC">
        <w:t>ch</w:t>
      </w:r>
      <w:r w:rsidR="00FE7627" w:rsidRPr="00E412EC">
        <w:t xml:space="preserve"> </w:t>
      </w:r>
      <w:r w:rsidR="00246E43" w:rsidRPr="00E412EC">
        <w:t xml:space="preserve">hodnot </w:t>
      </w:r>
      <w:r w:rsidRPr="00E412EC">
        <w:t>než ve Středočeském kraji.</w:t>
      </w:r>
      <w:r w:rsidR="00711FA0">
        <w:t xml:space="preserve"> Protože ve Středočeském kraji je více pracovních nabídek pro zaměstnance.</w:t>
      </w:r>
      <w:r w:rsidRPr="00E412EC">
        <w:t xml:space="preserve"> Průměrné mzdy a medián mezd je v Olomouckém kraji nižší než ve Středočeském kraji.</w:t>
      </w:r>
      <w:r w:rsidR="00711FA0">
        <w:t xml:space="preserve"> V obou krajích mzdy a medián mezd každým </w:t>
      </w:r>
      <w:r w:rsidR="000B23B4">
        <w:t>rokem vzrůstá, protože roste inflace.</w:t>
      </w:r>
      <w:r w:rsidRPr="00E412EC">
        <w:t xml:space="preserve"> </w:t>
      </w:r>
      <w:r w:rsidR="00925873">
        <w:t>V p</w:t>
      </w:r>
      <w:r w:rsidR="00120282">
        <w:t>ředposlední</w:t>
      </w:r>
      <w:r w:rsidR="00925873">
        <w:t xml:space="preserve"> komparaci byl srovnán vývoj uchazečů na úřadu práce ve vybraných krajích, kdy jsem zjistila, že ve Středočeském kraji je více uchazečů o zaměstnání než v Olomouckém kraji.</w:t>
      </w:r>
      <w:r w:rsidR="000B23B4">
        <w:t xml:space="preserve"> Protože ve Středočeském kraji je více obyvatel než v Olomouckém kraji. V poslední </w:t>
      </w:r>
      <w:r w:rsidR="00443DEE">
        <w:t xml:space="preserve">komparaci jsem porovnala míru ekonomicky aktivních </w:t>
      </w:r>
      <w:r w:rsidR="00C209FB">
        <w:t>obyva</w:t>
      </w:r>
      <w:r w:rsidR="007412F7">
        <w:t>tel mezi porovnávanými</w:t>
      </w:r>
      <w:r w:rsidR="00C209FB">
        <w:t xml:space="preserve"> kraji.</w:t>
      </w:r>
      <w:r w:rsidR="0093103B">
        <w:t xml:space="preserve"> Oba porovnávané kraje vykazují stejný trend, ve kterém ekonomická aktivita obyvatel klesá</w:t>
      </w:r>
      <w:r w:rsidR="00F2401B">
        <w:t>. I když Středočeský kraj je větší a má lepší pracovní podmínky než Olomoucký kraj</w:t>
      </w:r>
      <w:r w:rsidR="00ED3C3D">
        <w:t>,</w:t>
      </w:r>
      <w:r w:rsidR="00F2401B">
        <w:t xml:space="preserve"> ve všech komparacích dochází v porovnávaných krajích ke stejnému trendu. (Při komparaci obecné míry nezaměstnanosti se obecná míra </w:t>
      </w:r>
      <w:r w:rsidR="00C74981">
        <w:t>nezaměstnanosti v obou krajích snižuje</w:t>
      </w:r>
      <w:r w:rsidR="00FB5A6F">
        <w:t>. Při komparaci</w:t>
      </w:r>
      <w:r w:rsidR="00187777">
        <w:t xml:space="preserve"> průměrných mezd a mediánu mez</w:t>
      </w:r>
      <w:r w:rsidR="00ED3C3D">
        <w:t>d se mzdy v obou krajích zvyšují</w:t>
      </w:r>
      <w:r w:rsidR="00187777">
        <w:t xml:space="preserve">. Počet uchazečů na úřadu práce klesá v obou </w:t>
      </w:r>
      <w:r w:rsidR="00387CE3">
        <w:t>regionech</w:t>
      </w:r>
      <w:r w:rsidR="00187777">
        <w:t xml:space="preserve">. Míra ekonomicky aktivního obyvatelstva klesá </w:t>
      </w:r>
      <w:r w:rsidR="00387CE3">
        <w:t xml:space="preserve">v obou krajích.) Na závěr práce navrhuji řešení, které by pomohlo změnit problémy ve vývoji ekonomiky. Podniky ve vybraných krajích by měly usilovat o zvýšení povolené doby při pobytu cizinců, kteří přijeli do České republiky vydělat peníze, protože by firmy mohly získat nové pracovníky s potřebnými kvalifikacemi </w:t>
      </w:r>
      <w:r w:rsidR="004E0D48">
        <w:br/>
      </w:r>
      <w:r w:rsidR="00387CE3">
        <w:t xml:space="preserve">a zkušenostmi. </w:t>
      </w:r>
      <w:r w:rsidR="00387CE3" w:rsidRPr="00D5018D">
        <w:t xml:space="preserve">Dalším vhodným řešením, které se týká vybraných krajů, je zvýšit </w:t>
      </w:r>
      <w:r w:rsidR="00D5018D" w:rsidRPr="00D5018D">
        <w:t>dávky</w:t>
      </w:r>
      <w:r w:rsidR="00387CE3" w:rsidRPr="00D5018D">
        <w:t xml:space="preserve"> na mateřských dovolených a podporovat rodiny s dětmi. Jestliže budou podniky podporovat rodiny s dětmi, budou si moci rodiny pořídit více dětí a na trhu práce ve vybraných krajích </w:t>
      </w:r>
      <w:r w:rsidR="00D5018D" w:rsidRPr="00D5018D">
        <w:lastRenderedPageBreak/>
        <w:t>vzroste</w:t>
      </w:r>
      <w:r w:rsidR="00387CE3" w:rsidRPr="00D5018D">
        <w:t xml:space="preserve"> pracovní</w:t>
      </w:r>
      <w:r w:rsidR="00D5018D" w:rsidRPr="00D5018D">
        <w:t xml:space="preserve"> síla</w:t>
      </w:r>
      <w:r w:rsidR="00387CE3" w:rsidRPr="00D5018D">
        <w:t xml:space="preserve"> pro podniky a zamezí se neustálému stoupání poptávky po pracovní síle. Firmy ve Středočeském a Olomouckém kraji by měly zvýšit platy jedincům, protože lidé s praxí odchází do sousedních států, kde za svoji práci získají větší důchody.</w:t>
      </w:r>
    </w:p>
    <w:p w14:paraId="6D36AEC9" w14:textId="5FC5A32B" w:rsidR="003C150D" w:rsidRPr="00EB70BC" w:rsidRDefault="00D5018D" w:rsidP="00B64544">
      <w:r>
        <w:t xml:space="preserve">Pokud k </w:t>
      </w:r>
      <w:r w:rsidR="00A5651B" w:rsidRPr="00E412EC">
        <w:t> navrhovanému řešení nedojde,</w:t>
      </w:r>
      <w:r w:rsidR="004D0FB0" w:rsidRPr="00E412EC">
        <w:t xml:space="preserve"> případně nevznikne jiné</w:t>
      </w:r>
      <w:r w:rsidR="00FE7627" w:rsidRPr="00E412EC">
        <w:t xml:space="preserve"> lepší</w:t>
      </w:r>
      <w:r w:rsidR="002769F5">
        <w:t xml:space="preserve"> řešení, lz</w:t>
      </w:r>
      <w:r w:rsidR="00A5651B" w:rsidRPr="00E412EC">
        <w:t>e v</w:t>
      </w:r>
      <w:r w:rsidR="002769F5">
        <w:t> budoucích</w:t>
      </w:r>
      <w:r w:rsidR="00246E43" w:rsidRPr="00E412EC">
        <w:t xml:space="preserve"> letech </w:t>
      </w:r>
      <w:r w:rsidR="002769F5">
        <w:t>se obávat d</w:t>
      </w:r>
      <w:r w:rsidR="002769F5" w:rsidRPr="00E412EC">
        <w:t>alší ekonomické kr</w:t>
      </w:r>
      <w:r w:rsidR="002769F5">
        <w:t>ize</w:t>
      </w:r>
      <w:r w:rsidR="00A5651B" w:rsidRPr="00E412EC">
        <w:t>.</w:t>
      </w:r>
      <w:r w:rsidR="003C150D">
        <w:t xml:space="preserve"> </w:t>
      </w:r>
      <w:r w:rsidR="00925873">
        <w:t xml:space="preserve">Protože na trhu práce je malý počet zaměstnanců, obecná míra nezaměstnanosti se snižuje a mzdy v obou krajích se zvyšují </w:t>
      </w:r>
      <w:r w:rsidR="004E0D48">
        <w:br/>
      </w:r>
      <w:r w:rsidR="00925873">
        <w:t>a podnik</w:t>
      </w:r>
      <w:r w:rsidR="00694952">
        <w:t>y nemají peníze na vyplácení</w:t>
      </w:r>
      <w:r w:rsidR="00C75928">
        <w:t xml:space="preserve"> velkých mezd.</w:t>
      </w:r>
    </w:p>
    <w:p w14:paraId="5448475E" w14:textId="1E52FFF6" w:rsidR="00BA6FDD" w:rsidRDefault="009C15F4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516AB5B2" w14:textId="347C17E2" w:rsidR="0067102A" w:rsidRPr="006B3461" w:rsidRDefault="00F35E3C" w:rsidP="00DC2557">
      <w:pPr>
        <w:pStyle w:val="Nadpis2"/>
        <w:numPr>
          <w:ilvl w:val="0"/>
          <w:numId w:val="0"/>
        </w:numPr>
        <w:ind w:left="426"/>
      </w:pPr>
      <w:bookmarkStart w:id="77" w:name="_Toc15889414"/>
      <w:r w:rsidRPr="006B3461">
        <w:lastRenderedPageBreak/>
        <w:t>Knižní zdroje</w:t>
      </w:r>
      <w:bookmarkEnd w:id="77"/>
    </w:p>
    <w:p w14:paraId="0930EC38" w14:textId="77777777" w:rsidR="00D33F24" w:rsidRPr="00D33F24" w:rsidRDefault="00D33F24" w:rsidP="00071FF9">
      <w:pPr>
        <w:spacing w:line="240" w:lineRule="auto"/>
        <w:ind w:firstLine="0"/>
      </w:pPr>
      <w:r w:rsidRPr="00D33F24">
        <w:t xml:space="preserve">BERÁNEK, Jaromír. </w:t>
      </w:r>
      <w:r w:rsidRPr="00D33F24">
        <w:rPr>
          <w:i/>
          <w:iCs/>
        </w:rPr>
        <w:t>Ekonomika cestovního ruchu</w:t>
      </w:r>
      <w:r w:rsidRPr="00D33F24">
        <w:t xml:space="preserve">. Praha: Mag </w:t>
      </w:r>
      <w:proofErr w:type="spellStart"/>
      <w:r w:rsidRPr="00D33F24">
        <w:t>Consulting</w:t>
      </w:r>
      <w:proofErr w:type="spellEnd"/>
      <w:r w:rsidRPr="00D33F24">
        <w:t>, 2013. ISBN 978-80-86724-46-1.</w:t>
      </w:r>
    </w:p>
    <w:p w14:paraId="1433A3C6" w14:textId="77777777" w:rsidR="00C43EA3" w:rsidRDefault="00C43EA3" w:rsidP="00071FF9">
      <w:pPr>
        <w:spacing w:line="240" w:lineRule="auto"/>
        <w:ind w:firstLine="0"/>
      </w:pPr>
    </w:p>
    <w:p w14:paraId="1C1E9B94" w14:textId="77777777" w:rsidR="007D0842" w:rsidRDefault="007D0842" w:rsidP="00071FF9">
      <w:pPr>
        <w:ind w:firstLine="0"/>
      </w:pPr>
      <w:r w:rsidRPr="00814DFC">
        <w:t xml:space="preserve">JUREČKA, Václav. </w:t>
      </w:r>
      <w:r w:rsidRPr="00814DFC">
        <w:rPr>
          <w:i/>
          <w:iCs/>
        </w:rPr>
        <w:t>Makroekonomie</w:t>
      </w:r>
      <w:r w:rsidRPr="00814DFC">
        <w:t xml:space="preserve">. 3., aktualizované a rozšířené vydání. Praha: </w:t>
      </w:r>
      <w:proofErr w:type="spellStart"/>
      <w:r w:rsidRPr="00814DFC">
        <w:t>Grada</w:t>
      </w:r>
      <w:proofErr w:type="spellEnd"/>
      <w:r w:rsidRPr="00814DFC">
        <w:t xml:space="preserve"> </w:t>
      </w:r>
      <w:proofErr w:type="spellStart"/>
      <w:r w:rsidRPr="00814DFC">
        <w:t>Publishing</w:t>
      </w:r>
      <w:proofErr w:type="spellEnd"/>
      <w:r w:rsidRPr="00814DFC">
        <w:t>, 2017. Expert (</w:t>
      </w:r>
      <w:proofErr w:type="spellStart"/>
      <w:r w:rsidRPr="00814DFC">
        <w:t>Grada</w:t>
      </w:r>
      <w:proofErr w:type="spellEnd"/>
      <w:r w:rsidRPr="00814DFC">
        <w:t>). ISBN 978-80-271-0251-8.</w:t>
      </w:r>
    </w:p>
    <w:p w14:paraId="5D433C87" w14:textId="77777777" w:rsidR="007D0842" w:rsidRDefault="007D0842" w:rsidP="00071FF9">
      <w:pPr>
        <w:ind w:firstLine="0"/>
      </w:pPr>
    </w:p>
    <w:p w14:paraId="7775F6FC" w14:textId="77957B2F" w:rsidR="007D0842" w:rsidRPr="007D0842" w:rsidRDefault="007D0842" w:rsidP="00071FF9">
      <w:pPr>
        <w:spacing w:line="240" w:lineRule="auto"/>
        <w:ind w:firstLine="0"/>
      </w:pPr>
      <w:r w:rsidRPr="007D0842">
        <w:t xml:space="preserve">JUREČKA, Václav. </w:t>
      </w:r>
      <w:r w:rsidRPr="007D0842">
        <w:rPr>
          <w:i/>
          <w:iCs/>
        </w:rPr>
        <w:t>Mikroekonomie: 3.</w:t>
      </w:r>
      <w:r w:rsidR="000F395D">
        <w:rPr>
          <w:i/>
          <w:iCs/>
        </w:rPr>
        <w:t xml:space="preserve"> </w:t>
      </w:r>
      <w:r w:rsidRPr="007D0842">
        <w:rPr>
          <w:i/>
          <w:iCs/>
        </w:rPr>
        <w:t>aktualizované vydání</w:t>
      </w:r>
      <w:r w:rsidRPr="007D0842">
        <w:t xml:space="preserve">. 3., aktualizované a rozšířené vydání. Praha: </w:t>
      </w:r>
      <w:proofErr w:type="spellStart"/>
      <w:r w:rsidRPr="007D0842">
        <w:t>Grada</w:t>
      </w:r>
      <w:proofErr w:type="spellEnd"/>
      <w:r w:rsidRPr="007D0842">
        <w:t xml:space="preserve"> </w:t>
      </w:r>
      <w:proofErr w:type="spellStart"/>
      <w:r w:rsidRPr="007D0842">
        <w:t>Publishing</w:t>
      </w:r>
      <w:proofErr w:type="spellEnd"/>
      <w:r w:rsidRPr="007D0842">
        <w:t>, 2018. Expert (</w:t>
      </w:r>
      <w:proofErr w:type="spellStart"/>
      <w:r w:rsidRPr="007D0842">
        <w:t>Grada</w:t>
      </w:r>
      <w:proofErr w:type="spellEnd"/>
      <w:r w:rsidRPr="007D0842">
        <w:t>). ISBN 978-80-271-0146-7.</w:t>
      </w:r>
    </w:p>
    <w:p w14:paraId="039109A0" w14:textId="77777777" w:rsidR="007D0842" w:rsidRDefault="007D0842" w:rsidP="00071FF9">
      <w:pPr>
        <w:ind w:firstLine="0"/>
      </w:pPr>
    </w:p>
    <w:p w14:paraId="6A152618" w14:textId="3DBDD4AC" w:rsidR="00E77F2E" w:rsidRPr="00E77F2E" w:rsidRDefault="00E77F2E" w:rsidP="00E77F2E">
      <w:pPr>
        <w:spacing w:line="240" w:lineRule="auto"/>
        <w:ind w:firstLine="0"/>
        <w:jc w:val="left"/>
      </w:pPr>
      <w:r w:rsidRPr="00E77F2E">
        <w:t xml:space="preserve">KEŘKOVSKÝ, Miloslav a Jiří LUŇÁČEK. </w:t>
      </w:r>
      <w:r w:rsidRPr="00E77F2E">
        <w:rPr>
          <w:i/>
          <w:iCs/>
        </w:rPr>
        <w:t>Úvod do mikroekonomie: s využitím prvků distančního studia</w:t>
      </w:r>
      <w:r w:rsidRPr="00E77F2E">
        <w:t>. V Praze: C.</w:t>
      </w:r>
      <w:r w:rsidR="006228CB">
        <w:t xml:space="preserve"> </w:t>
      </w:r>
      <w:r w:rsidRPr="00E77F2E">
        <w:t>H. Beck, 2012. Beckovy ekonomické učebnice. ISBN 978-80-7179-365-6.</w:t>
      </w:r>
    </w:p>
    <w:p w14:paraId="74443A32" w14:textId="77777777" w:rsidR="00E77F2E" w:rsidRDefault="00E77F2E" w:rsidP="00071FF9">
      <w:pPr>
        <w:ind w:firstLine="0"/>
      </w:pPr>
    </w:p>
    <w:p w14:paraId="6E2AFE23" w14:textId="77777777" w:rsidR="00B454D6" w:rsidRDefault="00B454D6" w:rsidP="00071FF9">
      <w:pPr>
        <w:spacing w:line="240" w:lineRule="auto"/>
        <w:ind w:firstLine="0"/>
      </w:pPr>
      <w:r w:rsidRPr="00B454D6">
        <w:t xml:space="preserve">LIPOVSKÁ, Hana. </w:t>
      </w:r>
      <w:r w:rsidRPr="00B454D6">
        <w:rPr>
          <w:i/>
          <w:iCs/>
        </w:rPr>
        <w:t>Moderní ekonomie: jednoduše o všem, co byste měli vědět</w:t>
      </w:r>
      <w:r w:rsidRPr="00B454D6">
        <w:t xml:space="preserve">. Praha: </w:t>
      </w:r>
      <w:proofErr w:type="spellStart"/>
      <w:r w:rsidRPr="00B454D6">
        <w:t>Grada</w:t>
      </w:r>
      <w:proofErr w:type="spellEnd"/>
      <w:r w:rsidRPr="00B454D6">
        <w:t>, 2017. ISBN 978-80-271-0120-7.</w:t>
      </w:r>
    </w:p>
    <w:p w14:paraId="02647BB4" w14:textId="77777777" w:rsidR="00C92B26" w:rsidRDefault="00C92B26" w:rsidP="00071FF9">
      <w:pPr>
        <w:spacing w:line="240" w:lineRule="auto"/>
        <w:ind w:firstLine="0"/>
      </w:pPr>
    </w:p>
    <w:p w14:paraId="63EA6CF3" w14:textId="77777777" w:rsidR="00583D78" w:rsidRDefault="00C92B26" w:rsidP="00071FF9">
      <w:pPr>
        <w:spacing w:line="240" w:lineRule="auto"/>
        <w:ind w:firstLine="0"/>
      </w:pPr>
      <w:r w:rsidRPr="00C92B26">
        <w:t xml:space="preserve">MANKIW, N. Gregory. </w:t>
      </w:r>
      <w:r w:rsidRPr="00C92B26">
        <w:rPr>
          <w:i/>
          <w:iCs/>
        </w:rPr>
        <w:t>Zásady ekonomie</w:t>
      </w:r>
      <w:r w:rsidRPr="00C92B26">
        <w:t xml:space="preserve">. Praha: </w:t>
      </w:r>
      <w:proofErr w:type="spellStart"/>
      <w:r w:rsidRPr="00C92B26">
        <w:t>Grada</w:t>
      </w:r>
      <w:proofErr w:type="spellEnd"/>
      <w:r w:rsidRPr="00C92B26">
        <w:t>, 1999. P</w:t>
      </w:r>
      <w:r w:rsidR="00C43EA3">
        <w:t>rofesionál. ISBN 80-716-9891-1.</w:t>
      </w:r>
    </w:p>
    <w:p w14:paraId="336287D6" w14:textId="77777777" w:rsidR="001519D1" w:rsidRDefault="001519D1" w:rsidP="00071FF9">
      <w:pPr>
        <w:ind w:firstLine="0"/>
      </w:pPr>
    </w:p>
    <w:p w14:paraId="6601FA40" w14:textId="77777777" w:rsidR="00583D78" w:rsidRDefault="0046394D" w:rsidP="00071FF9">
      <w:pPr>
        <w:ind w:firstLine="0"/>
      </w:pPr>
      <w:r w:rsidRPr="000F41BC">
        <w:t xml:space="preserve">ROJÍČEK, Marek, Vojtěch SPĚVÁČEK, Jan VEJMĚLEK, Eva ZAMRAZILOVÁ a Václav ŽĎÁREK. </w:t>
      </w:r>
      <w:r w:rsidRPr="000F41BC">
        <w:rPr>
          <w:i/>
          <w:iCs/>
        </w:rPr>
        <w:t>Makroekonomická analýza: teorie a praxe</w:t>
      </w:r>
      <w:r w:rsidRPr="000F41BC">
        <w:t xml:space="preserve">. Praha: </w:t>
      </w:r>
      <w:proofErr w:type="spellStart"/>
      <w:r w:rsidRPr="000F41BC">
        <w:t>Grada</w:t>
      </w:r>
      <w:proofErr w:type="spellEnd"/>
      <w:r w:rsidRPr="000F41BC">
        <w:t xml:space="preserve"> </w:t>
      </w:r>
      <w:proofErr w:type="spellStart"/>
      <w:r w:rsidRPr="000F41BC">
        <w:t>Publishing</w:t>
      </w:r>
      <w:proofErr w:type="spellEnd"/>
      <w:r w:rsidRPr="000F41BC">
        <w:t>, 2016. Expert (</w:t>
      </w:r>
      <w:proofErr w:type="spellStart"/>
      <w:r w:rsidRPr="000F41BC">
        <w:t>Grada</w:t>
      </w:r>
      <w:proofErr w:type="spellEnd"/>
      <w:r w:rsidRPr="000F41BC">
        <w:t>). ISBN 978-80-247-</w:t>
      </w:r>
      <w:r>
        <w:t>5858-9</w:t>
      </w:r>
      <w:r w:rsidRPr="000F41BC">
        <w:t>.</w:t>
      </w:r>
    </w:p>
    <w:p w14:paraId="4488950F" w14:textId="77777777" w:rsidR="00BB1939" w:rsidRDefault="00BB1939" w:rsidP="00071FF9">
      <w:pPr>
        <w:ind w:firstLine="0"/>
      </w:pPr>
    </w:p>
    <w:p w14:paraId="245A35EA" w14:textId="77777777" w:rsidR="00BB1939" w:rsidRDefault="00BB1939" w:rsidP="00BB1939">
      <w:pPr>
        <w:spacing w:line="240" w:lineRule="auto"/>
        <w:ind w:firstLine="0"/>
      </w:pPr>
      <w:r w:rsidRPr="005D607E">
        <w:t xml:space="preserve">SCHILLER, </w:t>
      </w:r>
      <w:proofErr w:type="spellStart"/>
      <w:r w:rsidRPr="005D607E">
        <w:t>Bradley</w:t>
      </w:r>
      <w:proofErr w:type="spellEnd"/>
      <w:r w:rsidRPr="005D607E">
        <w:t xml:space="preserve"> R. </w:t>
      </w:r>
      <w:r w:rsidRPr="005D607E">
        <w:rPr>
          <w:i/>
          <w:iCs/>
        </w:rPr>
        <w:t>Makroekonomie dnes</w:t>
      </w:r>
      <w:r w:rsidRPr="005D607E">
        <w:t xml:space="preserve">. Brno: </w:t>
      </w:r>
      <w:proofErr w:type="spellStart"/>
      <w:r w:rsidRPr="005D607E">
        <w:t>Computer</w:t>
      </w:r>
      <w:proofErr w:type="spellEnd"/>
      <w:r w:rsidRPr="005D607E">
        <w:t xml:space="preserve"> </w:t>
      </w:r>
      <w:proofErr w:type="spellStart"/>
      <w:r w:rsidRPr="005D607E">
        <w:t>Press</w:t>
      </w:r>
      <w:proofErr w:type="spellEnd"/>
      <w:r w:rsidRPr="005D607E">
        <w:t xml:space="preserve">, 2004. Business </w:t>
      </w:r>
      <w:proofErr w:type="spellStart"/>
      <w:r w:rsidRPr="005D607E">
        <w:t>books</w:t>
      </w:r>
      <w:proofErr w:type="spellEnd"/>
      <w:r w:rsidRPr="005D607E">
        <w:t xml:space="preserve"> (</w:t>
      </w:r>
      <w:proofErr w:type="spellStart"/>
      <w:r w:rsidRPr="005D607E">
        <w:t>Computer</w:t>
      </w:r>
      <w:proofErr w:type="spellEnd"/>
      <w:r w:rsidRPr="005D607E">
        <w:t xml:space="preserve"> </w:t>
      </w:r>
      <w:proofErr w:type="spellStart"/>
      <w:r w:rsidRPr="005D607E">
        <w:t>Press</w:t>
      </w:r>
      <w:proofErr w:type="spellEnd"/>
      <w:r w:rsidRPr="005D607E">
        <w:t>). ISBN 80-251-0169-X.</w:t>
      </w:r>
    </w:p>
    <w:p w14:paraId="33D31991" w14:textId="77777777" w:rsidR="00BB1939" w:rsidRPr="005D607E" w:rsidRDefault="00BB1939" w:rsidP="00BB1939">
      <w:pPr>
        <w:spacing w:line="240" w:lineRule="auto"/>
        <w:ind w:firstLine="0"/>
      </w:pPr>
    </w:p>
    <w:p w14:paraId="5E106D81" w14:textId="77777777" w:rsidR="001519D1" w:rsidRDefault="001519D1" w:rsidP="00071FF9">
      <w:pPr>
        <w:ind w:firstLine="0"/>
      </w:pPr>
      <w:r w:rsidRPr="00BA3186">
        <w:t xml:space="preserve">SOUKUP, Jindřich. </w:t>
      </w:r>
      <w:r w:rsidRPr="00BA3186">
        <w:rPr>
          <w:i/>
          <w:iCs/>
        </w:rPr>
        <w:t>Zdroje a perspektivy evropských ekonomik na počátku 21. století v kontextu soudobé globalizace</w:t>
      </w:r>
      <w:r w:rsidRPr="00BA3186">
        <w:t xml:space="preserve">. Praha: Management </w:t>
      </w:r>
      <w:proofErr w:type="spellStart"/>
      <w:r w:rsidRPr="00BA3186">
        <w:t>Press</w:t>
      </w:r>
      <w:proofErr w:type="spellEnd"/>
      <w:r w:rsidRPr="00BA3186">
        <w:t>, 2015. ISBN 978-80-7261-281-9.</w:t>
      </w:r>
    </w:p>
    <w:p w14:paraId="64A84B24" w14:textId="77777777" w:rsidR="00F23BF2" w:rsidRDefault="00F23BF2" w:rsidP="00071FF9">
      <w:pPr>
        <w:spacing w:line="240" w:lineRule="auto"/>
        <w:ind w:firstLine="0"/>
      </w:pPr>
    </w:p>
    <w:p w14:paraId="275794C6" w14:textId="77777777" w:rsidR="00F455F3" w:rsidRPr="00F455F3" w:rsidRDefault="00F455F3" w:rsidP="00071FF9">
      <w:pPr>
        <w:spacing w:line="240" w:lineRule="auto"/>
        <w:ind w:firstLine="0"/>
      </w:pPr>
      <w:r w:rsidRPr="00F455F3">
        <w:t xml:space="preserve">ŽÁK, Milan. </w:t>
      </w:r>
      <w:r w:rsidRPr="00F455F3">
        <w:rPr>
          <w:i/>
          <w:iCs/>
        </w:rPr>
        <w:t>Hospodářská politika</w:t>
      </w:r>
      <w:r w:rsidRPr="00F455F3">
        <w:t>. Praha: Vysoká škola ekonomie a managementu, 2006. ISBN 80-867-3004-2.</w:t>
      </w:r>
    </w:p>
    <w:p w14:paraId="548253EA" w14:textId="7BACCFCE" w:rsidR="00F35E3C" w:rsidRDefault="00F35E3C" w:rsidP="00071FF9">
      <w:pPr>
        <w:spacing w:after="200" w:line="276" w:lineRule="auto"/>
        <w:ind w:firstLine="0"/>
      </w:pPr>
      <w:r>
        <w:br w:type="page"/>
      </w:r>
    </w:p>
    <w:p w14:paraId="3D7D022D" w14:textId="17AD0BD3" w:rsidR="009B2DEC" w:rsidRDefault="009B2DEC" w:rsidP="00DC2557">
      <w:pPr>
        <w:pStyle w:val="Nadpis2"/>
        <w:numPr>
          <w:ilvl w:val="0"/>
          <w:numId w:val="0"/>
        </w:numPr>
        <w:ind w:left="426"/>
      </w:pPr>
      <w:bookmarkStart w:id="78" w:name="_Toc15889415"/>
      <w:r w:rsidRPr="009B2DEC">
        <w:lastRenderedPageBreak/>
        <w:t>Internetové zdroje</w:t>
      </w:r>
      <w:bookmarkEnd w:id="78"/>
    </w:p>
    <w:p w14:paraId="6672AE49" w14:textId="6C37E1AC" w:rsidR="00184FE0" w:rsidRPr="00184FE0" w:rsidRDefault="00184FE0" w:rsidP="00184FE0">
      <w:pPr>
        <w:spacing w:line="240" w:lineRule="auto"/>
        <w:ind w:firstLine="0"/>
        <w:jc w:val="left"/>
      </w:pPr>
      <w:proofErr w:type="spellStart"/>
      <w:r w:rsidRPr="00184FE0">
        <w:rPr>
          <w:i/>
          <w:iCs/>
        </w:rPr>
        <w:t>Accountes</w:t>
      </w:r>
      <w:proofErr w:type="spellEnd"/>
      <w:r w:rsidRPr="00184FE0">
        <w:t xml:space="preserve"> [online]. Brno, 2014</w:t>
      </w:r>
      <w:r>
        <w:t xml:space="preserve"> [cit. 2019-08-02]. Dostupné z:</w:t>
      </w:r>
      <w:r w:rsidRPr="00184FE0">
        <w:t>https://www.zakonyprolidi.cz/cs/2012-89?text=%C2%A7420</w:t>
      </w:r>
    </w:p>
    <w:p w14:paraId="3412794A" w14:textId="77777777" w:rsidR="00184FE0" w:rsidRPr="00184FE0" w:rsidRDefault="00184FE0" w:rsidP="00184FE0">
      <w:pPr>
        <w:ind w:firstLine="0"/>
      </w:pPr>
    </w:p>
    <w:p w14:paraId="1915B867" w14:textId="1AB5FA04" w:rsidR="009B2DEC" w:rsidRDefault="009B2DEC" w:rsidP="009B2DEC">
      <w:pPr>
        <w:spacing w:line="240" w:lineRule="auto"/>
        <w:ind w:firstLine="0"/>
        <w:jc w:val="left"/>
      </w:pPr>
      <w:r w:rsidRPr="009B2DEC">
        <w:rPr>
          <w:i/>
          <w:iCs/>
        </w:rPr>
        <w:t>BusinessInfo.cz</w:t>
      </w:r>
      <w:r w:rsidRPr="009B2DEC">
        <w:t xml:space="preserve"> [online]. 2018 [cit. 2019-03-10]. Dostupné z: </w:t>
      </w:r>
      <w:hyperlink r:id="rId21" w:history="1">
        <w:r w:rsidRPr="009B2DEC">
          <w:rPr>
            <w:rStyle w:val="Hypertextovodkaz"/>
            <w:color w:val="auto"/>
            <w:u w:val="none"/>
          </w:rPr>
          <w:t>https://www.businessinfo.cz/cs/clanky/6-kroku-jak-resit-nedostatek-pracovnich-sil-v-cesku-a-stredi-evrope-113394.html</w:t>
        </w:r>
      </w:hyperlink>
    </w:p>
    <w:p w14:paraId="28F2BA85" w14:textId="77777777" w:rsidR="00BA1FBF" w:rsidRPr="007800DA" w:rsidRDefault="00BA1FBF" w:rsidP="007800DA">
      <w:pPr>
        <w:spacing w:line="240" w:lineRule="auto"/>
        <w:ind w:firstLine="0"/>
        <w:jc w:val="left"/>
      </w:pPr>
    </w:p>
    <w:p w14:paraId="6C4B89CF" w14:textId="77777777" w:rsidR="00BA1FBF" w:rsidRPr="00BA1FBF" w:rsidRDefault="00BA1FBF" w:rsidP="00BA1FBF">
      <w:pPr>
        <w:spacing w:line="240" w:lineRule="auto"/>
        <w:ind w:firstLine="0"/>
        <w:jc w:val="left"/>
      </w:pPr>
      <w:r w:rsidRPr="00BA1FBF">
        <w:rPr>
          <w:i/>
          <w:iCs/>
        </w:rPr>
        <w:t>Český statistický úřad</w:t>
      </w:r>
      <w:r w:rsidRPr="00BA1FBF">
        <w:t xml:space="preserve"> [online]. 2019 [cit. 2019-08-02]. Dostupné z: https://www.czso.cz/csu/czso/cri/prumerne-mzdy-1-ctvrtleti-2019</w:t>
      </w:r>
    </w:p>
    <w:p w14:paraId="1E77B733" w14:textId="77777777" w:rsidR="007800DA" w:rsidRDefault="007800DA" w:rsidP="009B2DEC">
      <w:pPr>
        <w:spacing w:line="240" w:lineRule="auto"/>
        <w:ind w:firstLine="0"/>
        <w:jc w:val="left"/>
      </w:pPr>
    </w:p>
    <w:p w14:paraId="2DE7A587" w14:textId="1D36B514" w:rsidR="00D51462" w:rsidRPr="00D51462" w:rsidRDefault="00D51462" w:rsidP="009B2DEC">
      <w:pPr>
        <w:spacing w:line="240" w:lineRule="auto"/>
        <w:ind w:firstLine="0"/>
        <w:jc w:val="left"/>
        <w:rPr>
          <w:szCs w:val="20"/>
        </w:rPr>
      </w:pPr>
      <w:r w:rsidRPr="00D51462">
        <w:rPr>
          <w:i/>
          <w:iCs/>
          <w:szCs w:val="20"/>
        </w:rPr>
        <w:t>Český statistický úřad: Krajská správa ČSÚ pro Středočeský kraj</w:t>
      </w:r>
      <w:r w:rsidRPr="00D51462">
        <w:rPr>
          <w:szCs w:val="20"/>
        </w:rPr>
        <w:t xml:space="preserve"> [online]. [cit. 2019-07-27]. Dostupné z: </w:t>
      </w:r>
      <w:hyperlink r:id="rId22" w:history="1">
        <w:r w:rsidRPr="00D51462">
          <w:rPr>
            <w:rStyle w:val="Hypertextovodkaz"/>
            <w:color w:val="auto"/>
            <w:szCs w:val="20"/>
            <w:u w:val="none"/>
          </w:rPr>
          <w:t>https://www.czso.cz/csu/xs/hdp-xs</w:t>
        </w:r>
      </w:hyperlink>
    </w:p>
    <w:p w14:paraId="2F52EAC2" w14:textId="77777777" w:rsidR="00D51462" w:rsidRPr="00D51462" w:rsidRDefault="00D51462" w:rsidP="009B2DEC">
      <w:pPr>
        <w:spacing w:line="240" w:lineRule="auto"/>
        <w:ind w:firstLine="0"/>
        <w:jc w:val="left"/>
        <w:rPr>
          <w:sz w:val="32"/>
          <w:szCs w:val="20"/>
        </w:rPr>
      </w:pPr>
    </w:p>
    <w:p w14:paraId="0E2C9681" w14:textId="77777777" w:rsidR="00D51462" w:rsidRPr="00D51462" w:rsidRDefault="00D51462" w:rsidP="00D51462">
      <w:pPr>
        <w:spacing w:line="240" w:lineRule="auto"/>
        <w:ind w:firstLine="0"/>
        <w:jc w:val="left"/>
        <w:rPr>
          <w:sz w:val="32"/>
        </w:rPr>
      </w:pPr>
      <w:r w:rsidRPr="00D51462">
        <w:rPr>
          <w:i/>
          <w:iCs/>
          <w:szCs w:val="20"/>
        </w:rPr>
        <w:t>Český statistický úřad: Krajská správa ČSÚ v Olomouci</w:t>
      </w:r>
      <w:r w:rsidRPr="00D51462">
        <w:rPr>
          <w:szCs w:val="20"/>
        </w:rPr>
        <w:t xml:space="preserve"> [online]. [cit. 2019-07-27]. Dostupné z: </w:t>
      </w:r>
      <w:hyperlink r:id="rId23" w:history="1">
        <w:r w:rsidRPr="00D51462">
          <w:rPr>
            <w:rStyle w:val="Hypertextovodkaz"/>
            <w:color w:val="auto"/>
            <w:szCs w:val="20"/>
            <w:u w:val="none"/>
          </w:rPr>
          <w:t>https://www.czso.cz/csu/xm/hdp-xm</w:t>
        </w:r>
      </w:hyperlink>
      <w:r w:rsidRPr="00D51462">
        <w:rPr>
          <w:szCs w:val="20"/>
        </w:rPr>
        <w:t xml:space="preserve"> </w:t>
      </w:r>
    </w:p>
    <w:p w14:paraId="09B44296" w14:textId="77777777" w:rsidR="00D51462" w:rsidRPr="009B2DEC" w:rsidRDefault="00D51462" w:rsidP="009B2DEC">
      <w:pPr>
        <w:spacing w:line="240" w:lineRule="auto"/>
        <w:ind w:firstLine="0"/>
        <w:jc w:val="left"/>
      </w:pPr>
    </w:p>
    <w:p w14:paraId="4848DAF4" w14:textId="77777777" w:rsidR="009B2DEC" w:rsidRPr="0085310B" w:rsidRDefault="009B2DEC" w:rsidP="009B2DEC">
      <w:pPr>
        <w:spacing w:line="240" w:lineRule="auto"/>
        <w:ind w:firstLine="0"/>
        <w:jc w:val="left"/>
        <w:rPr>
          <w:color w:val="000000" w:themeColor="text1"/>
        </w:rPr>
      </w:pPr>
      <w:r w:rsidRPr="0085310B">
        <w:rPr>
          <w:i/>
          <w:iCs/>
          <w:color w:val="000000" w:themeColor="text1"/>
        </w:rPr>
        <w:t>Český statistický úřad</w:t>
      </w:r>
      <w:r w:rsidRPr="0085310B">
        <w:rPr>
          <w:color w:val="000000" w:themeColor="text1"/>
        </w:rPr>
        <w:t xml:space="preserve"> [online]. 2019 [cit. 2019-03-10]. Dostupné z: </w:t>
      </w:r>
      <w:hyperlink r:id="rId24" w:history="1">
        <w:r w:rsidRPr="0085310B">
          <w:rPr>
            <w:rStyle w:val="Hypertextovodkaz"/>
            <w:color w:val="000000" w:themeColor="text1"/>
            <w:u w:val="none"/>
          </w:rPr>
          <w:t>https://www.czso.cz/csu/xm/charakteristika_kraje</w:t>
        </w:r>
      </w:hyperlink>
    </w:p>
    <w:p w14:paraId="714FF3D9" w14:textId="77777777" w:rsidR="009B2DEC" w:rsidRDefault="009B2DEC" w:rsidP="009B2DEC">
      <w:pPr>
        <w:spacing w:line="240" w:lineRule="auto"/>
        <w:ind w:firstLine="0"/>
        <w:jc w:val="left"/>
        <w:rPr>
          <w:color w:val="000000" w:themeColor="text1"/>
        </w:rPr>
      </w:pPr>
    </w:p>
    <w:p w14:paraId="0A859D64" w14:textId="77777777" w:rsidR="0041204D" w:rsidRPr="0041204D" w:rsidRDefault="0041204D" w:rsidP="0041204D">
      <w:pPr>
        <w:spacing w:line="240" w:lineRule="auto"/>
        <w:ind w:firstLine="0"/>
        <w:jc w:val="left"/>
      </w:pPr>
      <w:r w:rsidRPr="0041204D">
        <w:rPr>
          <w:i/>
          <w:iCs/>
        </w:rPr>
        <w:t>Finance.cz</w:t>
      </w:r>
      <w:r w:rsidRPr="0041204D">
        <w:t xml:space="preserve"> [online]. [cit. 2019-08-02]. Dostupné z: https://</w:t>
      </w:r>
      <w:proofErr w:type="gramStart"/>
      <w:r w:rsidRPr="0041204D">
        <w:t>www</w:t>
      </w:r>
      <w:proofErr w:type="gramEnd"/>
      <w:r w:rsidRPr="0041204D">
        <w:t>.</w:t>
      </w:r>
      <w:proofErr w:type="gramStart"/>
      <w:r w:rsidRPr="0041204D">
        <w:t>finance</w:t>
      </w:r>
      <w:proofErr w:type="gramEnd"/>
      <w:r w:rsidRPr="0041204D">
        <w:t>.cz/518363-vyse-podpory-v-nezamestnanosti/</w:t>
      </w:r>
    </w:p>
    <w:p w14:paraId="5F39DA0E" w14:textId="77777777" w:rsidR="0041204D" w:rsidRPr="007853F5" w:rsidRDefault="0041204D" w:rsidP="009B2DEC">
      <w:pPr>
        <w:spacing w:line="240" w:lineRule="auto"/>
        <w:ind w:firstLine="0"/>
        <w:jc w:val="left"/>
        <w:rPr>
          <w:color w:val="000000" w:themeColor="text1"/>
        </w:rPr>
      </w:pPr>
    </w:p>
    <w:p w14:paraId="6C8F4C8E" w14:textId="1F5FDEAA" w:rsidR="009B2DEC" w:rsidRPr="009B2DEC" w:rsidRDefault="009B2DEC" w:rsidP="009B2DEC">
      <w:pPr>
        <w:spacing w:line="240" w:lineRule="auto"/>
        <w:ind w:firstLine="0"/>
        <w:jc w:val="left"/>
      </w:pPr>
      <w:r w:rsidRPr="00DC5C10">
        <w:rPr>
          <w:i/>
          <w:iCs/>
          <w:color w:val="000000" w:themeColor="text1"/>
        </w:rPr>
        <w:t>Finanční a ekonomické informace</w:t>
      </w:r>
      <w:r w:rsidRPr="00DC5C10">
        <w:rPr>
          <w:color w:val="000000" w:themeColor="text1"/>
        </w:rPr>
        <w:t xml:space="preserve"> [online]. 2018 [cit. 2019-03-10]. Dostupné z: </w:t>
      </w:r>
      <w:hyperlink r:id="rId25" w:history="1">
        <w:r w:rsidRPr="009B2DEC">
          <w:rPr>
            <w:rStyle w:val="Hypertextovodkaz"/>
            <w:color w:val="auto"/>
            <w:u w:val="none"/>
          </w:rPr>
          <w:t>https://faei.cz/nizka-nezamestnanost-brzdi-rozvoj-firem/</w:t>
        </w:r>
      </w:hyperlink>
    </w:p>
    <w:p w14:paraId="0F0A9037" w14:textId="77777777" w:rsidR="009B2DEC" w:rsidRPr="009B2DEC" w:rsidRDefault="009B2DEC" w:rsidP="009B2DEC">
      <w:pPr>
        <w:spacing w:line="240" w:lineRule="auto"/>
        <w:ind w:firstLine="0"/>
        <w:jc w:val="left"/>
      </w:pPr>
    </w:p>
    <w:p w14:paraId="138922D9" w14:textId="77777777" w:rsidR="009B2DEC" w:rsidRDefault="009B2DEC" w:rsidP="009B2DEC">
      <w:pPr>
        <w:spacing w:line="240" w:lineRule="auto"/>
        <w:ind w:firstLine="0"/>
        <w:jc w:val="left"/>
        <w:rPr>
          <w:color w:val="000000" w:themeColor="text1"/>
        </w:rPr>
      </w:pPr>
      <w:r w:rsidRPr="00DC5C10">
        <w:rPr>
          <w:i/>
          <w:iCs/>
          <w:color w:val="000000" w:themeColor="text1"/>
        </w:rPr>
        <w:t>Finslovník.cz</w:t>
      </w:r>
      <w:r w:rsidRPr="00DC5C10">
        <w:rPr>
          <w:color w:val="000000" w:themeColor="text1"/>
        </w:rPr>
        <w:t xml:space="preserve"> [online]. 2019 [cit. 2019-03-10]. Dostupné z: </w:t>
      </w:r>
      <w:hyperlink r:id="rId26" w:history="1">
        <w:r w:rsidRPr="0085310B">
          <w:rPr>
            <w:rStyle w:val="Hypertextovodkaz"/>
            <w:color w:val="000000" w:themeColor="text1"/>
            <w:u w:val="none"/>
          </w:rPr>
          <w:t>https://www.finslovnik.cz/plna-zamestnanost/</w:t>
        </w:r>
      </w:hyperlink>
      <w:r w:rsidRPr="00DC5C10">
        <w:rPr>
          <w:color w:val="000000" w:themeColor="text1"/>
        </w:rPr>
        <w:t>,</w:t>
      </w:r>
    </w:p>
    <w:p w14:paraId="7B21B4D2" w14:textId="77777777" w:rsidR="009B2DEC" w:rsidRDefault="009B2DEC" w:rsidP="009B2DEC">
      <w:pPr>
        <w:ind w:firstLine="0"/>
        <w:rPr>
          <w:rStyle w:val="Hypertextovodkaz"/>
          <w:color w:val="000000" w:themeColor="text1"/>
          <w:u w:val="none"/>
        </w:rPr>
      </w:pPr>
    </w:p>
    <w:p w14:paraId="5634C076" w14:textId="317DD321" w:rsidR="00A47511" w:rsidRPr="00287A6D" w:rsidRDefault="00A47511" w:rsidP="00A47511">
      <w:pPr>
        <w:spacing w:line="240" w:lineRule="auto"/>
        <w:ind w:firstLine="0"/>
        <w:jc w:val="left"/>
      </w:pPr>
      <w:r w:rsidRPr="00A47511">
        <w:rPr>
          <w:i/>
          <w:iCs/>
        </w:rPr>
        <w:t>Ministerstvo financí</w:t>
      </w:r>
      <w:r w:rsidRPr="00A47511">
        <w:t xml:space="preserve"> [online]. 2018 [cit. 2019-08-02]. Dostupné z: </w:t>
      </w:r>
      <w:hyperlink r:id="rId27" w:history="1">
        <w:r w:rsidR="00287A6D" w:rsidRPr="00287A6D">
          <w:rPr>
            <w:rStyle w:val="Hypertextovodkaz"/>
            <w:color w:val="auto"/>
            <w:u w:val="none"/>
          </w:rPr>
          <w:t>https://www.mfcr.cz/cs/aktualne/tiskove-zpravy/2018/pokladni-plneni-sr-leden-listopad-2017-30618</w:t>
        </w:r>
      </w:hyperlink>
    </w:p>
    <w:p w14:paraId="7708FF8C" w14:textId="77777777" w:rsidR="00287A6D" w:rsidRPr="00A47511" w:rsidRDefault="00287A6D" w:rsidP="00A47511">
      <w:pPr>
        <w:spacing w:line="240" w:lineRule="auto"/>
        <w:ind w:firstLine="0"/>
        <w:jc w:val="left"/>
      </w:pPr>
    </w:p>
    <w:p w14:paraId="6CBBADD7" w14:textId="77777777" w:rsidR="00287A6D" w:rsidRPr="001B3141" w:rsidRDefault="00287A6D" w:rsidP="00287A6D">
      <w:pPr>
        <w:spacing w:line="240" w:lineRule="auto"/>
        <w:ind w:firstLine="0"/>
        <w:jc w:val="left"/>
        <w:rPr>
          <w:szCs w:val="20"/>
        </w:rPr>
      </w:pPr>
      <w:r w:rsidRPr="001B3141">
        <w:rPr>
          <w:i/>
          <w:iCs/>
          <w:szCs w:val="20"/>
        </w:rPr>
        <w:t>Olomoucký kraj</w:t>
      </w:r>
      <w:r w:rsidRPr="001B3141">
        <w:rPr>
          <w:szCs w:val="20"/>
        </w:rPr>
        <w:t xml:space="preserve"> [online]. [cit. 2019-07-27]. Dostupné z: </w:t>
      </w:r>
      <w:hyperlink r:id="rId28" w:history="1">
        <w:r w:rsidRPr="001B3141">
          <w:rPr>
            <w:rStyle w:val="Hypertextovodkaz"/>
            <w:color w:val="auto"/>
            <w:szCs w:val="20"/>
            <w:u w:val="none"/>
          </w:rPr>
          <w:t>https://www.olkraj.cz/zur-sousednich-kraju-cl-3830.html</w:t>
        </w:r>
      </w:hyperlink>
    </w:p>
    <w:p w14:paraId="2FDED709" w14:textId="77777777" w:rsidR="00F03508" w:rsidRPr="0085310B" w:rsidRDefault="00F03508" w:rsidP="00674A06">
      <w:pPr>
        <w:spacing w:line="240" w:lineRule="auto"/>
        <w:ind w:firstLine="0"/>
        <w:jc w:val="left"/>
        <w:rPr>
          <w:color w:val="000000" w:themeColor="text1"/>
        </w:rPr>
      </w:pPr>
    </w:p>
    <w:p w14:paraId="6F0775FC" w14:textId="77777777" w:rsidR="007853F5" w:rsidRDefault="007853F5" w:rsidP="007853F5">
      <w:pPr>
        <w:spacing w:line="240" w:lineRule="auto"/>
        <w:ind w:firstLine="0"/>
        <w:jc w:val="left"/>
        <w:rPr>
          <w:color w:val="000000" w:themeColor="text1"/>
        </w:rPr>
      </w:pPr>
      <w:r w:rsidRPr="007853F5">
        <w:rPr>
          <w:i/>
          <w:iCs/>
          <w:color w:val="000000" w:themeColor="text1"/>
        </w:rPr>
        <w:t>Peníze.cz</w:t>
      </w:r>
      <w:r w:rsidRPr="007853F5">
        <w:rPr>
          <w:color w:val="000000" w:themeColor="text1"/>
        </w:rPr>
        <w:t xml:space="preserve"> [online]. 2019 [cit. 2019-03-10]. Dostupné z: </w:t>
      </w:r>
      <w:hyperlink r:id="rId29" w:history="1">
        <w:r w:rsidR="0085310B" w:rsidRPr="0085310B">
          <w:rPr>
            <w:rStyle w:val="Hypertextovodkaz"/>
            <w:color w:val="000000" w:themeColor="text1"/>
            <w:u w:val="none"/>
          </w:rPr>
          <w:t>https://www.penize.cz/slovnik/median-mezd</w:t>
        </w:r>
      </w:hyperlink>
      <w:r w:rsidRPr="007853F5">
        <w:rPr>
          <w:color w:val="000000" w:themeColor="text1"/>
        </w:rPr>
        <w:t>,</w:t>
      </w:r>
    </w:p>
    <w:p w14:paraId="6AF770DF" w14:textId="77777777" w:rsidR="001B3141" w:rsidRPr="0085310B" w:rsidRDefault="001B3141" w:rsidP="007853F5">
      <w:pPr>
        <w:spacing w:line="240" w:lineRule="auto"/>
        <w:ind w:firstLine="0"/>
        <w:jc w:val="left"/>
        <w:rPr>
          <w:color w:val="000000" w:themeColor="text1"/>
        </w:rPr>
      </w:pPr>
    </w:p>
    <w:p w14:paraId="31B2093C" w14:textId="7DF050AF" w:rsidR="001B3141" w:rsidRPr="00287A6D" w:rsidRDefault="00287A6D" w:rsidP="007853F5">
      <w:pPr>
        <w:spacing w:line="240" w:lineRule="auto"/>
        <w:ind w:firstLine="0"/>
        <w:jc w:val="left"/>
      </w:pPr>
      <w:r w:rsidRPr="00287A6D">
        <w:rPr>
          <w:i/>
          <w:iCs/>
        </w:rPr>
        <w:t>Regionální informační servis</w:t>
      </w:r>
      <w:r w:rsidRPr="00287A6D">
        <w:t xml:space="preserve"> [online]. [cit. 2019-07-27]. Dostupné z: </w:t>
      </w:r>
      <w:hyperlink r:id="rId30" w:history="1">
        <w:r w:rsidRPr="00287A6D">
          <w:rPr>
            <w:rStyle w:val="Hypertextovodkaz"/>
            <w:color w:val="auto"/>
            <w:u w:val="none"/>
          </w:rPr>
          <w:t>http://www.risy.cz/cs/krajske-ris/stredocesky-kraj/okresy/</w:t>
        </w:r>
      </w:hyperlink>
    </w:p>
    <w:p w14:paraId="3F71620E" w14:textId="77777777" w:rsidR="00287A6D" w:rsidRDefault="00287A6D" w:rsidP="007853F5">
      <w:pPr>
        <w:spacing w:line="240" w:lineRule="auto"/>
        <w:ind w:firstLine="0"/>
        <w:jc w:val="left"/>
        <w:rPr>
          <w:color w:val="000000" w:themeColor="text1"/>
        </w:rPr>
      </w:pPr>
    </w:p>
    <w:p w14:paraId="00462E0E" w14:textId="77777777" w:rsidR="00A47511" w:rsidRPr="00A47511" w:rsidRDefault="00A47511" w:rsidP="00A47511">
      <w:pPr>
        <w:spacing w:line="240" w:lineRule="auto"/>
        <w:ind w:firstLine="0"/>
        <w:jc w:val="left"/>
      </w:pPr>
      <w:r w:rsidRPr="00A47511">
        <w:rPr>
          <w:i/>
          <w:iCs/>
        </w:rPr>
        <w:t>Www.SocialniDialog.cz</w:t>
      </w:r>
      <w:r w:rsidRPr="00A47511">
        <w:t xml:space="preserve"> [online]. 2014 [cit. 2019-08-02]. Dostupné z: http://www.socialnidialog.cz/zpravodajstvi/trh-prace/2480-37-bod-jak-sniit-nezamstnanost</w:t>
      </w:r>
    </w:p>
    <w:p w14:paraId="118BA101" w14:textId="77777777" w:rsidR="00A47511" w:rsidRPr="007853F5" w:rsidRDefault="00A47511" w:rsidP="007853F5">
      <w:pPr>
        <w:spacing w:line="240" w:lineRule="auto"/>
        <w:ind w:firstLine="0"/>
        <w:jc w:val="left"/>
        <w:rPr>
          <w:color w:val="000000" w:themeColor="text1"/>
        </w:rPr>
      </w:pPr>
    </w:p>
    <w:p w14:paraId="73D95836" w14:textId="77777777" w:rsidR="0085310B" w:rsidRPr="0085310B" w:rsidRDefault="0085310B" w:rsidP="0085310B">
      <w:pPr>
        <w:spacing w:line="240" w:lineRule="auto"/>
        <w:ind w:firstLine="0"/>
        <w:jc w:val="left"/>
        <w:rPr>
          <w:color w:val="000000" w:themeColor="text1"/>
        </w:rPr>
      </w:pPr>
      <w:r w:rsidRPr="0085310B">
        <w:rPr>
          <w:i/>
          <w:iCs/>
          <w:color w:val="000000" w:themeColor="text1"/>
        </w:rPr>
        <w:t>Středočeský kraj</w:t>
      </w:r>
      <w:r w:rsidRPr="0085310B">
        <w:rPr>
          <w:color w:val="000000" w:themeColor="text1"/>
        </w:rPr>
        <w:t xml:space="preserve"> [online]. 2018 [cit. 2019-03-11]. Dostupné z: https://www.kr-stredocesky.cz/kraj</w:t>
      </w:r>
    </w:p>
    <w:p w14:paraId="741A0075" w14:textId="77777777" w:rsidR="00016EB4" w:rsidRDefault="00016EB4" w:rsidP="0085310B">
      <w:pPr>
        <w:ind w:firstLine="0"/>
        <w:rPr>
          <w:color w:val="000000" w:themeColor="text1"/>
        </w:rPr>
      </w:pPr>
    </w:p>
    <w:p w14:paraId="2E169CA2" w14:textId="77777777" w:rsidR="006228CB" w:rsidRPr="006228CB" w:rsidRDefault="006228CB" w:rsidP="006228CB">
      <w:pPr>
        <w:spacing w:line="240" w:lineRule="auto"/>
        <w:ind w:firstLine="0"/>
        <w:jc w:val="left"/>
      </w:pPr>
      <w:r w:rsidRPr="006228CB">
        <w:rPr>
          <w:i/>
          <w:iCs/>
        </w:rPr>
        <w:lastRenderedPageBreak/>
        <w:t>Zákony pro lidi</w:t>
      </w:r>
      <w:r w:rsidRPr="006228CB">
        <w:t xml:space="preserve"> [online]. 2014 [cit. 2019-08-02]. Dostupné z: https://www.zakonyprolidi.cz/cs/2012-89?text=%C2%A7420</w:t>
      </w:r>
    </w:p>
    <w:p w14:paraId="1AD5D00C" w14:textId="77777777" w:rsidR="006228CB" w:rsidRPr="0085310B" w:rsidRDefault="006228CB" w:rsidP="0085310B">
      <w:pPr>
        <w:ind w:firstLine="0"/>
        <w:rPr>
          <w:color w:val="000000" w:themeColor="text1"/>
        </w:rPr>
      </w:pPr>
    </w:p>
    <w:p w14:paraId="26DA1BBD" w14:textId="1866F270" w:rsidR="00F35E3C" w:rsidRPr="00496C14" w:rsidRDefault="00F455F3" w:rsidP="00F35E3C">
      <w:pPr>
        <w:rPr>
          <w:color w:val="000000" w:themeColor="text1"/>
        </w:rPr>
      </w:pPr>
      <w:r w:rsidRPr="0085310B">
        <w:rPr>
          <w:color w:val="000000" w:themeColor="text1"/>
        </w:rPr>
        <w:br w:type="page"/>
      </w:r>
    </w:p>
    <w:p w14:paraId="26813D8A" w14:textId="77777777" w:rsidR="00583D78" w:rsidRDefault="002C4AE2" w:rsidP="00DC2557">
      <w:pPr>
        <w:pStyle w:val="Nadpis2"/>
        <w:numPr>
          <w:ilvl w:val="0"/>
          <w:numId w:val="0"/>
        </w:numPr>
        <w:ind w:left="426"/>
      </w:pPr>
      <w:bookmarkStart w:id="79" w:name="_Toc15889416"/>
      <w:r>
        <w:lastRenderedPageBreak/>
        <w:t>Seznam obrázků</w:t>
      </w:r>
      <w:bookmarkEnd w:id="79"/>
    </w:p>
    <w:p w14:paraId="242CAF41" w14:textId="77777777" w:rsidR="00BB1939" w:rsidRDefault="007333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r:id="rId31" w:anchor="_Toc15639637" w:history="1">
        <w:r w:rsidR="00BB1939" w:rsidRPr="00B15114">
          <w:rPr>
            <w:rStyle w:val="Hypertextovodkaz"/>
            <w:noProof/>
          </w:rPr>
          <w:t>Obrázek 1Rovnováha na trhu</w:t>
        </w:r>
        <w:r w:rsidR="00BB1939">
          <w:rPr>
            <w:noProof/>
            <w:webHidden/>
          </w:rPr>
          <w:tab/>
        </w:r>
        <w:r w:rsidR="00BB1939">
          <w:rPr>
            <w:noProof/>
            <w:webHidden/>
          </w:rPr>
          <w:fldChar w:fldCharType="begin"/>
        </w:r>
        <w:r w:rsidR="00BB1939">
          <w:rPr>
            <w:noProof/>
            <w:webHidden/>
          </w:rPr>
          <w:instrText xml:space="preserve"> PAGEREF _Toc15639637 \h </w:instrText>
        </w:r>
        <w:r w:rsidR="00BB1939">
          <w:rPr>
            <w:noProof/>
            <w:webHidden/>
          </w:rPr>
        </w:r>
        <w:r w:rsidR="00BB1939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9</w:t>
        </w:r>
        <w:r w:rsidR="00BB1939">
          <w:rPr>
            <w:noProof/>
            <w:webHidden/>
          </w:rPr>
          <w:fldChar w:fldCharType="end"/>
        </w:r>
      </w:hyperlink>
    </w:p>
    <w:p w14:paraId="614C0A75" w14:textId="77777777" w:rsidR="00BB1939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38" w:history="1">
        <w:r w:rsidR="00BB1939" w:rsidRPr="00B15114">
          <w:rPr>
            <w:rStyle w:val="Hypertextovodkaz"/>
            <w:noProof/>
          </w:rPr>
          <w:t>Obrázek 2 Hospodářský cyklus</w:t>
        </w:r>
        <w:r w:rsidR="00BB1939">
          <w:rPr>
            <w:noProof/>
            <w:webHidden/>
          </w:rPr>
          <w:tab/>
        </w:r>
        <w:r w:rsidR="00BB1939">
          <w:rPr>
            <w:noProof/>
            <w:webHidden/>
          </w:rPr>
          <w:fldChar w:fldCharType="begin"/>
        </w:r>
        <w:r w:rsidR="00BB1939">
          <w:rPr>
            <w:noProof/>
            <w:webHidden/>
          </w:rPr>
          <w:instrText xml:space="preserve"> PAGEREF _Toc15639638 \h </w:instrText>
        </w:r>
        <w:r w:rsidR="00BB1939">
          <w:rPr>
            <w:noProof/>
            <w:webHidden/>
          </w:rPr>
        </w:r>
        <w:r w:rsidR="00BB1939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19</w:t>
        </w:r>
        <w:r w:rsidR="00BB1939">
          <w:rPr>
            <w:noProof/>
            <w:webHidden/>
          </w:rPr>
          <w:fldChar w:fldCharType="end"/>
        </w:r>
      </w:hyperlink>
    </w:p>
    <w:p w14:paraId="3D3A0D09" w14:textId="77777777" w:rsidR="00BB1939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39" w:history="1">
        <w:r w:rsidR="00BB1939" w:rsidRPr="00B15114">
          <w:rPr>
            <w:rStyle w:val="Hypertextovodkaz"/>
            <w:noProof/>
          </w:rPr>
          <w:t>Obrázek 3 Beveridgeova křivka</w:t>
        </w:r>
        <w:r w:rsidR="00BB1939">
          <w:rPr>
            <w:noProof/>
            <w:webHidden/>
          </w:rPr>
          <w:tab/>
        </w:r>
        <w:r w:rsidR="00BB1939">
          <w:rPr>
            <w:noProof/>
            <w:webHidden/>
          </w:rPr>
          <w:fldChar w:fldCharType="begin"/>
        </w:r>
        <w:r w:rsidR="00BB1939">
          <w:rPr>
            <w:noProof/>
            <w:webHidden/>
          </w:rPr>
          <w:instrText xml:space="preserve"> PAGEREF _Toc15639639 \h </w:instrText>
        </w:r>
        <w:r w:rsidR="00BB1939">
          <w:rPr>
            <w:noProof/>
            <w:webHidden/>
          </w:rPr>
        </w:r>
        <w:r w:rsidR="00BB1939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21</w:t>
        </w:r>
        <w:r w:rsidR="00BB1939">
          <w:rPr>
            <w:noProof/>
            <w:webHidden/>
          </w:rPr>
          <w:fldChar w:fldCharType="end"/>
        </w:r>
      </w:hyperlink>
    </w:p>
    <w:p w14:paraId="7712E6A3" w14:textId="77777777" w:rsidR="00BB1939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40" w:history="1">
        <w:r w:rsidR="00BB1939" w:rsidRPr="00B15114">
          <w:rPr>
            <w:rStyle w:val="Hypertextovodkaz"/>
            <w:noProof/>
          </w:rPr>
          <w:t>Obrázek 4 Phillipsova křivka</w:t>
        </w:r>
        <w:r w:rsidR="00BB1939">
          <w:rPr>
            <w:noProof/>
            <w:webHidden/>
          </w:rPr>
          <w:tab/>
        </w:r>
        <w:r w:rsidR="00BB1939">
          <w:rPr>
            <w:noProof/>
            <w:webHidden/>
          </w:rPr>
          <w:fldChar w:fldCharType="begin"/>
        </w:r>
        <w:r w:rsidR="00BB1939">
          <w:rPr>
            <w:noProof/>
            <w:webHidden/>
          </w:rPr>
          <w:instrText xml:space="preserve"> PAGEREF _Toc15639640 \h </w:instrText>
        </w:r>
        <w:r w:rsidR="00BB1939">
          <w:rPr>
            <w:noProof/>
            <w:webHidden/>
          </w:rPr>
        </w:r>
        <w:r w:rsidR="00BB1939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26</w:t>
        </w:r>
        <w:r w:rsidR="00BB1939">
          <w:rPr>
            <w:noProof/>
            <w:webHidden/>
          </w:rPr>
          <w:fldChar w:fldCharType="end"/>
        </w:r>
      </w:hyperlink>
    </w:p>
    <w:p w14:paraId="0C4ADE9C" w14:textId="1BDCB8A6" w:rsidR="00562E5D" w:rsidRDefault="007333BE" w:rsidP="00DC2557">
      <w:pPr>
        <w:pStyle w:val="Nadpis2"/>
        <w:numPr>
          <w:ilvl w:val="0"/>
          <w:numId w:val="0"/>
        </w:numPr>
        <w:ind w:left="426"/>
      </w:pPr>
      <w:r>
        <w:fldChar w:fldCharType="end"/>
      </w:r>
      <w:bookmarkStart w:id="80" w:name="_Toc15889417"/>
      <w:r w:rsidR="00C03989" w:rsidRPr="00C03989">
        <w:t xml:space="preserve">Seznam </w:t>
      </w:r>
      <w:r w:rsidR="00897F4D">
        <w:t>tabulek</w:t>
      </w:r>
      <w:bookmarkEnd w:id="80"/>
    </w:p>
    <w:p w14:paraId="6B27C1B5" w14:textId="77777777" w:rsidR="00BB1939" w:rsidRPr="005B68C3" w:rsidRDefault="00897F4D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B68C3">
        <w:fldChar w:fldCharType="begin"/>
      </w:r>
      <w:r w:rsidRPr="005B68C3">
        <w:instrText xml:space="preserve"> TOC \h \z \c "Tabulka" </w:instrText>
      </w:r>
      <w:r w:rsidRPr="005B68C3">
        <w:fldChar w:fldCharType="separate"/>
      </w:r>
      <w:hyperlink w:anchor="_Toc15639646" w:history="1">
        <w:r w:rsidR="00BB1939" w:rsidRPr="005B68C3">
          <w:rPr>
            <w:rStyle w:val="Hypertextovodkaz"/>
            <w:noProof/>
          </w:rPr>
          <w:t>Tabulka 1 Vývoj nezaměstnanosti v Olomouckém kraji v období 2013 –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_Toc15639646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33</w:t>
        </w:r>
        <w:r w:rsidR="00BB1939" w:rsidRPr="005B68C3">
          <w:rPr>
            <w:noProof/>
            <w:webHidden/>
          </w:rPr>
          <w:fldChar w:fldCharType="end"/>
        </w:r>
      </w:hyperlink>
    </w:p>
    <w:p w14:paraId="6F3F2DE5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47" w:history="1">
        <w:r w:rsidR="00BB1939" w:rsidRPr="005B68C3">
          <w:rPr>
            <w:rStyle w:val="Hypertextovodkaz"/>
            <w:noProof/>
          </w:rPr>
          <w:t>Tabulka 2 Vývoj nezaměstnanosti ve Středočeském kraji v období 2013 –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_Toc15639647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34</w:t>
        </w:r>
        <w:r w:rsidR="00BB1939" w:rsidRPr="005B68C3">
          <w:rPr>
            <w:noProof/>
            <w:webHidden/>
          </w:rPr>
          <w:fldChar w:fldCharType="end"/>
        </w:r>
      </w:hyperlink>
    </w:p>
    <w:p w14:paraId="65D08ED1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48" w:history="1">
        <w:r w:rsidR="00BB1939" w:rsidRPr="005B68C3">
          <w:rPr>
            <w:rStyle w:val="Hypertextovodkaz"/>
            <w:noProof/>
          </w:rPr>
          <w:t>Tabulka 3 Vývoj průměrných mezd v Olomouckém kraji v období 2013 –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_Toc15639648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35</w:t>
        </w:r>
        <w:r w:rsidR="00BB1939" w:rsidRPr="005B68C3">
          <w:rPr>
            <w:noProof/>
            <w:webHidden/>
          </w:rPr>
          <w:fldChar w:fldCharType="end"/>
        </w:r>
      </w:hyperlink>
    </w:p>
    <w:p w14:paraId="0D03E609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49" w:history="1">
        <w:r w:rsidR="00BB1939" w:rsidRPr="005B68C3">
          <w:rPr>
            <w:rStyle w:val="Hypertextovodkaz"/>
            <w:noProof/>
          </w:rPr>
          <w:t>Tabulka 4 Vývoj průměrných mezd ve Středočeském kraji v období 2013 –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_Toc15639649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36</w:t>
        </w:r>
        <w:r w:rsidR="00BB1939" w:rsidRPr="005B68C3">
          <w:rPr>
            <w:noProof/>
            <w:webHidden/>
          </w:rPr>
          <w:fldChar w:fldCharType="end"/>
        </w:r>
      </w:hyperlink>
    </w:p>
    <w:p w14:paraId="699C8F47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0" w:history="1">
        <w:r w:rsidR="00BB1939" w:rsidRPr="005B68C3">
          <w:rPr>
            <w:rStyle w:val="Hypertextovodkaz"/>
            <w:noProof/>
          </w:rPr>
          <w:t>Tabulka 5 Vývoj mediánu mezd v Olomouckém kraji za období 2013 –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_Toc15639650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37</w:t>
        </w:r>
        <w:r w:rsidR="00BB1939" w:rsidRPr="005B68C3">
          <w:rPr>
            <w:noProof/>
            <w:webHidden/>
          </w:rPr>
          <w:fldChar w:fldCharType="end"/>
        </w:r>
      </w:hyperlink>
    </w:p>
    <w:p w14:paraId="363196D9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1" w:history="1">
        <w:r w:rsidR="00BB1939" w:rsidRPr="005B68C3">
          <w:rPr>
            <w:rStyle w:val="Hypertextovodkaz"/>
            <w:noProof/>
          </w:rPr>
          <w:t>Tabulka 6 Vývoj mediánu mezd ve Středočeském kraji za období 2013 –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_Toc15639651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37</w:t>
        </w:r>
        <w:r w:rsidR="00BB1939" w:rsidRPr="005B68C3">
          <w:rPr>
            <w:noProof/>
            <w:webHidden/>
          </w:rPr>
          <w:fldChar w:fldCharType="end"/>
        </w:r>
      </w:hyperlink>
    </w:p>
    <w:p w14:paraId="2774C692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2" w:history="1">
        <w:r w:rsidR="00BB1939" w:rsidRPr="005B68C3">
          <w:rPr>
            <w:rStyle w:val="Hypertextovodkaz"/>
            <w:noProof/>
          </w:rPr>
          <w:t>Tabulka 7 Rozdíl v mediánu mezd v porovnávaných krajích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_Toc15639652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38</w:t>
        </w:r>
        <w:r w:rsidR="00BB1939" w:rsidRPr="005B68C3">
          <w:rPr>
            <w:noProof/>
            <w:webHidden/>
          </w:rPr>
          <w:fldChar w:fldCharType="end"/>
        </w:r>
      </w:hyperlink>
    </w:p>
    <w:p w14:paraId="45F28A4F" w14:textId="52B80A35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3" w:history="1">
        <w:r w:rsidR="00BB1939" w:rsidRPr="005B68C3">
          <w:rPr>
            <w:rStyle w:val="Hypertextovodkaz"/>
            <w:noProof/>
          </w:rPr>
          <w:t>Tabulka 8</w:t>
        </w:r>
        <w:r w:rsidR="005B68C3">
          <w:rPr>
            <w:rStyle w:val="Hypertextovodkaz"/>
            <w:noProof/>
          </w:rPr>
          <w:t xml:space="preserve"> </w:t>
        </w:r>
        <w:r w:rsidR="00BB1939" w:rsidRPr="005B68C3">
          <w:rPr>
            <w:rStyle w:val="Hypertextovodkaz"/>
            <w:noProof/>
          </w:rPr>
          <w:t>Počet evidovaných uchazečů na úřadu práce podle věku v Olomouckém kraji v období 2013 –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_Toc15639653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39</w:t>
        </w:r>
        <w:r w:rsidR="00BB1939" w:rsidRPr="005B68C3">
          <w:rPr>
            <w:noProof/>
            <w:webHidden/>
          </w:rPr>
          <w:fldChar w:fldCharType="end"/>
        </w:r>
      </w:hyperlink>
    </w:p>
    <w:p w14:paraId="04B0C62E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4" w:history="1">
        <w:r w:rsidR="00BB1939" w:rsidRPr="005B68C3">
          <w:rPr>
            <w:rStyle w:val="Hypertextovodkaz"/>
            <w:noProof/>
          </w:rPr>
          <w:t>Tabulka 9 Vývoj na úřadu práce v období 2013 - 2017 v Olomouckém kraji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_Toc15639654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41</w:t>
        </w:r>
        <w:r w:rsidR="00BB1939" w:rsidRPr="005B68C3">
          <w:rPr>
            <w:noProof/>
            <w:webHidden/>
          </w:rPr>
          <w:fldChar w:fldCharType="end"/>
        </w:r>
      </w:hyperlink>
    </w:p>
    <w:p w14:paraId="0CAF7F26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5" w:history="1">
        <w:r w:rsidR="00BB1939" w:rsidRPr="005B68C3">
          <w:rPr>
            <w:rStyle w:val="Hypertextovodkaz"/>
            <w:noProof/>
          </w:rPr>
          <w:t>Tabulka 10 Počet evidovaných uchazečů na úřadu práce podle věku ve Středočeském kraji v období 2013 –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_Toc15639655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42</w:t>
        </w:r>
        <w:r w:rsidR="00BB1939" w:rsidRPr="005B68C3">
          <w:rPr>
            <w:noProof/>
            <w:webHidden/>
          </w:rPr>
          <w:fldChar w:fldCharType="end"/>
        </w:r>
      </w:hyperlink>
    </w:p>
    <w:p w14:paraId="43AD7D44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6" w:history="1">
        <w:r w:rsidR="00BB1939" w:rsidRPr="005B68C3">
          <w:rPr>
            <w:rStyle w:val="Hypertextovodkaz"/>
            <w:noProof/>
          </w:rPr>
          <w:t>Tabulka 11 Vývoj na úřadu práce ve Středočeském kraji v období 2013 - 2017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_Toc15639656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44</w:t>
        </w:r>
        <w:r w:rsidR="00BB1939" w:rsidRPr="005B68C3">
          <w:rPr>
            <w:noProof/>
            <w:webHidden/>
          </w:rPr>
          <w:fldChar w:fldCharType="end"/>
        </w:r>
      </w:hyperlink>
    </w:p>
    <w:p w14:paraId="71AB76D6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7" w:history="1">
        <w:r w:rsidR="00BB1939" w:rsidRPr="005B68C3">
          <w:rPr>
            <w:rStyle w:val="Hypertextovodkaz"/>
            <w:noProof/>
          </w:rPr>
          <w:t>Tabulka 12 Míra ekonomicky aktivních obyvatel v Olomouckém kraji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_Toc15639657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45</w:t>
        </w:r>
        <w:r w:rsidR="00BB1939" w:rsidRPr="005B68C3">
          <w:rPr>
            <w:noProof/>
            <w:webHidden/>
          </w:rPr>
          <w:fldChar w:fldCharType="end"/>
        </w:r>
      </w:hyperlink>
    </w:p>
    <w:p w14:paraId="59FAE77A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8" w:history="1">
        <w:r w:rsidR="00BB1939" w:rsidRPr="005B68C3">
          <w:rPr>
            <w:rStyle w:val="Hypertextovodkaz"/>
            <w:noProof/>
          </w:rPr>
          <w:t>Tabulka 13 Míra ekonomicky aktivních obyvatel ve Středočeském kraji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_Toc15639658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45</w:t>
        </w:r>
        <w:r w:rsidR="00BB1939" w:rsidRPr="005B68C3">
          <w:rPr>
            <w:noProof/>
            <w:webHidden/>
          </w:rPr>
          <w:fldChar w:fldCharType="end"/>
        </w:r>
      </w:hyperlink>
    </w:p>
    <w:p w14:paraId="098F175A" w14:textId="796C794E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59" w:history="1">
        <w:r w:rsidR="00BB1939" w:rsidRPr="005B68C3">
          <w:rPr>
            <w:rStyle w:val="Hypertextovodkaz"/>
            <w:noProof/>
          </w:rPr>
          <w:t>Tabulka 14</w:t>
        </w:r>
        <w:r w:rsidR="005B68C3">
          <w:rPr>
            <w:rStyle w:val="Hypertextovodkaz"/>
            <w:noProof/>
          </w:rPr>
          <w:t xml:space="preserve"> </w:t>
        </w:r>
        <w:r w:rsidR="00BB1939" w:rsidRPr="005B68C3">
          <w:rPr>
            <w:rStyle w:val="Hypertextovodkaz"/>
            <w:noProof/>
          </w:rPr>
          <w:t>Rozdíl obecné míry nezaměstnanosti v porovnávaných krajích.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_Toc15639659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46</w:t>
        </w:r>
        <w:r w:rsidR="00BB1939" w:rsidRPr="005B68C3">
          <w:rPr>
            <w:noProof/>
            <w:webHidden/>
          </w:rPr>
          <w:fldChar w:fldCharType="end"/>
        </w:r>
      </w:hyperlink>
    </w:p>
    <w:p w14:paraId="517F9DFA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60" w:history="1">
        <w:r w:rsidR="00BB1939" w:rsidRPr="005B68C3">
          <w:rPr>
            <w:rStyle w:val="Hypertextovodkaz"/>
            <w:noProof/>
          </w:rPr>
          <w:t>Tabulka15 Rozdíl v průměrných mzdách za zaměstnance a fyzické osoby v porovnávaných krajích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_Toc15639660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48</w:t>
        </w:r>
        <w:r w:rsidR="00BB1939" w:rsidRPr="005B68C3">
          <w:rPr>
            <w:noProof/>
            <w:webHidden/>
          </w:rPr>
          <w:fldChar w:fldCharType="end"/>
        </w:r>
      </w:hyperlink>
    </w:p>
    <w:p w14:paraId="27DC6832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61" w:history="1">
        <w:r w:rsidR="00BB1939" w:rsidRPr="005B68C3">
          <w:rPr>
            <w:rStyle w:val="Hypertextovodkaz"/>
            <w:noProof/>
          </w:rPr>
          <w:t>Tabulka 16 Identifikované rozdíly vybraných krajů ve vývoji uchazečů na úřadu práce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_Toc15639661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51</w:t>
        </w:r>
        <w:r w:rsidR="00BB1939" w:rsidRPr="005B68C3">
          <w:rPr>
            <w:noProof/>
            <w:webHidden/>
          </w:rPr>
          <w:fldChar w:fldCharType="end"/>
        </w:r>
      </w:hyperlink>
    </w:p>
    <w:p w14:paraId="4D9620FA" w14:textId="77777777" w:rsidR="00BB1939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662" w:history="1">
        <w:r w:rsidR="00BB1939" w:rsidRPr="005B68C3">
          <w:rPr>
            <w:rStyle w:val="Hypertextovodkaz"/>
            <w:noProof/>
          </w:rPr>
          <w:t>Tabulka 17 Komparace míry ekonomické aktivity obyvatelstva</w:t>
        </w:r>
        <w:r w:rsidR="00BB1939" w:rsidRPr="005B68C3">
          <w:rPr>
            <w:noProof/>
            <w:webHidden/>
          </w:rPr>
          <w:tab/>
        </w:r>
        <w:r w:rsidR="00BB1939" w:rsidRPr="005B68C3">
          <w:rPr>
            <w:noProof/>
            <w:webHidden/>
          </w:rPr>
          <w:fldChar w:fldCharType="begin"/>
        </w:r>
        <w:r w:rsidR="00BB1939" w:rsidRPr="005B68C3">
          <w:rPr>
            <w:noProof/>
            <w:webHidden/>
          </w:rPr>
          <w:instrText xml:space="preserve"> PAGEREF _Toc15639662 \h </w:instrText>
        </w:r>
        <w:r w:rsidR="00BB1939" w:rsidRPr="005B68C3">
          <w:rPr>
            <w:noProof/>
            <w:webHidden/>
          </w:rPr>
        </w:r>
        <w:r w:rsidR="00BB1939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53</w:t>
        </w:r>
        <w:r w:rsidR="00BB1939" w:rsidRPr="005B68C3">
          <w:rPr>
            <w:noProof/>
            <w:webHidden/>
          </w:rPr>
          <w:fldChar w:fldCharType="end"/>
        </w:r>
      </w:hyperlink>
    </w:p>
    <w:p w14:paraId="3B5EAFEA" w14:textId="77777777" w:rsidR="007333BE" w:rsidRPr="007333BE" w:rsidRDefault="00897F4D" w:rsidP="00897F4D">
      <w:pPr>
        <w:ind w:firstLine="0"/>
      </w:pPr>
      <w:r w:rsidRPr="005B68C3">
        <w:fldChar w:fldCharType="end"/>
      </w:r>
    </w:p>
    <w:p w14:paraId="5DEDD976" w14:textId="3B7F7115" w:rsidR="000E4AE3" w:rsidRDefault="00C03989" w:rsidP="00DC2557">
      <w:pPr>
        <w:pStyle w:val="Nadpis2"/>
        <w:numPr>
          <w:ilvl w:val="0"/>
          <w:numId w:val="0"/>
        </w:numPr>
        <w:ind w:left="426"/>
      </w:pPr>
      <w:bookmarkStart w:id="81" w:name="_Toc15889418"/>
      <w:r w:rsidRPr="00C03989">
        <w:t xml:space="preserve">Seznam </w:t>
      </w:r>
      <w:r w:rsidR="00897F4D">
        <w:t>grafů</w:t>
      </w:r>
      <w:bookmarkEnd w:id="81"/>
    </w:p>
    <w:p w14:paraId="1F3A1238" w14:textId="77777777" w:rsidR="005B68C3" w:rsidRPr="005B68C3" w:rsidRDefault="00897F4D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"Graf" </w:instrText>
      </w:r>
      <w:r>
        <w:fldChar w:fldCharType="separate"/>
      </w:r>
      <w:hyperlink w:anchor="_Toc15639708" w:history="1">
        <w:r w:rsidR="005B68C3" w:rsidRPr="005B68C3">
          <w:rPr>
            <w:rStyle w:val="Hypertextovodkaz"/>
            <w:noProof/>
            <w:color w:val="auto"/>
          </w:rPr>
          <w:t>Graf 1 Komparace obecné míry nezaměstnanosti v obou krajích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_Toc15639708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46</w:t>
        </w:r>
        <w:r w:rsidR="005B68C3" w:rsidRPr="005B68C3">
          <w:rPr>
            <w:noProof/>
            <w:webHidden/>
          </w:rPr>
          <w:fldChar w:fldCharType="end"/>
        </w:r>
      </w:hyperlink>
    </w:p>
    <w:p w14:paraId="11D9B8D3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09" w:history="1">
        <w:r w:rsidR="005B68C3" w:rsidRPr="005B68C3">
          <w:rPr>
            <w:rStyle w:val="Hypertextovodkaz"/>
            <w:noProof/>
            <w:color w:val="auto"/>
          </w:rPr>
          <w:t>Graf 2 Komparace průměrných mezd obou krajů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_Toc15639709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47</w:t>
        </w:r>
        <w:r w:rsidR="005B68C3" w:rsidRPr="005B68C3">
          <w:rPr>
            <w:noProof/>
            <w:webHidden/>
          </w:rPr>
          <w:fldChar w:fldCharType="end"/>
        </w:r>
      </w:hyperlink>
    </w:p>
    <w:p w14:paraId="68943F41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10" w:history="1">
        <w:r w:rsidR="005B68C3" w:rsidRPr="005B68C3">
          <w:rPr>
            <w:rStyle w:val="Hypertextovodkaz"/>
            <w:noProof/>
            <w:color w:val="auto"/>
          </w:rPr>
          <w:t>Graf 3 Komparace mediánu mezd ve vybraných krajích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_Toc15639710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49</w:t>
        </w:r>
        <w:r w:rsidR="005B68C3" w:rsidRPr="005B68C3">
          <w:rPr>
            <w:noProof/>
            <w:webHidden/>
          </w:rPr>
          <w:fldChar w:fldCharType="end"/>
        </w:r>
      </w:hyperlink>
    </w:p>
    <w:p w14:paraId="1A4BA131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11" w:history="1">
        <w:r w:rsidR="005B68C3" w:rsidRPr="005B68C3">
          <w:rPr>
            <w:rStyle w:val="Hypertextovodkaz"/>
            <w:noProof/>
            <w:color w:val="auto"/>
          </w:rPr>
          <w:t>Graf 4 Komparace vybraných krajů při vývoji uchazečů o zaměstnání na úřadu práce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_Toc15639711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50</w:t>
        </w:r>
        <w:r w:rsidR="005B68C3" w:rsidRPr="005B68C3">
          <w:rPr>
            <w:noProof/>
            <w:webHidden/>
          </w:rPr>
          <w:fldChar w:fldCharType="end"/>
        </w:r>
      </w:hyperlink>
    </w:p>
    <w:p w14:paraId="6273A2F3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12" w:history="1">
        <w:r w:rsidR="005B68C3" w:rsidRPr="005B68C3">
          <w:rPr>
            <w:rStyle w:val="Hypertextovodkaz"/>
            <w:noProof/>
            <w:color w:val="auto"/>
          </w:rPr>
          <w:t>Graf 5 Komparace míry ekonomické aktivity obyvatelstva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_Toc15639712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53</w:t>
        </w:r>
        <w:r w:rsidR="005B68C3" w:rsidRPr="005B68C3">
          <w:rPr>
            <w:noProof/>
            <w:webHidden/>
          </w:rPr>
          <w:fldChar w:fldCharType="end"/>
        </w:r>
      </w:hyperlink>
    </w:p>
    <w:p w14:paraId="74E3254B" w14:textId="093F2F6E" w:rsidR="004153A8" w:rsidRDefault="00897F4D" w:rsidP="0025528F">
      <w:pPr>
        <w:ind w:firstLine="0"/>
      </w:pPr>
      <w:r>
        <w:fldChar w:fldCharType="end"/>
      </w:r>
    </w:p>
    <w:p w14:paraId="12C5D23E" w14:textId="0B174480" w:rsidR="00DE5578" w:rsidRDefault="00DE5578" w:rsidP="00DC2557">
      <w:pPr>
        <w:pStyle w:val="Nadpis2"/>
        <w:numPr>
          <w:ilvl w:val="0"/>
          <w:numId w:val="0"/>
        </w:numPr>
        <w:ind w:left="426"/>
      </w:pPr>
      <w:bookmarkStart w:id="82" w:name="_Toc15889419"/>
      <w:r>
        <w:t>Seznam vzorců</w:t>
      </w:r>
      <w:bookmarkEnd w:id="82"/>
    </w:p>
    <w:p w14:paraId="49FF19A8" w14:textId="77777777" w:rsidR="005B68C3" w:rsidRPr="005B68C3" w:rsidRDefault="00DE5578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"Vzorec" </w:instrText>
      </w:r>
      <w:r>
        <w:fldChar w:fldCharType="separate"/>
      </w:r>
      <w:hyperlink r:id="rId32" w:anchor="_Toc15639786" w:history="1">
        <w:r w:rsidR="005B68C3" w:rsidRPr="005B68C3">
          <w:rPr>
            <w:rStyle w:val="Hypertextovodkaz"/>
            <w:noProof/>
          </w:rPr>
          <w:t>Vzorec 1 ekonomická aktivita obyvatelstva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_Toc15639786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13</w:t>
        </w:r>
        <w:r w:rsidR="005B68C3" w:rsidRPr="005B68C3">
          <w:rPr>
            <w:noProof/>
            <w:webHidden/>
          </w:rPr>
          <w:fldChar w:fldCharType="end"/>
        </w:r>
      </w:hyperlink>
    </w:p>
    <w:p w14:paraId="5A880E28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87" w:history="1">
        <w:r w:rsidR="005B68C3" w:rsidRPr="005B68C3">
          <w:rPr>
            <w:rStyle w:val="Hypertextovodkaz"/>
            <w:noProof/>
          </w:rPr>
          <w:t>Vzorec 2 ekonomická aktivita obyvatelstva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_Toc15639787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13</w:t>
        </w:r>
        <w:r w:rsidR="005B68C3" w:rsidRPr="005B68C3">
          <w:rPr>
            <w:noProof/>
            <w:webHidden/>
          </w:rPr>
          <w:fldChar w:fldCharType="end"/>
        </w:r>
      </w:hyperlink>
    </w:p>
    <w:p w14:paraId="3094035A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88" w:history="1">
        <w:r w:rsidR="005B68C3" w:rsidRPr="005B68C3">
          <w:rPr>
            <w:rStyle w:val="Hypertextovodkaz"/>
            <w:noProof/>
          </w:rPr>
          <w:t>Vzorec 3 Analytické ukazatelé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_Toc15639788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14</w:t>
        </w:r>
        <w:r w:rsidR="005B68C3" w:rsidRPr="005B68C3">
          <w:rPr>
            <w:noProof/>
            <w:webHidden/>
          </w:rPr>
          <w:fldChar w:fldCharType="end"/>
        </w:r>
      </w:hyperlink>
    </w:p>
    <w:p w14:paraId="39515FF9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89" w:history="1">
        <w:r w:rsidR="005B68C3" w:rsidRPr="005B68C3">
          <w:rPr>
            <w:rStyle w:val="Hypertextovodkaz"/>
            <w:noProof/>
          </w:rPr>
          <w:t>Vzorec 4 Výpočet nezaměstnanosti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_Toc15639789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14</w:t>
        </w:r>
        <w:r w:rsidR="005B68C3" w:rsidRPr="005B68C3">
          <w:rPr>
            <w:noProof/>
            <w:webHidden/>
          </w:rPr>
          <w:fldChar w:fldCharType="end"/>
        </w:r>
      </w:hyperlink>
    </w:p>
    <w:p w14:paraId="01DBA9DA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90" w:history="1">
        <w:r w:rsidR="005B68C3" w:rsidRPr="005B68C3">
          <w:rPr>
            <w:rStyle w:val="Hypertextovodkaz"/>
            <w:noProof/>
          </w:rPr>
          <w:t>Vzorec 5Míra nezaměstnanosti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_Toc15639790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15</w:t>
        </w:r>
        <w:r w:rsidR="005B68C3" w:rsidRPr="005B68C3">
          <w:rPr>
            <w:noProof/>
            <w:webHidden/>
          </w:rPr>
          <w:fldChar w:fldCharType="end"/>
        </w:r>
      </w:hyperlink>
    </w:p>
    <w:p w14:paraId="630FD43A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91" w:history="1">
        <w:r w:rsidR="005B68C3" w:rsidRPr="005B68C3">
          <w:rPr>
            <w:rStyle w:val="Hypertextovodkaz"/>
            <w:noProof/>
          </w:rPr>
          <w:t>Vzorec 6 Míra registrované nezaměstnanosti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_Toc15639791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15</w:t>
        </w:r>
        <w:r w:rsidR="005B68C3" w:rsidRPr="005B68C3">
          <w:rPr>
            <w:noProof/>
            <w:webHidden/>
          </w:rPr>
          <w:fldChar w:fldCharType="end"/>
        </w:r>
      </w:hyperlink>
    </w:p>
    <w:p w14:paraId="714DB293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92" w:history="1">
        <w:r w:rsidR="005B68C3" w:rsidRPr="005B68C3">
          <w:rPr>
            <w:rStyle w:val="Hypertextovodkaz"/>
            <w:noProof/>
          </w:rPr>
          <w:t>Vzorec 7 Míra dlouhodobé nezaměstnanosti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_Toc15639792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16</w:t>
        </w:r>
        <w:r w:rsidR="005B68C3" w:rsidRPr="005B68C3">
          <w:rPr>
            <w:noProof/>
            <w:webHidden/>
          </w:rPr>
          <w:fldChar w:fldCharType="end"/>
        </w:r>
      </w:hyperlink>
    </w:p>
    <w:p w14:paraId="4CC8ABC3" w14:textId="77777777" w:rsidR="005B68C3" w:rsidRP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93" w:history="1">
        <w:r w:rsidR="005B68C3" w:rsidRPr="005B68C3">
          <w:rPr>
            <w:rStyle w:val="Hypertextovodkaz"/>
            <w:noProof/>
          </w:rPr>
          <w:t>Vzorec 8 Okunův zákon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_Toc15639793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23</w:t>
        </w:r>
        <w:r w:rsidR="005B68C3" w:rsidRPr="005B68C3">
          <w:rPr>
            <w:noProof/>
            <w:webHidden/>
          </w:rPr>
          <w:fldChar w:fldCharType="end"/>
        </w:r>
      </w:hyperlink>
    </w:p>
    <w:p w14:paraId="49722324" w14:textId="77777777" w:rsidR="005B68C3" w:rsidRDefault="00C512A0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39794" w:history="1">
        <w:r w:rsidR="005B68C3" w:rsidRPr="005B68C3">
          <w:rPr>
            <w:rStyle w:val="Hypertextovodkaz"/>
            <w:noProof/>
          </w:rPr>
          <w:t>Vzorec 9 Phillsova křivka</w:t>
        </w:r>
        <w:r w:rsidR="005B68C3" w:rsidRPr="005B68C3">
          <w:rPr>
            <w:noProof/>
            <w:webHidden/>
          </w:rPr>
          <w:tab/>
        </w:r>
        <w:r w:rsidR="005B68C3" w:rsidRPr="005B68C3">
          <w:rPr>
            <w:noProof/>
            <w:webHidden/>
          </w:rPr>
          <w:fldChar w:fldCharType="begin"/>
        </w:r>
        <w:r w:rsidR="005B68C3" w:rsidRPr="005B68C3">
          <w:rPr>
            <w:noProof/>
            <w:webHidden/>
          </w:rPr>
          <w:instrText xml:space="preserve"> PAGEREF _Toc15639794 \h </w:instrText>
        </w:r>
        <w:r w:rsidR="005B68C3" w:rsidRPr="005B68C3">
          <w:rPr>
            <w:noProof/>
            <w:webHidden/>
          </w:rPr>
        </w:r>
        <w:r w:rsidR="005B68C3" w:rsidRPr="005B68C3">
          <w:rPr>
            <w:noProof/>
            <w:webHidden/>
          </w:rPr>
          <w:fldChar w:fldCharType="separate"/>
        </w:r>
        <w:r w:rsidR="006433C9">
          <w:rPr>
            <w:noProof/>
            <w:webHidden/>
          </w:rPr>
          <w:t>26</w:t>
        </w:r>
        <w:r w:rsidR="005B68C3" w:rsidRPr="005B68C3">
          <w:rPr>
            <w:noProof/>
            <w:webHidden/>
          </w:rPr>
          <w:fldChar w:fldCharType="end"/>
        </w:r>
      </w:hyperlink>
    </w:p>
    <w:p w14:paraId="310AEC48" w14:textId="0886A107" w:rsidR="005B68C3" w:rsidRDefault="00DE5578" w:rsidP="0025528F">
      <w:pPr>
        <w:ind w:firstLine="0"/>
      </w:pPr>
      <w:r>
        <w:fldChar w:fldCharType="end"/>
      </w:r>
    </w:p>
    <w:p w14:paraId="2FDC4D6E" w14:textId="77777777" w:rsidR="005B68C3" w:rsidRDefault="005B68C3">
      <w:pPr>
        <w:spacing w:after="200" w:line="276" w:lineRule="auto"/>
        <w:ind w:firstLine="0"/>
        <w:jc w:val="left"/>
      </w:pPr>
      <w:r>
        <w:br w:type="page"/>
      </w:r>
    </w:p>
    <w:p w14:paraId="0B95779B" w14:textId="0D063F81" w:rsidR="00F35E3C" w:rsidRDefault="00F35E3C" w:rsidP="00DC2557">
      <w:pPr>
        <w:pStyle w:val="Nadpis2"/>
        <w:numPr>
          <w:ilvl w:val="0"/>
          <w:numId w:val="0"/>
        </w:numPr>
        <w:ind w:left="360"/>
      </w:pPr>
      <w:bookmarkStart w:id="83" w:name="_Toc15889420"/>
      <w:r>
        <w:lastRenderedPageBreak/>
        <w:t>Anotace</w:t>
      </w:r>
      <w:bookmarkEnd w:id="83"/>
      <w:r>
        <w:t xml:space="preserve"> </w:t>
      </w:r>
    </w:p>
    <w:p w14:paraId="0992568E" w14:textId="28D08F1D" w:rsidR="00F35E3C" w:rsidRDefault="00F35E3C" w:rsidP="00F35E3C">
      <w:pPr>
        <w:ind w:firstLine="0"/>
        <w:rPr>
          <w:b/>
        </w:rPr>
      </w:pPr>
      <w:r>
        <w:rPr>
          <w:b/>
        </w:rPr>
        <w:t xml:space="preserve">Bibliografický údaj: </w:t>
      </w:r>
      <w:r w:rsidRPr="009C15F4">
        <w:t xml:space="preserve">Monika </w:t>
      </w:r>
      <w:proofErr w:type="spellStart"/>
      <w:r w:rsidRPr="009C15F4">
        <w:t>Huťová</w:t>
      </w:r>
      <w:proofErr w:type="spellEnd"/>
      <w:r w:rsidRPr="009C15F4">
        <w:t xml:space="preserve">, Srovnání vývoje nezaměstnanosti a průměrného příjmu ve Středočeském </w:t>
      </w:r>
      <w:r w:rsidR="00A613C0">
        <w:t>a Olomouckém kraji v období 2013</w:t>
      </w:r>
      <w:r w:rsidRPr="009C15F4">
        <w:t>-2017., Olomouc 2019. Bakalářská práce. Moravská vysoká škola Olomouc. Vedoucí práce: Ing. Eva Jílková, Ph.D.</w:t>
      </w:r>
      <w:r>
        <w:rPr>
          <w:b/>
        </w:rPr>
        <w:t xml:space="preserve"> </w:t>
      </w:r>
    </w:p>
    <w:p w14:paraId="72532531" w14:textId="77777777" w:rsidR="00F35E3C" w:rsidRDefault="00F35E3C" w:rsidP="00F35E3C">
      <w:pPr>
        <w:ind w:firstLine="0"/>
        <w:jc w:val="center"/>
        <w:rPr>
          <w:b/>
        </w:rPr>
      </w:pPr>
    </w:p>
    <w:p w14:paraId="4E0F2AD4" w14:textId="1C290F5E" w:rsidR="00F35E3C" w:rsidRDefault="00F35E3C" w:rsidP="00F35E3C">
      <w:pPr>
        <w:spacing w:after="200" w:line="276" w:lineRule="auto"/>
        <w:ind w:firstLine="0"/>
        <w:jc w:val="left"/>
      </w:pPr>
      <w:r>
        <w:rPr>
          <w:b/>
        </w:rPr>
        <w:t xml:space="preserve">Název práce: </w:t>
      </w:r>
      <w:r>
        <w:t xml:space="preserve">Srovnávání vývoje nezaměstnanosti a průměrného příjmu ve Středočeském </w:t>
      </w:r>
      <w:r w:rsidR="00A613C0">
        <w:t>a Olomouckém kraji v období 2013</w:t>
      </w:r>
      <w:r>
        <w:t xml:space="preserve"> – 2017. </w:t>
      </w:r>
    </w:p>
    <w:p w14:paraId="36EAD36F" w14:textId="77777777" w:rsidR="00F35E3C" w:rsidRDefault="00F35E3C" w:rsidP="00F35E3C">
      <w:pPr>
        <w:spacing w:after="200" w:line="276" w:lineRule="auto"/>
        <w:ind w:firstLine="0"/>
        <w:jc w:val="left"/>
      </w:pPr>
      <w:r w:rsidRPr="00247D90">
        <w:rPr>
          <w:b/>
        </w:rPr>
        <w:t>Autor:</w:t>
      </w:r>
      <w:r>
        <w:t xml:space="preserve"> Monika </w:t>
      </w:r>
      <w:proofErr w:type="spellStart"/>
      <w:r>
        <w:t>Huťová</w:t>
      </w:r>
      <w:proofErr w:type="spellEnd"/>
      <w:r>
        <w:t xml:space="preserve"> </w:t>
      </w:r>
    </w:p>
    <w:p w14:paraId="69BE1E5E" w14:textId="77777777" w:rsidR="00F35E3C" w:rsidRDefault="00F35E3C" w:rsidP="00F35E3C">
      <w:pPr>
        <w:spacing w:after="200" w:line="276" w:lineRule="auto"/>
        <w:ind w:firstLine="0"/>
        <w:jc w:val="left"/>
      </w:pPr>
      <w:r w:rsidRPr="00247D90">
        <w:rPr>
          <w:b/>
        </w:rPr>
        <w:t>Ústav:</w:t>
      </w:r>
      <w:r>
        <w:t xml:space="preserve"> Ekonomie </w:t>
      </w:r>
    </w:p>
    <w:p w14:paraId="3D9FDC35" w14:textId="77777777" w:rsidR="00F35E3C" w:rsidRDefault="00F35E3C" w:rsidP="00F35E3C">
      <w:pPr>
        <w:spacing w:after="200" w:line="276" w:lineRule="auto"/>
        <w:ind w:firstLine="0"/>
        <w:jc w:val="left"/>
      </w:pPr>
      <w:r w:rsidRPr="00247D90">
        <w:rPr>
          <w:b/>
        </w:rPr>
        <w:t>Vedoucí práce:</w:t>
      </w:r>
      <w:r>
        <w:t xml:space="preserve"> Ing. Eva Jílková, Ph.D. </w:t>
      </w:r>
    </w:p>
    <w:p w14:paraId="12E6AE72" w14:textId="455A202C" w:rsidR="00F35E3C" w:rsidRDefault="00F35E3C" w:rsidP="00F35E3C">
      <w:pPr>
        <w:spacing w:after="200" w:line="276" w:lineRule="auto"/>
        <w:ind w:firstLine="0"/>
        <w:jc w:val="left"/>
      </w:pPr>
      <w:r>
        <w:t xml:space="preserve">Abstrakt: Cílem této práce je komparace vývoje nezaměstnanosti a vývoje průměrného příjmu v Olomouckém a </w:t>
      </w:r>
      <w:r w:rsidR="00A613C0">
        <w:t>Středočeském kraji v období 2013</w:t>
      </w:r>
      <w:r>
        <w:t xml:space="preserve"> – 2017. Podklady pro komparaci obou krajů jsou převzaté z Českého statistického úřadu. V teoretické části jsou rozebrané pojmy trh práce, nezaměstnanost, druhy nezaměstnanosti, důvody nezaměstnanosti a všechny další pojmy, které s nezaměstnaností souvisí. V praktické části je provedeno srovnání míry nezaměstnanosti v obou regionech a jsou zde navržena vhodná opatření pro podporu zaměstnanosti a růstu pracovní síly.</w:t>
      </w:r>
    </w:p>
    <w:p w14:paraId="648E6683" w14:textId="2C1EF072" w:rsidR="00A7112A" w:rsidRDefault="00A7112A" w:rsidP="00A7112A">
      <w:pPr>
        <w:spacing w:after="200" w:line="276" w:lineRule="auto"/>
        <w:ind w:firstLine="0"/>
        <w:jc w:val="left"/>
      </w:pPr>
      <w:r>
        <w:t>Klíčová slova: trh práce, komparace, Olomoucký kraj, Středočeský kraj, n</w:t>
      </w:r>
      <w:r w:rsidR="002A322C">
        <w:t>ezaměstnanost, průměrný příjem,</w:t>
      </w:r>
    </w:p>
    <w:p w14:paraId="36BF125F" w14:textId="77777777" w:rsidR="00F35E3C" w:rsidRPr="001320E9" w:rsidRDefault="00F35E3C" w:rsidP="00F35E3C">
      <w:pPr>
        <w:spacing w:after="200" w:line="276" w:lineRule="auto"/>
        <w:ind w:firstLine="0"/>
        <w:jc w:val="left"/>
      </w:pPr>
    </w:p>
    <w:p w14:paraId="5B30A0E0" w14:textId="24D58F70" w:rsidR="00F35E3C" w:rsidRPr="006143C0" w:rsidRDefault="00F35E3C" w:rsidP="00F35E3C">
      <w:pPr>
        <w:spacing w:after="200" w:line="276" w:lineRule="auto"/>
        <w:ind w:firstLine="0"/>
        <w:jc w:val="left"/>
      </w:pPr>
      <w:r w:rsidRPr="00BA6FDD">
        <w:rPr>
          <w:b/>
          <w:lang w:val="en-US"/>
        </w:rPr>
        <w:t>Title:</w:t>
      </w:r>
      <w:r>
        <w:rPr>
          <w:b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 and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Bohemia Region</w:t>
      </w:r>
      <w:r w:rsidR="00A613C0">
        <w:t xml:space="preserve"> and Olomouc Region </w:t>
      </w:r>
      <w:proofErr w:type="spellStart"/>
      <w:r w:rsidR="00A613C0">
        <w:t>between</w:t>
      </w:r>
      <w:proofErr w:type="spellEnd"/>
      <w:r w:rsidR="00A613C0">
        <w:t xml:space="preserve"> 2013</w:t>
      </w:r>
      <w:r>
        <w:t xml:space="preserve"> and 2017.</w:t>
      </w:r>
    </w:p>
    <w:p w14:paraId="73988D76" w14:textId="77777777" w:rsidR="00F35E3C" w:rsidRPr="009055CF" w:rsidRDefault="00F35E3C" w:rsidP="00F35E3C">
      <w:pPr>
        <w:spacing w:after="200" w:line="276" w:lineRule="auto"/>
        <w:ind w:firstLine="0"/>
        <w:jc w:val="left"/>
      </w:pPr>
      <w:r w:rsidRPr="00BA6FDD">
        <w:rPr>
          <w:b/>
          <w:lang w:val="en-US"/>
        </w:rPr>
        <w:t>Author:</w:t>
      </w:r>
      <w:r>
        <w:rPr>
          <w:b/>
        </w:rPr>
        <w:t xml:space="preserve"> </w:t>
      </w:r>
      <w:r w:rsidRPr="009055CF">
        <w:t xml:space="preserve">Monika </w:t>
      </w:r>
      <w:proofErr w:type="spellStart"/>
      <w:r w:rsidRPr="009055CF">
        <w:t>Huťová</w:t>
      </w:r>
      <w:proofErr w:type="spellEnd"/>
      <w:r w:rsidRPr="009055CF">
        <w:t xml:space="preserve"> </w:t>
      </w:r>
    </w:p>
    <w:p w14:paraId="3E77CAC6" w14:textId="18410595" w:rsidR="00F35E3C" w:rsidRDefault="00F35E3C" w:rsidP="00F35E3C">
      <w:pPr>
        <w:spacing w:after="200" w:line="276" w:lineRule="auto"/>
        <w:ind w:firstLine="0"/>
        <w:jc w:val="left"/>
        <w:rPr>
          <w:lang w:val="en-US"/>
        </w:rPr>
      </w:pPr>
      <w:r w:rsidRPr="00BA6FDD">
        <w:rPr>
          <w:b/>
          <w:lang w:val="en-US"/>
        </w:rPr>
        <w:t xml:space="preserve">Department: </w:t>
      </w:r>
      <w:r w:rsidR="00BF4134">
        <w:rPr>
          <w:lang w:val="en-US"/>
        </w:rPr>
        <w:t>Department of Economics</w:t>
      </w:r>
    </w:p>
    <w:p w14:paraId="14AADEC8" w14:textId="742C1B5F" w:rsidR="00F35E3C" w:rsidRPr="009055CF" w:rsidRDefault="00F35E3C" w:rsidP="00F35E3C">
      <w:pPr>
        <w:spacing w:after="200" w:line="276" w:lineRule="auto"/>
        <w:ind w:firstLine="0"/>
        <w:jc w:val="left"/>
        <w:rPr>
          <w:lang w:val="en-US"/>
        </w:rPr>
      </w:pPr>
      <w:r w:rsidRPr="00A65844">
        <w:rPr>
          <w:b/>
          <w:lang w:val="en-US"/>
        </w:rPr>
        <w:t>Supervisor: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r w:rsidR="00BF4134">
        <w:rPr>
          <w:lang w:val="en-US"/>
        </w:rPr>
        <w:t>ng</w:t>
      </w:r>
      <w:proofErr w:type="spellEnd"/>
      <w:r w:rsidR="00BF4134">
        <w:rPr>
          <w:lang w:val="en-US"/>
        </w:rPr>
        <w:t xml:space="preserve">. Eva </w:t>
      </w:r>
      <w:proofErr w:type="spellStart"/>
      <w:r w:rsidR="00BF4134">
        <w:rPr>
          <w:lang w:val="en-US"/>
        </w:rPr>
        <w:t>Jílková</w:t>
      </w:r>
      <w:proofErr w:type="spellEnd"/>
      <w:r w:rsidR="00BF4134">
        <w:rPr>
          <w:lang w:val="en-US"/>
        </w:rPr>
        <w:t>, Ph.D.</w:t>
      </w:r>
    </w:p>
    <w:p w14:paraId="7A2F1230" w14:textId="2E989357" w:rsidR="00F35E3C" w:rsidRDefault="00F35E3C" w:rsidP="00F35E3C">
      <w:pPr>
        <w:tabs>
          <w:tab w:val="right" w:pos="9072"/>
        </w:tabs>
        <w:spacing w:line="240" w:lineRule="auto"/>
        <w:ind w:firstLine="0"/>
        <w:jc w:val="left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thesis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 and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Bohemia region</w:t>
      </w:r>
      <w:r w:rsidR="00A613C0">
        <w:t xml:space="preserve"> and Olomouc region </w:t>
      </w:r>
      <w:proofErr w:type="spellStart"/>
      <w:r w:rsidR="00A613C0">
        <w:t>between</w:t>
      </w:r>
      <w:proofErr w:type="spellEnd"/>
      <w:r w:rsidR="00A613C0">
        <w:t xml:space="preserve"> 2013</w:t>
      </w:r>
      <w:r>
        <w:t xml:space="preserve"> and 2017. </w:t>
      </w:r>
      <w:proofErr w:type="spellStart"/>
      <w:r>
        <w:t>The</w:t>
      </w:r>
      <w:proofErr w:type="spellEnd"/>
      <w:r>
        <w:t xml:space="preserve"> background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thesis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Statisctical</w:t>
      </w:r>
      <w:proofErr w:type="spellEnd"/>
      <w:r>
        <w:t xml:space="preserve"> Office </w:t>
      </w:r>
      <w:proofErr w:type="spellStart"/>
      <w:r>
        <w:t>records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thesis </w:t>
      </w:r>
      <w:proofErr w:type="spellStart"/>
      <w:r>
        <w:t>deals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such as </w:t>
      </w:r>
      <w:proofErr w:type="spellStart"/>
      <w:r>
        <w:t>labour</w:t>
      </w:r>
      <w:proofErr w:type="spellEnd"/>
      <w:r>
        <w:t xml:space="preserve"> market,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, </w:t>
      </w:r>
      <w:proofErr w:type="spellStart"/>
      <w:r>
        <w:t>unemloyment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,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thesis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 and </w:t>
      </w:r>
      <w:proofErr w:type="spellStart"/>
      <w:r>
        <w:t>avarage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 and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support </w:t>
      </w:r>
      <w:proofErr w:type="spellStart"/>
      <w:r>
        <w:t>employment</w:t>
      </w:r>
      <w:proofErr w:type="spellEnd"/>
      <w:r>
        <w:t xml:space="preserve"> and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workforce</w:t>
      </w:r>
      <w:proofErr w:type="spellEnd"/>
      <w:r>
        <w:t>.</w:t>
      </w:r>
    </w:p>
    <w:p w14:paraId="776CE3F0" w14:textId="77777777" w:rsidR="00A7112A" w:rsidRPr="00F35E3C" w:rsidRDefault="00A7112A" w:rsidP="00F35E3C">
      <w:pPr>
        <w:tabs>
          <w:tab w:val="right" w:pos="9072"/>
        </w:tabs>
        <w:spacing w:line="240" w:lineRule="auto"/>
        <w:ind w:firstLine="0"/>
        <w:jc w:val="left"/>
        <w:rPr>
          <w:b/>
        </w:rPr>
      </w:pPr>
    </w:p>
    <w:p w14:paraId="406F5ED2" w14:textId="00CBF11D" w:rsidR="00F35E3C" w:rsidRPr="00880B78" w:rsidRDefault="00A7112A" w:rsidP="00A7112A">
      <w:pPr>
        <w:spacing w:after="200" w:line="276" w:lineRule="auto"/>
        <w:ind w:firstLine="0"/>
        <w:jc w:val="left"/>
      </w:pPr>
      <w:proofErr w:type="spellStart"/>
      <w:r w:rsidRPr="006143C0">
        <w:rPr>
          <w:b/>
        </w:rPr>
        <w:t>Key</w:t>
      </w:r>
      <w:proofErr w:type="spellEnd"/>
      <w:r w:rsidRPr="006143C0">
        <w:rPr>
          <w:b/>
        </w:rPr>
        <w:t xml:space="preserve"> </w:t>
      </w:r>
      <w:proofErr w:type="spellStart"/>
      <w:r w:rsidRPr="006143C0">
        <w:rPr>
          <w:b/>
        </w:rPr>
        <w:t>words</w:t>
      </w:r>
      <w:proofErr w:type="spellEnd"/>
      <w:r w:rsidRPr="006143C0">
        <w:rPr>
          <w:b/>
        </w:rPr>
        <w:t>:</w:t>
      </w:r>
      <w:r>
        <w:t xml:space="preserve"> </w:t>
      </w:r>
      <w:proofErr w:type="spellStart"/>
      <w:r>
        <w:t>labour</w:t>
      </w:r>
      <w:proofErr w:type="spellEnd"/>
      <w:r>
        <w:t xml:space="preserve"> market, </w:t>
      </w:r>
      <w:proofErr w:type="spellStart"/>
      <w:r>
        <w:t>comparison</w:t>
      </w:r>
      <w:proofErr w:type="spellEnd"/>
      <w:r>
        <w:t xml:space="preserve">, Olomouc region, </w:t>
      </w:r>
      <w:proofErr w:type="spellStart"/>
      <w:r>
        <w:t>Central</w:t>
      </w:r>
      <w:proofErr w:type="spellEnd"/>
      <w:r>
        <w:t xml:space="preserve"> Bohemia Region</w:t>
      </w:r>
      <w:r w:rsidR="002A322C">
        <w:t xml:space="preserve">, </w:t>
      </w:r>
      <w:proofErr w:type="spellStart"/>
      <w:r w:rsidR="002A322C">
        <w:t>unemployment</w:t>
      </w:r>
      <w:proofErr w:type="spellEnd"/>
      <w:r w:rsidR="002A322C">
        <w:t xml:space="preserve">, </w:t>
      </w:r>
      <w:proofErr w:type="spellStart"/>
      <w:r w:rsidR="002A322C">
        <w:t>average</w:t>
      </w:r>
      <w:proofErr w:type="spellEnd"/>
      <w:r w:rsidR="002A322C">
        <w:t xml:space="preserve"> </w:t>
      </w:r>
      <w:proofErr w:type="spellStart"/>
      <w:r w:rsidR="002A322C">
        <w:t>income</w:t>
      </w:r>
      <w:proofErr w:type="spellEnd"/>
      <w:r w:rsidR="002A322C">
        <w:t>,</w:t>
      </w:r>
    </w:p>
    <w:sectPr w:rsidR="00F35E3C" w:rsidRPr="00880B78" w:rsidSect="0036279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7CB41" w14:textId="77777777" w:rsidR="007A168D" w:rsidRDefault="007A168D">
      <w:pPr>
        <w:spacing w:line="240" w:lineRule="auto"/>
      </w:pPr>
      <w:r>
        <w:separator/>
      </w:r>
    </w:p>
  </w:endnote>
  <w:endnote w:type="continuationSeparator" w:id="0">
    <w:p w14:paraId="613FEB16" w14:textId="77777777" w:rsidR="007A168D" w:rsidRDefault="007A1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F4B9E" w14:textId="2C0F15BE" w:rsidR="00A613C0" w:rsidRDefault="00A613C0" w:rsidP="00243612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90B8C" w14:textId="68A8AF17" w:rsidR="00A613C0" w:rsidRDefault="00A613C0" w:rsidP="00CC4441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88297"/>
      <w:docPartObj>
        <w:docPartGallery w:val="Page Numbers (Bottom of Page)"/>
        <w:docPartUnique/>
      </w:docPartObj>
    </w:sdtPr>
    <w:sdtContent>
      <w:p w14:paraId="6B8766D3" w14:textId="5C0A0736" w:rsidR="00A613C0" w:rsidRDefault="00A613C0" w:rsidP="002436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C9">
          <w:rPr>
            <w:noProof/>
          </w:rPr>
          <w:t>61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240CD" w14:textId="77777777" w:rsidR="007A168D" w:rsidRDefault="007A168D">
      <w:pPr>
        <w:spacing w:line="240" w:lineRule="auto"/>
      </w:pPr>
      <w:r>
        <w:separator/>
      </w:r>
    </w:p>
  </w:footnote>
  <w:footnote w:type="continuationSeparator" w:id="0">
    <w:p w14:paraId="6A034A73" w14:textId="77777777" w:rsidR="007A168D" w:rsidRDefault="007A168D">
      <w:pPr>
        <w:spacing w:line="240" w:lineRule="auto"/>
      </w:pPr>
      <w:r>
        <w:continuationSeparator/>
      </w:r>
    </w:p>
  </w:footnote>
  <w:footnote w:id="1">
    <w:p w14:paraId="38D37498" w14:textId="61782349" w:rsidR="00A613C0" w:rsidRPr="00DC2557" w:rsidRDefault="00A613C0" w:rsidP="00DC2557">
      <w:pPr>
        <w:pStyle w:val="Textpoznpodarou"/>
        <w:ind w:firstLine="0"/>
        <w:rPr>
          <w:color w:val="000000" w:themeColor="text1"/>
        </w:rPr>
      </w:pPr>
      <w:r w:rsidRPr="00DC2557">
        <w:rPr>
          <w:rStyle w:val="Znakapoznpodarou"/>
        </w:rPr>
        <w:footnoteRef/>
      </w:r>
      <w:r w:rsidRPr="00DC2557">
        <w:rPr>
          <w:color w:val="000000" w:themeColor="text1"/>
        </w:rPr>
        <w:t xml:space="preserve"> JUREČKA Václav, </w:t>
      </w:r>
      <w:r w:rsidRPr="00DC2557">
        <w:rPr>
          <w:i/>
          <w:iCs/>
          <w:color w:val="000000" w:themeColor="text1"/>
        </w:rPr>
        <w:t>Mikroekonomie,</w:t>
      </w:r>
      <w:r w:rsidRPr="00DC2557">
        <w:rPr>
          <w:color w:val="000000" w:themeColor="text1"/>
        </w:rPr>
        <w:t xml:space="preserve"> (2018), s. 258,</w:t>
      </w:r>
    </w:p>
  </w:footnote>
  <w:footnote w:id="2">
    <w:p w14:paraId="1E3A8BA8" w14:textId="4B76A97B" w:rsidR="00A613C0" w:rsidRDefault="00A613C0" w:rsidP="00DC2557">
      <w:pPr>
        <w:spacing w:line="240" w:lineRule="auto"/>
        <w:ind w:firstLine="0"/>
      </w:pPr>
      <w:r w:rsidRPr="00DC2557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DC2557">
        <w:rPr>
          <w:sz w:val="20"/>
          <w:szCs w:val="20"/>
        </w:rPr>
        <w:t>KEŘKOVSKÝ Miroslav, Úvod do mikroekonomie s využitím prvků distančního studia</w:t>
      </w:r>
      <w:r>
        <w:rPr>
          <w:sz w:val="20"/>
          <w:szCs w:val="20"/>
        </w:rPr>
        <w:t xml:space="preserve"> (2012), s. 12,</w:t>
      </w:r>
    </w:p>
  </w:footnote>
  <w:footnote w:id="3">
    <w:p w14:paraId="107FC5F5" w14:textId="6CE094D6" w:rsidR="00A613C0" w:rsidRPr="00CA0D47" w:rsidRDefault="00A613C0" w:rsidP="000E630D">
      <w:pPr>
        <w:pStyle w:val="Textpoznpodarou"/>
        <w:ind w:firstLine="0"/>
        <w:rPr>
          <w:color w:val="000000" w:themeColor="text1"/>
        </w:rPr>
      </w:pPr>
      <w:r w:rsidRPr="00CA0D47">
        <w:rPr>
          <w:rStyle w:val="Znakapoznpodarou"/>
          <w:color w:val="000000" w:themeColor="text1"/>
        </w:rPr>
        <w:footnoteRef/>
      </w:r>
      <w:r>
        <w:rPr>
          <w:color w:val="000000" w:themeColor="text1"/>
        </w:rPr>
        <w:t>JUREČKA Václav,</w:t>
      </w:r>
      <w:r w:rsidRPr="00CA0D47">
        <w:rPr>
          <w:color w:val="000000" w:themeColor="text1"/>
        </w:rPr>
        <w:t xml:space="preserve"> </w:t>
      </w:r>
      <w:r w:rsidRPr="00CA0D47">
        <w:rPr>
          <w:i/>
          <w:iCs/>
          <w:color w:val="000000" w:themeColor="text1"/>
        </w:rPr>
        <w:t>Mikroekonomie</w:t>
      </w:r>
      <w:r>
        <w:rPr>
          <w:i/>
          <w:iCs/>
          <w:color w:val="000000" w:themeColor="text1"/>
        </w:rPr>
        <w:t>,</w:t>
      </w:r>
      <w:r>
        <w:rPr>
          <w:color w:val="000000" w:themeColor="text1"/>
        </w:rPr>
        <w:t xml:space="preserve"> (</w:t>
      </w:r>
      <w:r w:rsidRPr="00CA0D47">
        <w:rPr>
          <w:color w:val="000000" w:themeColor="text1"/>
        </w:rPr>
        <w:t>2018</w:t>
      </w:r>
      <w:r>
        <w:rPr>
          <w:color w:val="000000" w:themeColor="text1"/>
        </w:rPr>
        <w:t>)</w:t>
      </w:r>
      <w:r w:rsidRPr="00CA0D47">
        <w:rPr>
          <w:color w:val="000000" w:themeColor="text1"/>
        </w:rPr>
        <w:t>,</w:t>
      </w:r>
      <w:r>
        <w:rPr>
          <w:color w:val="000000" w:themeColor="text1"/>
        </w:rPr>
        <w:t xml:space="preserve"> s. 258,</w:t>
      </w:r>
    </w:p>
  </w:footnote>
  <w:footnote w:id="4">
    <w:p w14:paraId="6F5F4F27" w14:textId="3DF07B75" w:rsidR="00A613C0" w:rsidRPr="00CA0D47" w:rsidRDefault="00A613C0" w:rsidP="000E630D">
      <w:pPr>
        <w:pStyle w:val="Textpoznpodarou"/>
        <w:ind w:firstLine="0"/>
        <w:rPr>
          <w:color w:val="000000" w:themeColor="text1"/>
        </w:rPr>
      </w:pPr>
      <w:r w:rsidRPr="00CA0D47">
        <w:rPr>
          <w:rStyle w:val="Znakapoznpodarou"/>
          <w:color w:val="000000" w:themeColor="text1"/>
        </w:rPr>
        <w:footnoteRef/>
      </w:r>
      <w:r>
        <w:rPr>
          <w:color w:val="000000" w:themeColor="text1"/>
        </w:rPr>
        <w:t xml:space="preserve"> Tamtéž, s. 258,</w:t>
      </w:r>
    </w:p>
  </w:footnote>
  <w:footnote w:id="5">
    <w:p w14:paraId="09FD028E" w14:textId="2EC1C3E6" w:rsidR="00A613C0" w:rsidRPr="00CA0D47" w:rsidRDefault="00A613C0" w:rsidP="000E630D">
      <w:pPr>
        <w:pStyle w:val="Textpoznpodarou"/>
        <w:ind w:firstLine="0"/>
        <w:rPr>
          <w:color w:val="000000" w:themeColor="text1"/>
        </w:rPr>
      </w:pPr>
      <w:r w:rsidRPr="00CA0D47">
        <w:rPr>
          <w:rStyle w:val="Znakapoznpodarou"/>
          <w:color w:val="000000" w:themeColor="text1"/>
        </w:rPr>
        <w:footnoteRef/>
      </w:r>
      <w:r>
        <w:rPr>
          <w:color w:val="000000" w:themeColor="text1"/>
        </w:rPr>
        <w:t xml:space="preserve"> Tamtéž, s. 258,</w:t>
      </w:r>
    </w:p>
  </w:footnote>
  <w:footnote w:id="6">
    <w:p w14:paraId="1EA6F006" w14:textId="1B313A73" w:rsidR="00A613C0" w:rsidRPr="00CA0D47" w:rsidRDefault="00A613C0" w:rsidP="000E630D">
      <w:pPr>
        <w:pStyle w:val="Textpoznpodarou"/>
        <w:ind w:firstLine="0"/>
        <w:rPr>
          <w:color w:val="000000" w:themeColor="text1"/>
        </w:rPr>
      </w:pPr>
      <w:r w:rsidRPr="00CA0D47">
        <w:rPr>
          <w:rStyle w:val="Znakapoznpodarou"/>
          <w:color w:val="000000" w:themeColor="text1"/>
        </w:rPr>
        <w:footnoteRef/>
      </w:r>
      <w:r>
        <w:rPr>
          <w:color w:val="000000" w:themeColor="text1"/>
        </w:rPr>
        <w:t xml:space="preserve"> Tamtéž, s. 265,</w:t>
      </w:r>
    </w:p>
  </w:footnote>
  <w:footnote w:id="7">
    <w:p w14:paraId="11B83683" w14:textId="4A9C1901" w:rsidR="00A613C0" w:rsidRDefault="00A613C0" w:rsidP="000E630D">
      <w:pPr>
        <w:pStyle w:val="Textpoznpodarou"/>
        <w:ind w:firstLine="0"/>
      </w:pPr>
      <w:r w:rsidRPr="00CA0D47">
        <w:rPr>
          <w:rStyle w:val="Znakapoznpodarou"/>
          <w:color w:val="000000" w:themeColor="text1"/>
        </w:rPr>
        <w:footnoteRef/>
      </w:r>
      <w:r w:rsidRPr="00CA0D47">
        <w:rPr>
          <w:color w:val="000000" w:themeColor="text1"/>
        </w:rPr>
        <w:t xml:space="preserve"> Tamtéž, s. 258</w:t>
      </w:r>
      <w:r>
        <w:rPr>
          <w:color w:val="000000" w:themeColor="text1"/>
        </w:rPr>
        <w:t>,</w:t>
      </w:r>
    </w:p>
  </w:footnote>
  <w:footnote w:id="8">
    <w:p w14:paraId="0285AA32" w14:textId="7CBB9526" w:rsidR="00A613C0" w:rsidRPr="007A5FB9" w:rsidRDefault="00A613C0" w:rsidP="009125FC">
      <w:pPr>
        <w:pStyle w:val="Textpoznpodarou"/>
        <w:ind w:firstLine="0"/>
        <w:rPr>
          <w:highlight w:val="yellow"/>
        </w:rPr>
      </w:pPr>
      <w:r>
        <w:rPr>
          <w:rStyle w:val="Znakapoznpodarou"/>
        </w:rPr>
        <w:footnoteRef/>
      </w:r>
      <w:r>
        <w:t xml:space="preserve"> </w:t>
      </w:r>
      <w:r w:rsidRPr="00BD1C39">
        <w:t xml:space="preserve">JUREČKA, Václav. </w:t>
      </w:r>
      <w:r w:rsidRPr="00BD1C39">
        <w:rPr>
          <w:i/>
          <w:iCs/>
        </w:rPr>
        <w:t>Makroekonomie</w:t>
      </w:r>
      <w:r w:rsidRPr="00BD1C39">
        <w:t>., (2017), s. 68</w:t>
      </w:r>
      <w:r>
        <w:t>,</w:t>
      </w:r>
    </w:p>
  </w:footnote>
  <w:footnote w:id="9">
    <w:p w14:paraId="7E14AC3E" w14:textId="65E022AA" w:rsidR="00A613C0" w:rsidRPr="003F4937" w:rsidRDefault="00A613C0" w:rsidP="00041B4C">
      <w:pPr>
        <w:pStyle w:val="Textpoznpodarou"/>
        <w:ind w:firstLine="0"/>
      </w:pPr>
      <w:r w:rsidRPr="003F4937">
        <w:rPr>
          <w:rStyle w:val="Znakapoznpodarou"/>
        </w:rPr>
        <w:footnoteRef/>
      </w:r>
      <w:r w:rsidRPr="003F4937">
        <w:t xml:space="preserve"> JUREČKA, Václav. </w:t>
      </w:r>
      <w:r w:rsidRPr="003F4937">
        <w:rPr>
          <w:i/>
          <w:iCs/>
        </w:rPr>
        <w:t>Makroekonomie</w:t>
      </w:r>
      <w:r w:rsidRPr="003F4937">
        <w:t>., (2017), s. 269,</w:t>
      </w:r>
    </w:p>
  </w:footnote>
  <w:footnote w:id="10">
    <w:p w14:paraId="20E7F790" w14:textId="6C632291" w:rsidR="00A613C0" w:rsidRDefault="00A613C0" w:rsidP="009125FC">
      <w:pPr>
        <w:pStyle w:val="Textpoznpodarou"/>
        <w:ind w:firstLine="0"/>
      </w:pPr>
      <w:r w:rsidRPr="003F4937">
        <w:rPr>
          <w:rStyle w:val="Znakapoznpodarou"/>
        </w:rPr>
        <w:footnoteRef/>
      </w:r>
      <w:r>
        <w:t xml:space="preserve"> Tamtéž, s. 269,</w:t>
      </w:r>
    </w:p>
  </w:footnote>
  <w:footnote w:id="11">
    <w:p w14:paraId="6E5CA4FF" w14:textId="631342D5" w:rsidR="00A613C0" w:rsidRPr="00375F3A" w:rsidRDefault="00A613C0" w:rsidP="00D328E0">
      <w:pPr>
        <w:spacing w:line="240" w:lineRule="auto"/>
        <w:ind w:firstLine="0"/>
        <w:rPr>
          <w:color w:val="000000" w:themeColor="text1"/>
          <w:sz w:val="20"/>
          <w:szCs w:val="20"/>
        </w:rPr>
      </w:pPr>
      <w:r w:rsidRPr="00375F3A">
        <w:rPr>
          <w:rStyle w:val="Znakapoznpodarou"/>
          <w:color w:val="000000" w:themeColor="text1"/>
        </w:rPr>
        <w:footnoteRef/>
      </w:r>
      <w:r w:rsidRPr="00375F3A">
        <w:rPr>
          <w:color w:val="000000" w:themeColor="text1"/>
        </w:rPr>
        <w:t xml:space="preserve"> </w:t>
      </w:r>
      <w:r w:rsidRPr="00375F3A">
        <w:rPr>
          <w:color w:val="000000" w:themeColor="text1"/>
          <w:sz w:val="20"/>
          <w:szCs w:val="20"/>
        </w:rPr>
        <w:t>ROJÍČEK, Marek, SPĚVÁČEK</w:t>
      </w:r>
      <w:r>
        <w:rPr>
          <w:color w:val="000000" w:themeColor="text1"/>
          <w:sz w:val="20"/>
          <w:szCs w:val="20"/>
        </w:rPr>
        <w:t xml:space="preserve"> </w:t>
      </w:r>
      <w:r w:rsidRPr="00375F3A">
        <w:rPr>
          <w:color w:val="000000" w:themeColor="text1"/>
          <w:sz w:val="20"/>
          <w:szCs w:val="20"/>
        </w:rPr>
        <w:t xml:space="preserve">Vojtěch </w:t>
      </w:r>
      <w:r>
        <w:rPr>
          <w:color w:val="000000" w:themeColor="text1"/>
          <w:sz w:val="20"/>
          <w:szCs w:val="20"/>
        </w:rPr>
        <w:t>a kolektiv,</w:t>
      </w:r>
      <w:r w:rsidRPr="00375F3A">
        <w:rPr>
          <w:color w:val="000000" w:themeColor="text1"/>
          <w:sz w:val="20"/>
          <w:szCs w:val="20"/>
        </w:rPr>
        <w:t xml:space="preserve"> </w:t>
      </w:r>
      <w:r w:rsidRPr="00375F3A">
        <w:rPr>
          <w:i/>
          <w:iCs/>
          <w:color w:val="000000" w:themeColor="text1"/>
          <w:sz w:val="20"/>
          <w:szCs w:val="20"/>
        </w:rPr>
        <w:t>Makroekonomická analýza: teorie a praxe</w:t>
      </w:r>
      <w:r>
        <w:rPr>
          <w:color w:val="000000" w:themeColor="text1"/>
          <w:sz w:val="20"/>
          <w:szCs w:val="20"/>
        </w:rPr>
        <w:t>, (</w:t>
      </w:r>
      <w:r w:rsidRPr="00375F3A">
        <w:rPr>
          <w:color w:val="000000" w:themeColor="text1"/>
          <w:sz w:val="20"/>
          <w:szCs w:val="20"/>
        </w:rPr>
        <w:t>2016</w:t>
      </w:r>
      <w:r>
        <w:rPr>
          <w:color w:val="000000" w:themeColor="text1"/>
          <w:sz w:val="20"/>
          <w:szCs w:val="20"/>
        </w:rPr>
        <w:t>), s. 222 – 223,</w:t>
      </w:r>
    </w:p>
  </w:footnote>
  <w:footnote w:id="12">
    <w:p w14:paraId="3E43352C" w14:textId="5D414A5B" w:rsidR="00A613C0" w:rsidRPr="00375F3A" w:rsidRDefault="00A613C0" w:rsidP="00D328E0">
      <w:pPr>
        <w:pStyle w:val="Textpoznpodarou"/>
        <w:ind w:firstLine="0"/>
        <w:rPr>
          <w:color w:val="000000" w:themeColor="text1"/>
        </w:rPr>
      </w:pPr>
      <w:r w:rsidRPr="00375F3A">
        <w:rPr>
          <w:rStyle w:val="Znakapoznpodarou"/>
          <w:color w:val="000000" w:themeColor="text1"/>
        </w:rPr>
        <w:footnoteRef/>
      </w:r>
      <w:r w:rsidRPr="00375F3A">
        <w:rPr>
          <w:color w:val="000000" w:themeColor="text1"/>
        </w:rPr>
        <w:t xml:space="preserve"> BERÁNEK, Jaromír. </w:t>
      </w:r>
      <w:r w:rsidRPr="00375F3A">
        <w:rPr>
          <w:i/>
          <w:iCs/>
          <w:color w:val="000000" w:themeColor="text1"/>
        </w:rPr>
        <w:t>Ekonomika cestovního ruchu</w:t>
      </w:r>
      <w:r>
        <w:rPr>
          <w:color w:val="000000" w:themeColor="text1"/>
        </w:rPr>
        <w:t>, (2013)</w:t>
      </w:r>
      <w:r w:rsidRPr="00375F3A">
        <w:rPr>
          <w:color w:val="000000" w:themeColor="text1"/>
        </w:rPr>
        <w:t>, s. 115,</w:t>
      </w:r>
    </w:p>
  </w:footnote>
  <w:footnote w:id="13">
    <w:p w14:paraId="5E63BBD2" w14:textId="086B23BE" w:rsidR="00A613C0" w:rsidRPr="003F4937" w:rsidRDefault="00A613C0" w:rsidP="003F4937">
      <w:pPr>
        <w:spacing w:line="240" w:lineRule="auto"/>
        <w:ind w:firstLine="0"/>
        <w:rPr>
          <w:color w:val="000000" w:themeColor="text1"/>
          <w:sz w:val="20"/>
          <w:szCs w:val="20"/>
        </w:rPr>
      </w:pPr>
      <w:r w:rsidRPr="00375F3A">
        <w:rPr>
          <w:rStyle w:val="Znakapoznpodarou"/>
          <w:color w:val="000000" w:themeColor="text1"/>
        </w:rPr>
        <w:footnoteRef/>
      </w:r>
      <w:r w:rsidRPr="00375F3A">
        <w:rPr>
          <w:color w:val="000000" w:themeColor="text1"/>
        </w:rPr>
        <w:t xml:space="preserve"> </w:t>
      </w:r>
      <w:r w:rsidRPr="00375F3A">
        <w:rPr>
          <w:color w:val="000000" w:themeColor="text1"/>
          <w:sz w:val="20"/>
          <w:szCs w:val="20"/>
        </w:rPr>
        <w:t>ROJÍČEK, Marek, SPĚVÁČEK</w:t>
      </w:r>
      <w:r>
        <w:rPr>
          <w:color w:val="000000" w:themeColor="text1"/>
          <w:sz w:val="20"/>
          <w:szCs w:val="20"/>
        </w:rPr>
        <w:t xml:space="preserve"> </w:t>
      </w:r>
      <w:r w:rsidRPr="00375F3A">
        <w:rPr>
          <w:color w:val="000000" w:themeColor="text1"/>
          <w:sz w:val="20"/>
          <w:szCs w:val="20"/>
        </w:rPr>
        <w:t>Vojtěch</w:t>
      </w:r>
      <w:r>
        <w:rPr>
          <w:color w:val="000000" w:themeColor="text1"/>
          <w:sz w:val="20"/>
          <w:szCs w:val="20"/>
        </w:rPr>
        <w:t xml:space="preserve"> a kolektiv,</w:t>
      </w:r>
      <w:r w:rsidRPr="00375F3A">
        <w:rPr>
          <w:color w:val="000000" w:themeColor="text1"/>
          <w:sz w:val="20"/>
          <w:szCs w:val="20"/>
        </w:rPr>
        <w:t xml:space="preserve"> </w:t>
      </w:r>
      <w:r w:rsidRPr="00375F3A">
        <w:rPr>
          <w:i/>
          <w:iCs/>
          <w:color w:val="000000" w:themeColor="text1"/>
          <w:sz w:val="20"/>
          <w:szCs w:val="20"/>
        </w:rPr>
        <w:t>Makroekonomická analýza: teorie a praxe</w:t>
      </w:r>
      <w:r w:rsidRPr="00375F3A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(</w:t>
      </w:r>
      <w:r w:rsidRPr="00375F3A">
        <w:rPr>
          <w:color w:val="000000" w:themeColor="text1"/>
          <w:sz w:val="20"/>
          <w:szCs w:val="20"/>
        </w:rPr>
        <w:t>2016</w:t>
      </w:r>
      <w:r>
        <w:rPr>
          <w:color w:val="000000" w:themeColor="text1"/>
          <w:sz w:val="20"/>
          <w:szCs w:val="20"/>
        </w:rPr>
        <w:t>)</w:t>
      </w:r>
      <w:r w:rsidRPr="00375F3A">
        <w:rPr>
          <w:color w:val="000000" w:themeColor="text1"/>
          <w:sz w:val="20"/>
          <w:szCs w:val="20"/>
        </w:rPr>
        <w:t>, s. 224</w:t>
      </w:r>
      <w:r>
        <w:rPr>
          <w:color w:val="000000" w:themeColor="text1"/>
          <w:sz w:val="20"/>
          <w:szCs w:val="20"/>
        </w:rPr>
        <w:t>,</w:t>
      </w:r>
    </w:p>
  </w:footnote>
  <w:footnote w:id="14">
    <w:p w14:paraId="142A347C" w14:textId="234E8AED" w:rsidR="00A613C0" w:rsidRPr="00261F80" w:rsidRDefault="00A613C0" w:rsidP="008F78B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261F80">
        <w:rPr>
          <w:color w:val="000000" w:themeColor="text1"/>
        </w:rPr>
        <w:t>Tamtéž s. 224,</w:t>
      </w:r>
    </w:p>
  </w:footnote>
  <w:footnote w:id="15">
    <w:p w14:paraId="69ED2D48" w14:textId="1734730D" w:rsidR="00A613C0" w:rsidRDefault="00A613C0" w:rsidP="008F78BD">
      <w:pPr>
        <w:pStyle w:val="Textpoznpodarou"/>
        <w:ind w:firstLine="0"/>
      </w:pPr>
      <w:r w:rsidRPr="00261F80">
        <w:rPr>
          <w:rStyle w:val="Znakapoznpodarou"/>
        </w:rPr>
        <w:footnoteRef/>
      </w:r>
      <w:r w:rsidRPr="00261F80">
        <w:t xml:space="preserve"> Tamtéž s. 224,</w:t>
      </w:r>
    </w:p>
  </w:footnote>
  <w:footnote w:id="16">
    <w:p w14:paraId="27A0BBD0" w14:textId="38C98A0C" w:rsidR="00A613C0" w:rsidRPr="00DC2140" w:rsidRDefault="00A613C0" w:rsidP="00DC2140">
      <w:pPr>
        <w:spacing w:line="240" w:lineRule="auto"/>
        <w:ind w:firstLine="0"/>
        <w:rPr>
          <w:sz w:val="20"/>
          <w:szCs w:val="20"/>
        </w:rPr>
      </w:pPr>
      <w:r w:rsidRPr="00DC2140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DC2140">
        <w:rPr>
          <w:color w:val="000000" w:themeColor="text1"/>
          <w:sz w:val="20"/>
          <w:szCs w:val="20"/>
        </w:rPr>
        <w:t>Zákony pro lidi. Zákony pro lidi [online].[cit. 2019-06-15]. Dostupné z:https://www.zakonyprolidi.cz/cs/2012-89?text=%C2%A7420,</w:t>
      </w:r>
    </w:p>
  </w:footnote>
  <w:footnote w:id="17">
    <w:p w14:paraId="5C51D767" w14:textId="1AEF511B" w:rsidR="00A613C0" w:rsidRPr="00DC2140" w:rsidRDefault="00A613C0" w:rsidP="00DC2140">
      <w:pPr>
        <w:spacing w:line="240" w:lineRule="auto"/>
        <w:ind w:firstLine="0"/>
        <w:rPr>
          <w:sz w:val="20"/>
          <w:szCs w:val="20"/>
        </w:rPr>
      </w:pPr>
      <w:r w:rsidRPr="00DC2140">
        <w:rPr>
          <w:rStyle w:val="Znakapoznpodarou"/>
          <w:sz w:val="20"/>
          <w:szCs w:val="20"/>
        </w:rPr>
        <w:footnoteRef/>
      </w:r>
      <w:r w:rsidRPr="00DC2140">
        <w:rPr>
          <w:sz w:val="20"/>
          <w:szCs w:val="20"/>
        </w:rPr>
        <w:t xml:space="preserve"> </w:t>
      </w:r>
      <w:proofErr w:type="spellStart"/>
      <w:r w:rsidRPr="00DC2140">
        <w:rPr>
          <w:i/>
          <w:iCs/>
          <w:sz w:val="20"/>
          <w:szCs w:val="20"/>
        </w:rPr>
        <w:t>Accontes</w:t>
      </w:r>
      <w:proofErr w:type="spellEnd"/>
      <w:r w:rsidRPr="00DC2140">
        <w:rPr>
          <w:sz w:val="20"/>
          <w:szCs w:val="20"/>
        </w:rPr>
        <w:t xml:space="preserve"> [online].</w:t>
      </w:r>
      <w:r>
        <w:rPr>
          <w:sz w:val="20"/>
          <w:szCs w:val="20"/>
        </w:rPr>
        <w:t>[cit. 2019-06-</w:t>
      </w:r>
      <w:proofErr w:type="gramStart"/>
      <w:r>
        <w:rPr>
          <w:sz w:val="20"/>
          <w:szCs w:val="20"/>
        </w:rPr>
        <w:t>15].Dostupné</w:t>
      </w:r>
      <w:proofErr w:type="gramEnd"/>
      <w:r>
        <w:rPr>
          <w:sz w:val="20"/>
          <w:szCs w:val="20"/>
        </w:rPr>
        <w:t xml:space="preserve"> z:</w:t>
      </w:r>
      <w:r w:rsidRPr="00DC2140">
        <w:rPr>
          <w:sz w:val="20"/>
          <w:szCs w:val="20"/>
        </w:rPr>
        <w:t>http://www.accontes.cz/podnikatel-podle-noveho-obcanskeho-zakoniku,</w:t>
      </w:r>
    </w:p>
  </w:footnote>
  <w:footnote w:id="18">
    <w:p w14:paraId="64078C96" w14:textId="50F040D3" w:rsidR="00A613C0" w:rsidRPr="00DC2140" w:rsidRDefault="00A613C0" w:rsidP="00DC2140">
      <w:pPr>
        <w:pStyle w:val="Textpoznpodarou"/>
        <w:ind w:firstLine="0"/>
      </w:pPr>
      <w:r w:rsidRPr="00DC2140">
        <w:rPr>
          <w:rStyle w:val="Znakapoznpodarou"/>
        </w:rPr>
        <w:footnoteRef/>
      </w:r>
      <w:r w:rsidRPr="00DC2140">
        <w:t xml:space="preserve"> </w:t>
      </w:r>
      <w:r w:rsidRPr="00DC2140">
        <w:rPr>
          <w:color w:val="000000" w:themeColor="text1"/>
        </w:rPr>
        <w:t xml:space="preserve">ROJÍČEK, Marek, SPĚVÁČEK Vojtěch a kolektiv, </w:t>
      </w:r>
      <w:r w:rsidRPr="00DC2140">
        <w:rPr>
          <w:i/>
          <w:iCs/>
          <w:color w:val="000000" w:themeColor="text1"/>
        </w:rPr>
        <w:t>Makroekonomická analýza: teorie a praxe</w:t>
      </w:r>
      <w:r w:rsidRPr="00DC2140">
        <w:rPr>
          <w:color w:val="000000" w:themeColor="text1"/>
        </w:rPr>
        <w:t>, (2016), s. 225,</w:t>
      </w:r>
    </w:p>
  </w:footnote>
  <w:footnote w:id="19">
    <w:p w14:paraId="4DCDB48C" w14:textId="0662DB13" w:rsidR="00A613C0" w:rsidRPr="008D5921" w:rsidRDefault="00A613C0" w:rsidP="008D5921">
      <w:pPr>
        <w:spacing w:line="240" w:lineRule="auto"/>
        <w:ind w:firstLine="0"/>
        <w:jc w:val="left"/>
        <w:rPr>
          <w:sz w:val="20"/>
        </w:rPr>
      </w:pPr>
      <w:r w:rsidRPr="00B92FBB">
        <w:rPr>
          <w:rStyle w:val="Znakapoznpodarou"/>
          <w:sz w:val="20"/>
          <w:szCs w:val="20"/>
        </w:rPr>
        <w:footnoteRef/>
      </w:r>
      <w:r w:rsidRPr="00B92FBB">
        <w:rPr>
          <w:sz w:val="20"/>
          <w:szCs w:val="20"/>
        </w:rPr>
        <w:t xml:space="preserve"> </w:t>
      </w:r>
      <w:r w:rsidRPr="00B92FBB">
        <w:rPr>
          <w:color w:val="000000" w:themeColor="text1"/>
          <w:sz w:val="20"/>
          <w:szCs w:val="20"/>
        </w:rPr>
        <w:t xml:space="preserve">ROJÍČEK, Marek, SPĚVÁČEK Vojtěch a kolektiv, </w:t>
      </w:r>
      <w:r w:rsidRPr="00B92FBB">
        <w:rPr>
          <w:i/>
          <w:iCs/>
          <w:color w:val="000000" w:themeColor="text1"/>
          <w:sz w:val="20"/>
          <w:szCs w:val="20"/>
        </w:rPr>
        <w:t>Makroekonomická analýza: teorie a praxe</w:t>
      </w:r>
      <w:r w:rsidRPr="00B92FBB">
        <w:rPr>
          <w:color w:val="000000" w:themeColor="text1"/>
          <w:sz w:val="20"/>
          <w:szCs w:val="20"/>
        </w:rPr>
        <w:t>, (2016), s. 225,</w:t>
      </w:r>
    </w:p>
  </w:footnote>
  <w:footnote w:id="20">
    <w:p w14:paraId="5C035485" w14:textId="407314EC" w:rsidR="00A613C0" w:rsidRDefault="00A613C0" w:rsidP="008D5921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Tamtéž, s. 225,</w:t>
      </w:r>
    </w:p>
  </w:footnote>
  <w:footnote w:id="21">
    <w:p w14:paraId="3497C987" w14:textId="6B8D8CE9" w:rsidR="00A613C0" w:rsidRPr="00B92FBB" w:rsidRDefault="00A613C0" w:rsidP="00F01F1C">
      <w:pPr>
        <w:pStyle w:val="Textpoznpodarou"/>
        <w:ind w:firstLine="0"/>
      </w:pPr>
      <w:r w:rsidRPr="00B92FBB">
        <w:rPr>
          <w:rStyle w:val="Znakapoznpodarou"/>
        </w:rPr>
        <w:footnoteRef/>
      </w:r>
      <w:r w:rsidRPr="00B92FBB">
        <w:t xml:space="preserve"> </w:t>
      </w:r>
      <w:r w:rsidRPr="00B92FBB">
        <w:rPr>
          <w:color w:val="000000" w:themeColor="text1"/>
        </w:rPr>
        <w:t xml:space="preserve">ROJÍČEK, Marek, SPĚVÁČEK Vojtěch a kolektiv, </w:t>
      </w:r>
      <w:r w:rsidRPr="00B92FBB">
        <w:rPr>
          <w:i/>
          <w:iCs/>
          <w:color w:val="000000" w:themeColor="text1"/>
        </w:rPr>
        <w:t>Makroekonomická analýza: teorie a praxe</w:t>
      </w:r>
      <w:r w:rsidRPr="00B92FBB">
        <w:rPr>
          <w:color w:val="000000" w:themeColor="text1"/>
        </w:rPr>
        <w:t>, (2016), s. 227,</w:t>
      </w:r>
    </w:p>
  </w:footnote>
  <w:footnote w:id="22">
    <w:p w14:paraId="6DCB70D3" w14:textId="3EF9DDBD" w:rsidR="00A613C0" w:rsidRPr="00F01F1C" w:rsidRDefault="00A613C0" w:rsidP="00F01F1C">
      <w:pPr>
        <w:spacing w:line="240" w:lineRule="auto"/>
        <w:ind w:firstLine="0"/>
        <w:rPr>
          <w:sz w:val="20"/>
          <w:szCs w:val="20"/>
        </w:rPr>
      </w:pPr>
      <w:r w:rsidRPr="00B92FBB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Tamtéž, s. 227,</w:t>
      </w:r>
    </w:p>
  </w:footnote>
  <w:footnote w:id="23">
    <w:p w14:paraId="1E5041C7" w14:textId="09C8C451" w:rsidR="00A613C0" w:rsidRPr="003B757E" w:rsidRDefault="00A613C0" w:rsidP="00600354">
      <w:pPr>
        <w:spacing w:line="240" w:lineRule="auto"/>
        <w:ind w:firstLine="0"/>
        <w:rPr>
          <w:color w:val="000000" w:themeColor="text1"/>
          <w:sz w:val="20"/>
          <w:szCs w:val="20"/>
        </w:rPr>
      </w:pPr>
      <w:r w:rsidRPr="003B757E">
        <w:rPr>
          <w:rStyle w:val="Znakapoznpodarou"/>
          <w:sz w:val="20"/>
          <w:szCs w:val="20"/>
        </w:rPr>
        <w:footnoteRef/>
      </w:r>
      <w:r w:rsidRPr="003B757E">
        <w:rPr>
          <w:sz w:val="20"/>
          <w:szCs w:val="20"/>
        </w:rPr>
        <w:t xml:space="preserve"> </w:t>
      </w:r>
      <w:r w:rsidRPr="003B757E">
        <w:rPr>
          <w:color w:val="000000" w:themeColor="text1"/>
          <w:sz w:val="20"/>
          <w:szCs w:val="20"/>
        </w:rPr>
        <w:t xml:space="preserve">ROJÍČEK, Marek, Vojtěch SPĚVÁČEK a kolektiv, </w:t>
      </w:r>
      <w:r w:rsidRPr="003B757E">
        <w:rPr>
          <w:i/>
          <w:iCs/>
          <w:color w:val="000000" w:themeColor="text1"/>
          <w:sz w:val="20"/>
          <w:szCs w:val="20"/>
        </w:rPr>
        <w:t>Makroekonomická analýza: teorie a praxe</w:t>
      </w:r>
      <w:r w:rsidRPr="003B757E">
        <w:rPr>
          <w:color w:val="000000" w:themeColor="text1"/>
          <w:sz w:val="20"/>
          <w:szCs w:val="20"/>
        </w:rPr>
        <w:t>, (2016), s. 227,</w:t>
      </w:r>
    </w:p>
  </w:footnote>
  <w:footnote w:id="24">
    <w:p w14:paraId="54A3811A" w14:textId="3D970583" w:rsidR="00A613C0" w:rsidRPr="00264359" w:rsidRDefault="00A613C0" w:rsidP="00264359">
      <w:pPr>
        <w:spacing w:line="240" w:lineRule="auto"/>
        <w:ind w:firstLine="0"/>
        <w:rPr>
          <w:sz w:val="20"/>
          <w:szCs w:val="20"/>
        </w:rPr>
      </w:pPr>
      <w:r w:rsidRPr="003B757E">
        <w:rPr>
          <w:rStyle w:val="Znakapoznpodarou"/>
          <w:sz w:val="20"/>
          <w:szCs w:val="20"/>
        </w:rPr>
        <w:footnoteRef/>
      </w:r>
      <w:r w:rsidRPr="003B757E">
        <w:rPr>
          <w:sz w:val="20"/>
          <w:szCs w:val="20"/>
        </w:rPr>
        <w:t xml:space="preserve"> </w:t>
      </w:r>
      <w:r w:rsidRPr="003B757E">
        <w:rPr>
          <w:color w:val="000000" w:themeColor="text1"/>
          <w:sz w:val="20"/>
          <w:szCs w:val="20"/>
          <w:vertAlign w:val="superscript"/>
        </w:rPr>
        <w:t xml:space="preserve"> </w:t>
      </w:r>
      <w:r w:rsidRPr="003B757E">
        <w:rPr>
          <w:sz w:val="20"/>
          <w:szCs w:val="20"/>
        </w:rPr>
        <w:t xml:space="preserve">ŽÁK, Milan. </w:t>
      </w:r>
      <w:r w:rsidRPr="003B757E">
        <w:rPr>
          <w:i/>
          <w:iCs/>
          <w:sz w:val="20"/>
          <w:szCs w:val="20"/>
        </w:rPr>
        <w:t>Hospodářská politika</w:t>
      </w:r>
      <w:r w:rsidRPr="003B757E">
        <w:rPr>
          <w:sz w:val="20"/>
          <w:szCs w:val="20"/>
        </w:rPr>
        <w:t xml:space="preserve">. </w:t>
      </w:r>
      <w:r>
        <w:rPr>
          <w:sz w:val="20"/>
          <w:szCs w:val="20"/>
        </w:rPr>
        <w:t>(</w:t>
      </w:r>
      <w:r w:rsidRPr="003B757E">
        <w:rPr>
          <w:sz w:val="20"/>
          <w:szCs w:val="20"/>
        </w:rPr>
        <w:t>2006</w:t>
      </w:r>
      <w:r>
        <w:rPr>
          <w:sz w:val="20"/>
          <w:szCs w:val="20"/>
        </w:rPr>
        <w:t>), s. 19,</w:t>
      </w:r>
    </w:p>
  </w:footnote>
  <w:footnote w:id="25">
    <w:p w14:paraId="54FFD050" w14:textId="56CA9A9B" w:rsidR="00A613C0" w:rsidRDefault="00A613C0" w:rsidP="00264359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92FBB">
        <w:rPr>
          <w:color w:val="000000" w:themeColor="text1"/>
        </w:rPr>
        <w:t xml:space="preserve">ROJÍČEK, Marek, SPĚVÁČEK Vojtěch a kolektiv, </w:t>
      </w:r>
      <w:r w:rsidRPr="00B92FBB">
        <w:rPr>
          <w:i/>
          <w:iCs/>
          <w:color w:val="000000" w:themeColor="text1"/>
        </w:rPr>
        <w:t>Makroekonomická analýza: teorie a praxe</w:t>
      </w:r>
      <w:r w:rsidRPr="00B92FBB">
        <w:rPr>
          <w:color w:val="000000" w:themeColor="text1"/>
        </w:rPr>
        <w:t>, (2016), s. 227,</w:t>
      </w:r>
    </w:p>
  </w:footnote>
  <w:footnote w:id="26">
    <w:p w14:paraId="0FEEE58F" w14:textId="63CBCD27" w:rsidR="00A613C0" w:rsidRDefault="00A613C0" w:rsidP="00061C6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C645E5">
        <w:t>Tamtéž, s. 228,</w:t>
      </w:r>
    </w:p>
  </w:footnote>
  <w:footnote w:id="27">
    <w:p w14:paraId="0770A5AF" w14:textId="71C3CBC3" w:rsidR="00A613C0" w:rsidRDefault="00A613C0" w:rsidP="00061C6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92FBB">
        <w:rPr>
          <w:color w:val="000000" w:themeColor="text1"/>
        </w:rPr>
        <w:t xml:space="preserve">ROJÍČEK, Marek, Vojtěch SPĚVÁČEK a kolektiv, </w:t>
      </w:r>
      <w:r w:rsidRPr="00B92FBB">
        <w:rPr>
          <w:i/>
          <w:iCs/>
          <w:color w:val="000000" w:themeColor="text1"/>
        </w:rPr>
        <w:t>Makroekonomická analýza: teorie a praxe</w:t>
      </w:r>
      <w:r w:rsidRPr="00B92FBB">
        <w:rPr>
          <w:color w:val="000000" w:themeColor="text1"/>
        </w:rPr>
        <w:t>, (2016), s. 22</w:t>
      </w:r>
      <w:r>
        <w:rPr>
          <w:color w:val="000000" w:themeColor="text1"/>
        </w:rPr>
        <w:t>9,</w:t>
      </w:r>
    </w:p>
  </w:footnote>
  <w:footnote w:id="28">
    <w:p w14:paraId="64BDB9E1" w14:textId="734B5F3B" w:rsidR="00A613C0" w:rsidRDefault="00A613C0" w:rsidP="00061C6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C645E5">
        <w:t>Tamtéž, s. 225,</w:t>
      </w:r>
    </w:p>
  </w:footnote>
  <w:footnote w:id="29">
    <w:p w14:paraId="6B9D01D5" w14:textId="3AF6AB6F" w:rsidR="00A613C0" w:rsidRDefault="00A613C0" w:rsidP="00061C63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C645E5">
        <w:t>Tamtéž, s. 228,</w:t>
      </w:r>
    </w:p>
  </w:footnote>
  <w:footnote w:id="30">
    <w:p w14:paraId="3BF8C87D" w14:textId="3AF55D19" w:rsidR="00A613C0" w:rsidRPr="00D27FE4" w:rsidRDefault="00A613C0" w:rsidP="0078144C">
      <w:pPr>
        <w:pStyle w:val="Textpoznpodarou"/>
        <w:ind w:firstLine="0"/>
      </w:pPr>
      <w:r w:rsidRPr="00D27FE4">
        <w:rPr>
          <w:rStyle w:val="Znakapoznpodarou"/>
        </w:rPr>
        <w:footnoteRef/>
      </w:r>
      <w:r w:rsidRPr="00D27FE4">
        <w:t xml:space="preserve"> JUREČKA, Václav. </w:t>
      </w:r>
      <w:r w:rsidRPr="00D27FE4">
        <w:rPr>
          <w:i/>
          <w:iCs/>
        </w:rPr>
        <w:t>Makroekonomie</w:t>
      </w:r>
      <w:r>
        <w:t>, (2017), s. 163,</w:t>
      </w:r>
    </w:p>
  </w:footnote>
  <w:footnote w:id="31">
    <w:p w14:paraId="4983B17C" w14:textId="2F028018" w:rsidR="00A613C0" w:rsidRPr="00D27FE4" w:rsidRDefault="00A613C0" w:rsidP="00A268CD">
      <w:pPr>
        <w:pStyle w:val="Textpoznpodarou"/>
        <w:ind w:firstLine="0"/>
      </w:pPr>
      <w:r w:rsidRPr="00D27FE4">
        <w:rPr>
          <w:rStyle w:val="Znakapoznpodarou"/>
        </w:rPr>
        <w:footnoteRef/>
      </w:r>
      <w:r w:rsidRPr="00D27FE4">
        <w:t xml:space="preserve"> </w:t>
      </w:r>
      <w:r w:rsidRPr="00D27FE4">
        <w:rPr>
          <w:color w:val="000000" w:themeColor="text1"/>
        </w:rPr>
        <w:t xml:space="preserve">ROJÍČEK, Marek, Vojtěch SPĚVÁČEK a kolektiv, </w:t>
      </w:r>
      <w:r w:rsidRPr="00D27FE4">
        <w:rPr>
          <w:i/>
          <w:iCs/>
          <w:color w:val="000000" w:themeColor="text1"/>
        </w:rPr>
        <w:t>Makroekonomická analýza: teorie a praxe</w:t>
      </w:r>
      <w:r w:rsidRPr="00D27FE4">
        <w:rPr>
          <w:color w:val="000000" w:themeColor="text1"/>
        </w:rPr>
        <w:t>, (2016), s. 229,</w:t>
      </w:r>
    </w:p>
  </w:footnote>
  <w:footnote w:id="32">
    <w:p w14:paraId="69FDC338" w14:textId="37088F95" w:rsidR="00A613C0" w:rsidRPr="00D27FE4" w:rsidRDefault="00A613C0" w:rsidP="00A268CD">
      <w:pPr>
        <w:pStyle w:val="Textpoznpodarou"/>
        <w:ind w:firstLine="0"/>
      </w:pPr>
      <w:r w:rsidRPr="00D27FE4">
        <w:rPr>
          <w:rStyle w:val="Znakapoznpodarou"/>
        </w:rPr>
        <w:footnoteRef/>
      </w:r>
      <w:r w:rsidRPr="00D27FE4">
        <w:t xml:space="preserve"> ŽÁK, Milan. </w:t>
      </w:r>
      <w:r w:rsidRPr="00D27FE4">
        <w:rPr>
          <w:i/>
          <w:iCs/>
        </w:rPr>
        <w:t>Hospodářská politika</w:t>
      </w:r>
      <w:r>
        <w:t>, (2006), s. 18,</w:t>
      </w:r>
    </w:p>
  </w:footnote>
  <w:footnote w:id="33">
    <w:p w14:paraId="6F24F8EF" w14:textId="20AFEC2E" w:rsidR="00A613C0" w:rsidRPr="00D27FE4" w:rsidRDefault="00A613C0" w:rsidP="00A268CD">
      <w:pPr>
        <w:pStyle w:val="Textpoznpodarou"/>
        <w:ind w:firstLine="0"/>
      </w:pPr>
      <w:r w:rsidRPr="00D27FE4">
        <w:rPr>
          <w:rStyle w:val="Znakapoznpodarou"/>
        </w:rPr>
        <w:footnoteRef/>
      </w:r>
      <w:r w:rsidRPr="00D27FE4">
        <w:t xml:space="preserve"> SOUKUP, Jindřich. </w:t>
      </w:r>
      <w:r w:rsidRPr="00D27FE4">
        <w:rPr>
          <w:i/>
          <w:iCs/>
        </w:rPr>
        <w:t>Zdroje a perspektivy evropských ekonomik na počátku 21. století v kontextu soudobé globalizace</w:t>
      </w:r>
      <w:r w:rsidRPr="00D27FE4">
        <w:t>. (2015), s. 72,</w:t>
      </w:r>
    </w:p>
  </w:footnote>
  <w:footnote w:id="34">
    <w:p w14:paraId="4BB1D5E7" w14:textId="654F7281" w:rsidR="00A613C0" w:rsidRPr="00D27FE4" w:rsidRDefault="00A613C0" w:rsidP="00A268CD">
      <w:pPr>
        <w:pStyle w:val="Textpoznpodarou"/>
        <w:ind w:firstLine="0"/>
      </w:pPr>
      <w:r w:rsidRPr="00D27FE4">
        <w:rPr>
          <w:rStyle w:val="Znakapoznpodarou"/>
        </w:rPr>
        <w:footnoteRef/>
      </w:r>
      <w:r>
        <w:t xml:space="preserve"> Tamtéž, s. 72,</w:t>
      </w:r>
    </w:p>
  </w:footnote>
  <w:footnote w:id="35">
    <w:p w14:paraId="6B8D6A77" w14:textId="4B06DC73" w:rsidR="00A613C0" w:rsidRPr="00D27FE4" w:rsidRDefault="00A613C0" w:rsidP="008561E8">
      <w:pPr>
        <w:spacing w:line="240" w:lineRule="auto"/>
        <w:ind w:firstLine="0"/>
        <w:rPr>
          <w:sz w:val="20"/>
          <w:szCs w:val="20"/>
        </w:rPr>
      </w:pPr>
      <w:r w:rsidRPr="00D27FE4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Tamtéž, s. 72 – 73,</w:t>
      </w:r>
    </w:p>
  </w:footnote>
  <w:footnote w:id="36">
    <w:p w14:paraId="0BBE90C8" w14:textId="1151F4DB" w:rsidR="00A613C0" w:rsidRDefault="00A613C0" w:rsidP="00831737">
      <w:pPr>
        <w:pStyle w:val="Textpoznpodarou"/>
        <w:ind w:firstLine="0"/>
      </w:pPr>
      <w:r w:rsidRPr="00D27FE4">
        <w:rPr>
          <w:rStyle w:val="Znakapoznpodarou"/>
        </w:rPr>
        <w:footnoteRef/>
      </w:r>
      <w:r w:rsidRPr="00D27FE4">
        <w:t xml:space="preserve"> Tamtéž, s. 73,</w:t>
      </w:r>
    </w:p>
  </w:footnote>
  <w:footnote w:id="37">
    <w:p w14:paraId="66695763" w14:textId="1986C874" w:rsidR="00A613C0" w:rsidRDefault="00A613C0" w:rsidP="0083173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07751">
        <w:t xml:space="preserve">JUREČKA, Václav. </w:t>
      </w:r>
      <w:r w:rsidRPr="00407751">
        <w:rPr>
          <w:i/>
          <w:iCs/>
        </w:rPr>
        <w:t>Makroekonomie</w:t>
      </w:r>
      <w:r>
        <w:t>, (2017)</w:t>
      </w:r>
      <w:r w:rsidRPr="00E50E49">
        <w:t>, s.</w:t>
      </w:r>
      <w:r>
        <w:t xml:space="preserve"> 159,</w:t>
      </w:r>
    </w:p>
  </w:footnote>
  <w:footnote w:id="38">
    <w:p w14:paraId="60A6676F" w14:textId="66FCA67B" w:rsidR="00A613C0" w:rsidRDefault="00A613C0" w:rsidP="0083173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Tamtéž, s. 159,</w:t>
      </w:r>
    </w:p>
  </w:footnote>
  <w:footnote w:id="39">
    <w:p w14:paraId="76258D89" w14:textId="366867D6" w:rsidR="00A613C0" w:rsidRDefault="00A613C0" w:rsidP="0083173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27FE4">
        <w:rPr>
          <w:color w:val="000000" w:themeColor="text1"/>
        </w:rPr>
        <w:t xml:space="preserve">ROJÍČEK, Marek, Vojtěch SPĚVÁČEK a kolektiv, </w:t>
      </w:r>
      <w:r w:rsidRPr="00D27FE4">
        <w:rPr>
          <w:i/>
          <w:iCs/>
          <w:color w:val="000000" w:themeColor="text1"/>
        </w:rPr>
        <w:t>Makroekonomická analýza: teorie a praxe</w:t>
      </w:r>
      <w:r w:rsidRPr="00D27FE4">
        <w:rPr>
          <w:color w:val="000000" w:themeColor="text1"/>
        </w:rPr>
        <w:t>, (2016), s. 229,</w:t>
      </w:r>
    </w:p>
  </w:footnote>
  <w:footnote w:id="40">
    <w:p w14:paraId="60D615DB" w14:textId="5C4FDC8C" w:rsidR="00A613C0" w:rsidRDefault="00A613C0" w:rsidP="0083173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07751">
        <w:t xml:space="preserve">JUREČKA, Václav. </w:t>
      </w:r>
      <w:r w:rsidRPr="00407751">
        <w:rPr>
          <w:i/>
          <w:iCs/>
        </w:rPr>
        <w:t>Makroekonomie</w:t>
      </w:r>
      <w:r>
        <w:t>, (2017)</w:t>
      </w:r>
      <w:r w:rsidRPr="00E50E49">
        <w:t>, s.</w:t>
      </w:r>
      <w:r>
        <w:t xml:space="preserve"> 159,</w:t>
      </w:r>
    </w:p>
  </w:footnote>
  <w:footnote w:id="41">
    <w:p w14:paraId="33FE1D99" w14:textId="49829398" w:rsidR="00A613C0" w:rsidRDefault="00A613C0" w:rsidP="00831737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27FE4">
        <w:rPr>
          <w:color w:val="000000" w:themeColor="text1"/>
        </w:rPr>
        <w:t xml:space="preserve">ROJÍČEK, Marek, Vojtěch SPĚVÁČEK a kolektiv, </w:t>
      </w:r>
      <w:r w:rsidRPr="00D27FE4">
        <w:rPr>
          <w:i/>
          <w:iCs/>
          <w:color w:val="000000" w:themeColor="text1"/>
        </w:rPr>
        <w:t>Makroekonomická analýza: teorie a praxe</w:t>
      </w:r>
      <w:r w:rsidRPr="00D27FE4">
        <w:rPr>
          <w:color w:val="000000" w:themeColor="text1"/>
        </w:rPr>
        <w:t>, (2016), s. 229,</w:t>
      </w:r>
    </w:p>
  </w:footnote>
  <w:footnote w:id="42">
    <w:p w14:paraId="479BCEE1" w14:textId="0451332F" w:rsidR="00A613C0" w:rsidRDefault="00A613C0" w:rsidP="003B2A2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07751">
        <w:t xml:space="preserve">JUREČKA, Václav. </w:t>
      </w:r>
      <w:r w:rsidRPr="00407751">
        <w:rPr>
          <w:i/>
          <w:iCs/>
        </w:rPr>
        <w:t>Makroekonomie</w:t>
      </w:r>
      <w:r>
        <w:t>, (2017)</w:t>
      </w:r>
      <w:r w:rsidRPr="00E50E49">
        <w:t>, s.</w:t>
      </w:r>
      <w:r>
        <w:t xml:space="preserve"> 159,</w:t>
      </w:r>
    </w:p>
  </w:footnote>
  <w:footnote w:id="43">
    <w:p w14:paraId="4F394D94" w14:textId="2DE842D0" w:rsidR="00A613C0" w:rsidRDefault="00A613C0" w:rsidP="005C16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07751">
        <w:t xml:space="preserve">JUREČKA, Václav. </w:t>
      </w:r>
      <w:r w:rsidRPr="00407751">
        <w:rPr>
          <w:i/>
          <w:iCs/>
        </w:rPr>
        <w:t>Makroekonomie</w:t>
      </w:r>
      <w:r>
        <w:t>, (2017)</w:t>
      </w:r>
      <w:r w:rsidRPr="00E50E49">
        <w:t>, s.</w:t>
      </w:r>
      <w:r>
        <w:t xml:space="preserve"> 262,</w:t>
      </w:r>
    </w:p>
  </w:footnote>
  <w:footnote w:id="44">
    <w:p w14:paraId="1FA65619" w14:textId="3E7BD51F" w:rsidR="00A613C0" w:rsidRDefault="00A613C0" w:rsidP="009E49D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07751">
        <w:t xml:space="preserve">JUREČKA, Václav. </w:t>
      </w:r>
      <w:r w:rsidRPr="00407751">
        <w:rPr>
          <w:i/>
          <w:iCs/>
        </w:rPr>
        <w:t>Makroekonomie</w:t>
      </w:r>
      <w:r>
        <w:t>, (2017)</w:t>
      </w:r>
      <w:r w:rsidRPr="00E50E49">
        <w:t>, s.</w:t>
      </w:r>
      <w:r>
        <w:t xml:space="preserve"> 160,</w:t>
      </w:r>
    </w:p>
  </w:footnote>
  <w:footnote w:id="45">
    <w:p w14:paraId="5B310FBA" w14:textId="0BF40BC4" w:rsidR="00A613C0" w:rsidRDefault="00A613C0" w:rsidP="009E49D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27FE4">
        <w:rPr>
          <w:color w:val="000000" w:themeColor="text1"/>
        </w:rPr>
        <w:t xml:space="preserve">ROJÍČEK, Marek, Vojtěch SPĚVÁČEK a kolektiv, </w:t>
      </w:r>
      <w:r w:rsidRPr="00D27FE4">
        <w:rPr>
          <w:i/>
          <w:iCs/>
          <w:color w:val="000000" w:themeColor="text1"/>
        </w:rPr>
        <w:t>Makroekonomická analýza: teorie a praxe</w:t>
      </w:r>
      <w:r w:rsidRPr="00D27FE4">
        <w:rPr>
          <w:color w:val="000000" w:themeColor="text1"/>
        </w:rPr>
        <w:t>, (2016)</w:t>
      </w:r>
      <w:r>
        <w:rPr>
          <w:color w:val="000000" w:themeColor="text1"/>
        </w:rPr>
        <w:t>, s. 230</w:t>
      </w:r>
      <w:r w:rsidRPr="00D27FE4">
        <w:rPr>
          <w:color w:val="000000" w:themeColor="text1"/>
        </w:rPr>
        <w:t>,</w:t>
      </w:r>
    </w:p>
  </w:footnote>
  <w:footnote w:id="46">
    <w:p w14:paraId="1CCFE05E" w14:textId="03DC3288" w:rsidR="00A613C0" w:rsidRDefault="00A613C0" w:rsidP="009E49D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>
        <w:rPr>
          <w:color w:val="000000" w:themeColor="text1"/>
        </w:rPr>
        <w:t>Tamtéž,</w:t>
      </w:r>
      <w:r w:rsidR="00A348D9">
        <w:rPr>
          <w:color w:val="000000" w:themeColor="text1"/>
        </w:rPr>
        <w:t xml:space="preserve"> s. 230,</w:t>
      </w:r>
    </w:p>
  </w:footnote>
  <w:footnote w:id="47">
    <w:p w14:paraId="64C39046" w14:textId="4DB07D16" w:rsidR="00A613C0" w:rsidRDefault="00A613C0" w:rsidP="00C155B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07751">
        <w:t xml:space="preserve">JUREČKA, Václav. </w:t>
      </w:r>
      <w:r w:rsidRPr="00407751">
        <w:rPr>
          <w:i/>
          <w:iCs/>
        </w:rPr>
        <w:t>Makroekonomie</w:t>
      </w:r>
      <w:r>
        <w:t>, (2017)</w:t>
      </w:r>
      <w:r w:rsidRPr="00E50E49">
        <w:t>, s.</w:t>
      </w:r>
      <w:r>
        <w:t xml:space="preserve"> 161,</w:t>
      </w:r>
    </w:p>
  </w:footnote>
  <w:footnote w:id="48">
    <w:p w14:paraId="3995510F" w14:textId="4B175627" w:rsidR="00A613C0" w:rsidRDefault="00A613C0" w:rsidP="001C3E5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27FE4">
        <w:rPr>
          <w:color w:val="000000" w:themeColor="text1"/>
        </w:rPr>
        <w:t xml:space="preserve">ROJÍČEK, Marek, Vojtěch SPĚVÁČEK a kolektiv, </w:t>
      </w:r>
      <w:r w:rsidRPr="00D27FE4">
        <w:rPr>
          <w:i/>
          <w:iCs/>
          <w:color w:val="000000" w:themeColor="text1"/>
        </w:rPr>
        <w:t>Makroekonomická analýza: teorie a praxe</w:t>
      </w:r>
      <w:r w:rsidRPr="00D27FE4">
        <w:rPr>
          <w:color w:val="000000" w:themeColor="text1"/>
        </w:rPr>
        <w:t>, (2016)</w:t>
      </w:r>
      <w:r>
        <w:rPr>
          <w:color w:val="000000" w:themeColor="text1"/>
        </w:rPr>
        <w:t>, s. 254,</w:t>
      </w:r>
    </w:p>
  </w:footnote>
  <w:footnote w:id="49">
    <w:p w14:paraId="54333E3E" w14:textId="0ED28865" w:rsidR="00A613C0" w:rsidRDefault="00A613C0" w:rsidP="001C3E55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645569">
        <w:t xml:space="preserve">JUREČKA, Václav. </w:t>
      </w:r>
      <w:r w:rsidRPr="00645569">
        <w:rPr>
          <w:i/>
          <w:iCs/>
        </w:rPr>
        <w:t>Makroekonomie</w:t>
      </w:r>
      <w:r w:rsidRPr="00645569">
        <w:t>, (2017), s.</w:t>
      </w:r>
      <w:r>
        <w:t xml:space="preserve"> 161,</w:t>
      </w:r>
    </w:p>
  </w:footnote>
  <w:footnote w:id="50">
    <w:p w14:paraId="3D0E8CAA" w14:textId="16D99E60" w:rsidR="00A613C0" w:rsidRPr="00645569" w:rsidRDefault="00A613C0" w:rsidP="0015124A">
      <w:pPr>
        <w:spacing w:line="240" w:lineRule="auto"/>
        <w:ind w:firstLine="0"/>
        <w:rPr>
          <w:sz w:val="20"/>
          <w:szCs w:val="20"/>
        </w:rPr>
      </w:pPr>
      <w:r w:rsidRPr="00645569">
        <w:rPr>
          <w:rStyle w:val="Znakapoznpodarou"/>
          <w:sz w:val="20"/>
          <w:szCs w:val="20"/>
        </w:rPr>
        <w:footnoteRef/>
      </w:r>
      <w:r w:rsidRPr="00645569">
        <w:rPr>
          <w:sz w:val="20"/>
          <w:szCs w:val="20"/>
        </w:rPr>
        <w:t xml:space="preserve"> JUREČKA, Václav. </w:t>
      </w:r>
      <w:r w:rsidRPr="00645569">
        <w:rPr>
          <w:i/>
          <w:iCs/>
          <w:sz w:val="20"/>
          <w:szCs w:val="20"/>
        </w:rPr>
        <w:t>Makroekonomie</w:t>
      </w:r>
      <w:r w:rsidRPr="00645569">
        <w:rPr>
          <w:sz w:val="20"/>
          <w:szCs w:val="20"/>
        </w:rPr>
        <w:t>, (2017), s. 165 - 166,</w:t>
      </w:r>
    </w:p>
  </w:footnote>
  <w:footnote w:id="51">
    <w:p w14:paraId="248B36BB" w14:textId="14A62818" w:rsidR="00A613C0" w:rsidRPr="0015124A" w:rsidRDefault="00A613C0" w:rsidP="00B50D2F">
      <w:pPr>
        <w:spacing w:line="240" w:lineRule="auto"/>
        <w:ind w:firstLine="0"/>
        <w:rPr>
          <w:sz w:val="20"/>
          <w:szCs w:val="20"/>
        </w:rPr>
      </w:pPr>
      <w:r w:rsidRPr="00645569">
        <w:rPr>
          <w:rStyle w:val="Znakapoznpodarou"/>
          <w:sz w:val="20"/>
          <w:szCs w:val="20"/>
        </w:rPr>
        <w:footnoteRef/>
      </w:r>
      <w:r w:rsidRPr="00093F25">
        <w:rPr>
          <w:i/>
          <w:sz w:val="20"/>
          <w:szCs w:val="20"/>
        </w:rPr>
        <w:t>Ministerstvo financí:</w:t>
      </w:r>
      <w:r>
        <w:rPr>
          <w:sz w:val="20"/>
          <w:szCs w:val="20"/>
        </w:rPr>
        <w:t xml:space="preserve"> České republiky </w:t>
      </w:r>
      <w:r w:rsidRPr="00645569">
        <w:rPr>
          <w:sz w:val="20"/>
          <w:szCs w:val="20"/>
        </w:rPr>
        <w:t>[online].</w:t>
      </w:r>
      <w:r>
        <w:rPr>
          <w:sz w:val="20"/>
          <w:szCs w:val="20"/>
        </w:rPr>
        <w:t>[cit. 2019-07-26]. Dostupné z: https://www.mfcr.cz/cs/aktualne/tiskove-zpravy/2018/pokladni-plneni-sr-leden-listopad-2017-30618</w:t>
      </w:r>
    </w:p>
  </w:footnote>
  <w:footnote w:id="52">
    <w:p w14:paraId="462747A9" w14:textId="17B1329E" w:rsidR="00056404" w:rsidRDefault="00056404" w:rsidP="00056404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645569">
        <w:t xml:space="preserve">JUREČKA, Václav. </w:t>
      </w:r>
      <w:r w:rsidRPr="00645569">
        <w:rPr>
          <w:i/>
          <w:iCs/>
        </w:rPr>
        <w:t>Makroekonomie</w:t>
      </w:r>
      <w:r w:rsidRPr="00645569">
        <w:t>, (2017), s.</w:t>
      </w:r>
      <w:r>
        <w:t xml:space="preserve"> 166</w:t>
      </w:r>
      <w:r w:rsidRPr="00645569">
        <w:t>,</w:t>
      </w:r>
    </w:p>
  </w:footnote>
  <w:footnote w:id="53">
    <w:p w14:paraId="6AB92D94" w14:textId="124D94D7" w:rsidR="00A613C0" w:rsidRDefault="00A613C0" w:rsidP="0089385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645569">
        <w:t xml:space="preserve">JUREČKA, Václav. </w:t>
      </w:r>
      <w:r w:rsidRPr="00645569">
        <w:rPr>
          <w:i/>
          <w:iCs/>
        </w:rPr>
        <w:t>Makroekonomie</w:t>
      </w:r>
      <w:r w:rsidRPr="00645569">
        <w:t>, (2017), s.</w:t>
      </w:r>
      <w:r>
        <w:t xml:space="preserve"> 166</w:t>
      </w:r>
      <w:r w:rsidRPr="00645569">
        <w:t>,</w:t>
      </w:r>
    </w:p>
  </w:footnote>
  <w:footnote w:id="54">
    <w:p w14:paraId="6C1BBFF5" w14:textId="4C7786EA" w:rsidR="00A613C0" w:rsidRDefault="00A613C0" w:rsidP="0089385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27FE4">
        <w:rPr>
          <w:color w:val="000000" w:themeColor="text1"/>
        </w:rPr>
        <w:t xml:space="preserve">ROJÍČEK, Marek, Vojtěch SPĚVÁČEK a kolektiv, </w:t>
      </w:r>
      <w:r w:rsidRPr="00D27FE4">
        <w:rPr>
          <w:i/>
          <w:iCs/>
          <w:color w:val="000000" w:themeColor="text1"/>
        </w:rPr>
        <w:t>Makroekonomická analýza: teorie a praxe</w:t>
      </w:r>
      <w:r w:rsidRPr="00D27FE4">
        <w:rPr>
          <w:color w:val="000000" w:themeColor="text1"/>
        </w:rPr>
        <w:t>, (2016)</w:t>
      </w:r>
      <w:r>
        <w:rPr>
          <w:color w:val="000000" w:themeColor="text1"/>
        </w:rPr>
        <w:t>, s. 233,</w:t>
      </w:r>
    </w:p>
  </w:footnote>
  <w:footnote w:id="55">
    <w:p w14:paraId="5F5F9BD3" w14:textId="6AE0FCB5" w:rsidR="00056404" w:rsidRDefault="00056404" w:rsidP="00056404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93948">
        <w:t xml:space="preserve">JUREČKA, Václav. </w:t>
      </w:r>
      <w:r w:rsidRPr="00093948">
        <w:rPr>
          <w:i/>
          <w:iCs/>
        </w:rPr>
        <w:t>Makroekonomie</w:t>
      </w:r>
      <w:r w:rsidRPr="00093948">
        <w:t>, (2017), s. 16</w:t>
      </w:r>
      <w:r>
        <w:t>7,</w:t>
      </w:r>
    </w:p>
  </w:footnote>
  <w:footnote w:id="56">
    <w:p w14:paraId="0F56EB64" w14:textId="3974B3C2" w:rsidR="00A613C0" w:rsidRPr="00093948" w:rsidRDefault="00A613C0" w:rsidP="00093948">
      <w:pPr>
        <w:spacing w:line="240" w:lineRule="auto"/>
        <w:ind w:firstLine="0"/>
        <w:rPr>
          <w:sz w:val="20"/>
        </w:rPr>
      </w:pPr>
      <w:r w:rsidRPr="00093948">
        <w:rPr>
          <w:rStyle w:val="Znakapoznpodarou"/>
          <w:sz w:val="20"/>
        </w:rPr>
        <w:footnoteRef/>
      </w:r>
      <w:r w:rsidRPr="00093948">
        <w:rPr>
          <w:sz w:val="20"/>
        </w:rPr>
        <w:t xml:space="preserve"> JUREČKA, Václav. </w:t>
      </w:r>
      <w:r w:rsidRPr="00093948">
        <w:rPr>
          <w:i/>
          <w:iCs/>
          <w:sz w:val="20"/>
        </w:rPr>
        <w:t>Makroekonomie</w:t>
      </w:r>
      <w:r w:rsidRPr="00093948">
        <w:rPr>
          <w:sz w:val="20"/>
        </w:rPr>
        <w:t>, (2017), s. 16</w:t>
      </w:r>
      <w:r>
        <w:rPr>
          <w:sz w:val="20"/>
        </w:rPr>
        <w:t>7,</w:t>
      </w:r>
    </w:p>
  </w:footnote>
  <w:footnote w:id="57">
    <w:p w14:paraId="714DD647" w14:textId="0482F920" w:rsidR="00A613C0" w:rsidRPr="00093948" w:rsidRDefault="00A613C0" w:rsidP="00093948">
      <w:pPr>
        <w:spacing w:line="240" w:lineRule="auto"/>
        <w:ind w:firstLine="0"/>
        <w:rPr>
          <w:sz w:val="20"/>
        </w:rPr>
      </w:pPr>
      <w:r w:rsidRPr="00093948">
        <w:rPr>
          <w:rStyle w:val="Znakapoznpodarou"/>
          <w:sz w:val="20"/>
        </w:rPr>
        <w:footnoteRef/>
      </w:r>
      <w:r w:rsidRPr="00093948">
        <w:rPr>
          <w:sz w:val="20"/>
        </w:rPr>
        <w:t xml:space="preserve"> JUREČKA, Václav. </w:t>
      </w:r>
      <w:r w:rsidRPr="00093948">
        <w:rPr>
          <w:i/>
          <w:iCs/>
          <w:sz w:val="20"/>
        </w:rPr>
        <w:t>Makroekonomie</w:t>
      </w:r>
      <w:r w:rsidRPr="00093948">
        <w:rPr>
          <w:sz w:val="20"/>
        </w:rPr>
        <w:t>, (2017), s. 16</w:t>
      </w:r>
      <w:r>
        <w:rPr>
          <w:sz w:val="20"/>
        </w:rPr>
        <w:t>7,</w:t>
      </w:r>
    </w:p>
  </w:footnote>
  <w:footnote w:id="58">
    <w:p w14:paraId="4E1EF076" w14:textId="6351CB6A" w:rsidR="00A613C0" w:rsidRPr="00F97D6F" w:rsidRDefault="00A613C0" w:rsidP="00093948">
      <w:pPr>
        <w:spacing w:line="240" w:lineRule="auto"/>
        <w:ind w:firstLine="0"/>
      </w:pPr>
      <w:r w:rsidRPr="00DC2140">
        <w:rPr>
          <w:rStyle w:val="Znakapoznpodarou"/>
          <w:color w:val="000000" w:themeColor="text1"/>
          <w:sz w:val="20"/>
        </w:rPr>
        <w:footnoteRef/>
      </w:r>
      <w:r w:rsidRPr="00DC2140">
        <w:rPr>
          <w:color w:val="000000" w:themeColor="text1"/>
          <w:sz w:val="20"/>
        </w:rPr>
        <w:t>.</w:t>
      </w:r>
      <w:r w:rsidRPr="00DC2140">
        <w:rPr>
          <w:i/>
          <w:iCs/>
          <w:color w:val="000000" w:themeColor="text1"/>
          <w:sz w:val="20"/>
        </w:rPr>
        <w:t>Www.SocialniDialog.cz</w:t>
      </w:r>
      <w:r w:rsidRPr="00DC2140">
        <w:rPr>
          <w:color w:val="000000" w:themeColor="text1"/>
          <w:sz w:val="20"/>
        </w:rPr>
        <w:t>[online].[cit. 2019-06-15]. Dostupné z: http://www.socialnidialog.cz/zpravodajstvi/trh-prace/2480-37-bod-jak-sniit-nezamstnanost</w:t>
      </w:r>
    </w:p>
  </w:footnote>
  <w:footnote w:id="59">
    <w:p w14:paraId="2B76A9DD" w14:textId="77777777" w:rsidR="00A613C0" w:rsidRDefault="00A613C0" w:rsidP="00DC214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93948">
        <w:t xml:space="preserve">JUREČKA, Václav. </w:t>
      </w:r>
      <w:r w:rsidRPr="00093948">
        <w:rPr>
          <w:i/>
          <w:iCs/>
        </w:rPr>
        <w:t>Makroekonomie</w:t>
      </w:r>
      <w:r w:rsidRPr="00093948">
        <w:t>, (2017), s. 16</w:t>
      </w:r>
      <w:r>
        <w:t>8,</w:t>
      </w:r>
    </w:p>
  </w:footnote>
  <w:footnote w:id="60">
    <w:p w14:paraId="084FEA49" w14:textId="0FF3DCB8" w:rsidR="00A613C0" w:rsidRDefault="00A613C0" w:rsidP="00CF656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066F1">
        <w:t xml:space="preserve">MANKIW, N. Gregory. </w:t>
      </w:r>
      <w:r w:rsidRPr="004066F1">
        <w:rPr>
          <w:i/>
          <w:iCs/>
        </w:rPr>
        <w:t>Zásady ekonomie</w:t>
      </w:r>
      <w:r>
        <w:t>, (1999),</w:t>
      </w:r>
      <w:r w:rsidRPr="004066F1">
        <w:t xml:space="preserve"> </w:t>
      </w:r>
      <w:r>
        <w:t>s</w:t>
      </w:r>
      <w:r w:rsidRPr="004066F1">
        <w:t>. 56</w:t>
      </w:r>
      <w:r>
        <w:t>4,</w:t>
      </w:r>
    </w:p>
  </w:footnote>
  <w:footnote w:id="61">
    <w:p w14:paraId="6538171F" w14:textId="7FB2D314" w:rsidR="00A613C0" w:rsidRDefault="00A613C0" w:rsidP="00CF656D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Tamtéž, s. 564,</w:t>
      </w:r>
    </w:p>
  </w:footnote>
  <w:footnote w:id="62">
    <w:p w14:paraId="63577B26" w14:textId="77777777" w:rsidR="00A613C0" w:rsidRPr="00645569" w:rsidRDefault="00A613C0" w:rsidP="00DC2140">
      <w:pPr>
        <w:spacing w:line="240" w:lineRule="auto"/>
        <w:ind w:firstLine="0"/>
        <w:rPr>
          <w:sz w:val="20"/>
          <w:szCs w:val="20"/>
        </w:rPr>
      </w:pPr>
      <w:r w:rsidRPr="00645569">
        <w:rPr>
          <w:rStyle w:val="Znakapoznpodarou"/>
          <w:sz w:val="20"/>
          <w:szCs w:val="20"/>
        </w:rPr>
        <w:footnoteRef/>
      </w:r>
      <w:r w:rsidRPr="00645569">
        <w:rPr>
          <w:sz w:val="20"/>
          <w:szCs w:val="20"/>
        </w:rPr>
        <w:t xml:space="preserve"> </w:t>
      </w:r>
      <w:r w:rsidRPr="00645569">
        <w:rPr>
          <w:i/>
          <w:iCs/>
          <w:sz w:val="20"/>
          <w:szCs w:val="20"/>
        </w:rPr>
        <w:t>FINANCE.cz</w:t>
      </w:r>
      <w:r w:rsidRPr="00645569">
        <w:rPr>
          <w:sz w:val="20"/>
          <w:szCs w:val="20"/>
        </w:rPr>
        <w:t xml:space="preserve"> [online]. [cit. 2019-07-26]. Dostupné z: </w:t>
      </w:r>
      <w:hyperlink r:id="rId1" w:history="1">
        <w:r w:rsidRPr="00645569">
          <w:rPr>
            <w:rStyle w:val="Hypertextovodkaz"/>
            <w:color w:val="auto"/>
            <w:sz w:val="20"/>
            <w:szCs w:val="20"/>
            <w:u w:val="none"/>
          </w:rPr>
          <w:t>https://www.finance.cz/518363-vyse-podpory-v-nezamestnanosti/</w:t>
        </w:r>
      </w:hyperlink>
    </w:p>
  </w:footnote>
  <w:footnote w:id="63">
    <w:p w14:paraId="6EE4F295" w14:textId="0A448FF5" w:rsidR="00A613C0" w:rsidRDefault="00A613C0" w:rsidP="00243D74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093948">
        <w:t xml:space="preserve">JUREČKA, Václav. </w:t>
      </w:r>
      <w:r w:rsidRPr="00093948">
        <w:rPr>
          <w:i/>
          <w:iCs/>
        </w:rPr>
        <w:t>Makroekonomie</w:t>
      </w:r>
      <w:r>
        <w:t>, (2017), s. 171,</w:t>
      </w:r>
    </w:p>
  </w:footnote>
  <w:footnote w:id="64">
    <w:p w14:paraId="5DE732A2" w14:textId="0B31F6C1" w:rsidR="00A613C0" w:rsidRPr="00DC2140" w:rsidRDefault="00A613C0" w:rsidP="00DC2140">
      <w:pPr>
        <w:pStyle w:val="Textpoznpodarou"/>
        <w:ind w:firstLine="0"/>
      </w:pPr>
      <w:r w:rsidRPr="00DC2140">
        <w:rPr>
          <w:rStyle w:val="Znakapoznpodarou"/>
        </w:rPr>
        <w:footnoteRef/>
      </w:r>
      <w:r w:rsidRPr="00DC2140">
        <w:t xml:space="preserve"> </w:t>
      </w:r>
      <w:r w:rsidRPr="00093948">
        <w:t xml:space="preserve">JUREČKA, Václav. </w:t>
      </w:r>
      <w:r w:rsidRPr="00093948">
        <w:rPr>
          <w:i/>
          <w:iCs/>
        </w:rPr>
        <w:t>Makroekonomie</w:t>
      </w:r>
      <w:r>
        <w:t>, (2017), s. 171,</w:t>
      </w:r>
    </w:p>
  </w:footnote>
  <w:footnote w:id="65">
    <w:p w14:paraId="70A6359F" w14:textId="2CA283A9" w:rsidR="00A613C0" w:rsidRPr="00DC2140" w:rsidRDefault="00A613C0" w:rsidP="00DC2140">
      <w:pPr>
        <w:pStyle w:val="Textpoznpodarou"/>
        <w:ind w:firstLine="0"/>
      </w:pPr>
      <w:r w:rsidRPr="00DC2140">
        <w:rPr>
          <w:rStyle w:val="Znakapoznpodarou"/>
        </w:rPr>
        <w:footnoteRef/>
      </w:r>
      <w:r w:rsidRPr="00DC2140">
        <w:t xml:space="preserve"> </w:t>
      </w:r>
      <w:r w:rsidRPr="00DC2140">
        <w:rPr>
          <w:color w:val="000000" w:themeColor="text1"/>
        </w:rPr>
        <w:t xml:space="preserve">ROJÍČEK, Marek, SPĚVÁČEK Vojtěch a kolektiv, </w:t>
      </w:r>
      <w:r w:rsidRPr="00DC2140">
        <w:rPr>
          <w:i/>
          <w:iCs/>
          <w:color w:val="000000" w:themeColor="text1"/>
        </w:rPr>
        <w:t>Makroekonomická analýza: teorie a praxe</w:t>
      </w:r>
      <w:r w:rsidRPr="00DC2140">
        <w:rPr>
          <w:color w:val="000000" w:themeColor="text1"/>
        </w:rPr>
        <w:t>, (2016), s. 237,</w:t>
      </w:r>
    </w:p>
  </w:footnote>
  <w:footnote w:id="66">
    <w:p w14:paraId="52F9AAD8" w14:textId="5D9EFDA4" w:rsidR="00A613C0" w:rsidRDefault="00A613C0" w:rsidP="00DC2140">
      <w:pPr>
        <w:spacing w:line="240" w:lineRule="auto"/>
        <w:ind w:firstLine="0"/>
      </w:pPr>
      <w:r w:rsidRPr="00DC2140">
        <w:rPr>
          <w:rStyle w:val="Znakapoznpodarou"/>
          <w:sz w:val="20"/>
          <w:szCs w:val="20"/>
        </w:rPr>
        <w:footnoteRef/>
      </w:r>
      <w:r w:rsidRPr="00DC2140">
        <w:rPr>
          <w:sz w:val="20"/>
          <w:szCs w:val="20"/>
        </w:rPr>
        <w:t xml:space="preserve"> </w:t>
      </w:r>
      <w:r w:rsidRPr="00DC2140">
        <w:rPr>
          <w:i/>
          <w:iCs/>
          <w:sz w:val="20"/>
          <w:szCs w:val="20"/>
        </w:rPr>
        <w:t>Český statistický úřad</w:t>
      </w:r>
      <w:r w:rsidRPr="00DC2140">
        <w:rPr>
          <w:sz w:val="20"/>
          <w:szCs w:val="20"/>
        </w:rPr>
        <w:t xml:space="preserve"> [online].[cit. 2019-06-09]. Dostupné z: https://www.czso.cz/csu/czso/cri/miry-zamestnanosti-nezamestnanosti-a-ekonomicke-aktivity-duben-2019</w:t>
      </w:r>
    </w:p>
  </w:footnote>
  <w:footnote w:id="67">
    <w:p w14:paraId="70B992A1" w14:textId="77777777" w:rsidR="00A613C0" w:rsidRDefault="00A613C0" w:rsidP="001E5826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4066F1">
        <w:t xml:space="preserve">SCHILLER, </w:t>
      </w:r>
      <w:proofErr w:type="spellStart"/>
      <w:r w:rsidRPr="004066F1">
        <w:t>Bradley</w:t>
      </w:r>
      <w:proofErr w:type="spellEnd"/>
      <w:r w:rsidRPr="004066F1">
        <w:t xml:space="preserve"> R. </w:t>
      </w:r>
      <w:r w:rsidRPr="004066F1">
        <w:rPr>
          <w:i/>
          <w:iCs/>
        </w:rPr>
        <w:t>Makroekonomie dnes</w:t>
      </w:r>
      <w:r>
        <w:t>, (2004), s. 112,</w:t>
      </w:r>
    </w:p>
  </w:footnote>
  <w:footnote w:id="68">
    <w:p w14:paraId="043AADDD" w14:textId="35F3A558" w:rsidR="00A613C0" w:rsidRDefault="00A613C0" w:rsidP="00A8543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BA6F0D">
        <w:rPr>
          <w:i/>
          <w:iCs/>
          <w:color w:val="000000" w:themeColor="text1"/>
        </w:rPr>
        <w:t>Finslovník.cz</w:t>
      </w:r>
      <w:r>
        <w:rPr>
          <w:color w:val="000000" w:themeColor="text1"/>
        </w:rPr>
        <w:t xml:space="preserve"> [online]</w:t>
      </w:r>
      <w:r w:rsidRPr="00BA6F0D">
        <w:rPr>
          <w:color w:val="000000" w:themeColor="text1"/>
        </w:rPr>
        <w:t xml:space="preserve"> [cit. 2019-03-10]. Dostupné z: </w:t>
      </w:r>
      <w:hyperlink r:id="rId2" w:history="1">
        <w:r w:rsidRPr="00BA6F0D">
          <w:rPr>
            <w:rStyle w:val="Hypertextovodkaz"/>
            <w:color w:val="000000" w:themeColor="text1"/>
            <w:u w:val="none"/>
          </w:rPr>
          <w:t>https://www.finslovnik.cz/plna-zamestnanost/</w:t>
        </w:r>
      </w:hyperlink>
    </w:p>
  </w:footnote>
  <w:footnote w:id="69">
    <w:p w14:paraId="031352E4" w14:textId="07657906" w:rsidR="00A613C0" w:rsidRDefault="00A613C0" w:rsidP="00A85432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DC2140">
        <w:rPr>
          <w:i/>
          <w:iCs/>
          <w:color w:val="000000" w:themeColor="text1"/>
        </w:rPr>
        <w:t>Finanční a ekonomické informace</w:t>
      </w:r>
      <w:r w:rsidRPr="00DC2140">
        <w:rPr>
          <w:color w:val="000000" w:themeColor="text1"/>
        </w:rPr>
        <w:t xml:space="preserve"> [online].[cit. 2019-03-10]. Dostupné z: </w:t>
      </w:r>
      <w:hyperlink r:id="rId3" w:history="1">
        <w:r w:rsidRPr="00DC2140">
          <w:rPr>
            <w:rStyle w:val="Hypertextovodkaz"/>
            <w:color w:val="000000" w:themeColor="text1"/>
            <w:u w:val="none"/>
          </w:rPr>
          <w:t>https://faei.cz/nizkanezamestnanost-brzdi-rozvoj-firem/</w:t>
        </w:r>
      </w:hyperlink>
    </w:p>
  </w:footnote>
  <w:footnote w:id="70">
    <w:p w14:paraId="6080BE8C" w14:textId="30F91F69" w:rsidR="00A613C0" w:rsidRDefault="00A613C0" w:rsidP="00A85432">
      <w:pPr>
        <w:pStyle w:val="Textpoznpodarou"/>
        <w:ind w:firstLine="0"/>
      </w:pPr>
      <w:r>
        <w:rPr>
          <w:rStyle w:val="Znakapoznpodarou"/>
        </w:rPr>
        <w:footnoteRef/>
      </w:r>
      <w:r w:rsidRPr="004066F1">
        <w:t xml:space="preserve">SCHILLER, </w:t>
      </w:r>
      <w:proofErr w:type="spellStart"/>
      <w:r w:rsidRPr="004066F1">
        <w:t>Bradley</w:t>
      </w:r>
      <w:proofErr w:type="spellEnd"/>
      <w:r w:rsidRPr="004066F1">
        <w:t xml:space="preserve"> R. </w:t>
      </w:r>
      <w:r w:rsidRPr="004066F1">
        <w:rPr>
          <w:i/>
          <w:iCs/>
        </w:rPr>
        <w:t>Makroekonomie dnes</w:t>
      </w:r>
      <w:r>
        <w:t>, (2004), s. 113,</w:t>
      </w:r>
    </w:p>
  </w:footnote>
  <w:footnote w:id="71">
    <w:p w14:paraId="041A352B" w14:textId="77777777" w:rsidR="00A613C0" w:rsidRDefault="00A613C0" w:rsidP="00DC2140">
      <w:pPr>
        <w:pStyle w:val="Textpoznpodarou"/>
        <w:ind w:firstLine="0"/>
      </w:pPr>
      <w:r>
        <w:rPr>
          <w:rStyle w:val="Znakapoznpodarou"/>
        </w:rPr>
        <w:footnoteRef/>
      </w:r>
      <w:r w:rsidRPr="00881A09">
        <w:rPr>
          <w:i/>
          <w:iCs/>
        </w:rPr>
        <w:t>BusinessInfo.cz</w:t>
      </w:r>
      <w:r>
        <w:t xml:space="preserve"> [online].</w:t>
      </w:r>
      <w:r w:rsidRPr="00881A09">
        <w:t xml:space="preserve">[cit. 2019-03-10]. Dostupné z: </w:t>
      </w:r>
      <w:hyperlink r:id="rId4" w:history="1">
        <w:r w:rsidRPr="000219D1">
          <w:rPr>
            <w:rStyle w:val="Hypertextovodkaz"/>
            <w:color w:val="auto"/>
            <w:u w:val="none"/>
          </w:rPr>
          <w:t>https://www.businessinfo.cz/cs/clanky/6-kroku-jak-resit-nedostatek-pracovnich-sil-v-cesku-a-stredi-evrope-113394.html</w:t>
        </w:r>
      </w:hyperlink>
    </w:p>
  </w:footnote>
  <w:footnote w:id="72">
    <w:p w14:paraId="57B6F3EF" w14:textId="1E8AD9B1" w:rsidR="00A613C0" w:rsidRPr="00E354C4" w:rsidRDefault="00A613C0" w:rsidP="00E354C4">
      <w:pPr>
        <w:spacing w:line="240" w:lineRule="auto"/>
        <w:ind w:firstLine="0"/>
        <w:rPr>
          <w:sz w:val="20"/>
          <w:szCs w:val="20"/>
        </w:rPr>
      </w:pPr>
      <w:r w:rsidRPr="00E354C4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E354C4">
        <w:rPr>
          <w:sz w:val="20"/>
          <w:szCs w:val="20"/>
        </w:rPr>
        <w:t xml:space="preserve">LIPOVSKÁ, Hana. </w:t>
      </w:r>
      <w:r w:rsidRPr="00E354C4">
        <w:rPr>
          <w:i/>
          <w:iCs/>
          <w:sz w:val="20"/>
          <w:szCs w:val="20"/>
        </w:rPr>
        <w:t>Moderní ekonomie: jednoduše o všem, co byste měli vědět</w:t>
      </w:r>
      <w:r w:rsidRPr="00E354C4">
        <w:rPr>
          <w:sz w:val="20"/>
          <w:szCs w:val="20"/>
        </w:rPr>
        <w:t>, (2017), s. 83,</w:t>
      </w:r>
    </w:p>
  </w:footnote>
  <w:footnote w:id="73">
    <w:p w14:paraId="2FDD362C" w14:textId="32A5D28A" w:rsidR="00A613C0" w:rsidRPr="00E354C4" w:rsidRDefault="00A613C0" w:rsidP="00E354C4">
      <w:pPr>
        <w:spacing w:line="240" w:lineRule="auto"/>
        <w:ind w:firstLine="0"/>
        <w:rPr>
          <w:sz w:val="20"/>
          <w:szCs w:val="20"/>
        </w:rPr>
      </w:pPr>
      <w:r w:rsidRPr="00E354C4">
        <w:rPr>
          <w:rStyle w:val="Znakapoznpodarou"/>
          <w:sz w:val="20"/>
          <w:szCs w:val="20"/>
        </w:rPr>
        <w:footnoteRef/>
      </w:r>
      <w:r w:rsidRPr="00E354C4">
        <w:rPr>
          <w:sz w:val="20"/>
          <w:szCs w:val="20"/>
        </w:rPr>
        <w:t xml:space="preserve"> </w:t>
      </w:r>
      <w:r w:rsidRPr="00E354C4">
        <w:rPr>
          <w:i/>
          <w:iCs/>
          <w:sz w:val="20"/>
          <w:szCs w:val="20"/>
        </w:rPr>
        <w:t>Peníze.cz</w:t>
      </w:r>
      <w:r w:rsidRPr="00E354C4">
        <w:rPr>
          <w:sz w:val="20"/>
          <w:szCs w:val="20"/>
        </w:rPr>
        <w:t xml:space="preserve"> [online]. [cit. 2019-07-27]. Dostupné z: https://www.penize.cz/slovnik/median-mezd</w:t>
      </w:r>
    </w:p>
  </w:footnote>
  <w:footnote w:id="74">
    <w:p w14:paraId="7D4C5395" w14:textId="6C9943E1" w:rsidR="00A613C0" w:rsidRPr="00225996" w:rsidRDefault="00A613C0" w:rsidP="00225996">
      <w:pPr>
        <w:spacing w:line="240" w:lineRule="auto"/>
        <w:ind w:firstLine="0"/>
        <w:rPr>
          <w:sz w:val="20"/>
        </w:rPr>
      </w:pPr>
      <w:r w:rsidRPr="00225996">
        <w:rPr>
          <w:rStyle w:val="Znakapoznpodarou"/>
          <w:sz w:val="20"/>
        </w:rPr>
        <w:footnoteRef/>
      </w:r>
      <w:r w:rsidRPr="00225996">
        <w:rPr>
          <w:sz w:val="20"/>
        </w:rPr>
        <w:t xml:space="preserve"> </w:t>
      </w:r>
      <w:r w:rsidRPr="00225996">
        <w:rPr>
          <w:i/>
          <w:iCs/>
          <w:sz w:val="20"/>
        </w:rPr>
        <w:t>Český statistický úřad</w:t>
      </w:r>
      <w:r w:rsidRPr="00225996">
        <w:rPr>
          <w:sz w:val="20"/>
        </w:rPr>
        <w:t xml:space="preserve"> [online]. [cit. 2019-07-27]. Dostupné z: https://www.czso.cz/csu/czso/cri/prumerne-mzdy-1-ctvrtleti-2019</w:t>
      </w:r>
    </w:p>
  </w:footnote>
  <w:footnote w:id="75">
    <w:p w14:paraId="14712837" w14:textId="4728E5B0" w:rsidR="00A613C0" w:rsidRPr="00BC00E4" w:rsidRDefault="00A613C0" w:rsidP="00757321">
      <w:pPr>
        <w:pStyle w:val="Textpoznpodarou"/>
        <w:ind w:firstLine="0"/>
        <w:rPr>
          <w:color w:val="000000" w:themeColor="text1"/>
        </w:rPr>
      </w:pPr>
      <w:r w:rsidRPr="00BC00E4">
        <w:rPr>
          <w:rStyle w:val="Znakapoznpodarou"/>
        </w:rPr>
        <w:footnoteRef/>
      </w:r>
      <w:r w:rsidRPr="00BC00E4">
        <w:rPr>
          <w:i/>
          <w:iCs/>
          <w:color w:val="000000" w:themeColor="text1"/>
        </w:rPr>
        <w:t>Český statistický úřad</w:t>
      </w:r>
      <w:r w:rsidRPr="00BC00E4">
        <w:rPr>
          <w:color w:val="000000" w:themeColor="text1"/>
        </w:rPr>
        <w:t xml:space="preserve"> [online].[cit. 2019-03-10]. Dostupné z:</w:t>
      </w:r>
      <w:hyperlink r:id="rId5" w:history="1">
        <w:r w:rsidRPr="00BC00E4">
          <w:rPr>
            <w:rStyle w:val="Hypertextovodkaz"/>
            <w:color w:val="000000" w:themeColor="text1"/>
            <w:u w:val="none"/>
          </w:rPr>
          <w:t>https://www.czso.cz/csu/xm/charakteristika_kraje</w:t>
        </w:r>
      </w:hyperlink>
    </w:p>
  </w:footnote>
  <w:footnote w:id="76">
    <w:p w14:paraId="7BA13D87" w14:textId="6F676DFE" w:rsidR="00A613C0" w:rsidRPr="00BC00E4" w:rsidRDefault="00A613C0" w:rsidP="00757321">
      <w:pPr>
        <w:spacing w:line="240" w:lineRule="auto"/>
        <w:ind w:firstLine="0"/>
        <w:rPr>
          <w:sz w:val="20"/>
          <w:szCs w:val="20"/>
        </w:rPr>
      </w:pPr>
      <w:r w:rsidRPr="00BC00E4">
        <w:rPr>
          <w:rStyle w:val="Znakapoznpodarou"/>
          <w:sz w:val="20"/>
          <w:szCs w:val="20"/>
        </w:rPr>
        <w:footnoteRef/>
      </w:r>
      <w:r w:rsidRPr="00BC00E4">
        <w:rPr>
          <w:i/>
          <w:iCs/>
          <w:sz w:val="20"/>
          <w:szCs w:val="20"/>
        </w:rPr>
        <w:t>Olomoucký kraj</w:t>
      </w:r>
      <w:r w:rsidRPr="00BC00E4">
        <w:rPr>
          <w:sz w:val="20"/>
          <w:szCs w:val="20"/>
        </w:rPr>
        <w:t xml:space="preserve"> [online]. [cit. 2019-07-27]. Dostupné z: </w:t>
      </w:r>
      <w:hyperlink r:id="rId6" w:history="1">
        <w:r w:rsidRPr="001B3141">
          <w:rPr>
            <w:rStyle w:val="Hypertextovodkaz"/>
            <w:color w:val="auto"/>
            <w:sz w:val="20"/>
            <w:szCs w:val="20"/>
            <w:u w:val="none"/>
          </w:rPr>
          <w:t>https://www.olkraj.cz/zur-sousednich-kraju-cl-3830.html</w:t>
        </w:r>
      </w:hyperlink>
    </w:p>
  </w:footnote>
  <w:footnote w:id="77">
    <w:p w14:paraId="62E87068" w14:textId="1E8BAC8D" w:rsidR="00A613C0" w:rsidRPr="00BC00E4" w:rsidRDefault="00A613C0" w:rsidP="00757321">
      <w:pPr>
        <w:pStyle w:val="Textpoznpodarou"/>
        <w:ind w:firstLine="0"/>
      </w:pPr>
      <w:r w:rsidRPr="00BC00E4">
        <w:rPr>
          <w:rStyle w:val="Znakapoznpodarou"/>
        </w:rPr>
        <w:footnoteRef/>
      </w:r>
      <w:r w:rsidRPr="001B3141">
        <w:rPr>
          <w:i/>
        </w:rPr>
        <w:t>Český statistický úřad</w:t>
      </w:r>
      <w:r>
        <w:t xml:space="preserve"> </w:t>
      </w:r>
      <w:r w:rsidRPr="00BC00E4">
        <w:rPr>
          <w:color w:val="000000" w:themeColor="text1"/>
        </w:rPr>
        <w:t>[online].[cit.</w:t>
      </w:r>
      <w:r>
        <w:rPr>
          <w:color w:val="000000" w:themeColor="text1"/>
        </w:rPr>
        <w:t xml:space="preserve"> </w:t>
      </w:r>
      <w:r w:rsidRPr="00BC00E4">
        <w:rPr>
          <w:color w:val="000000" w:themeColor="text1"/>
        </w:rPr>
        <w:t>2019-03-10].</w:t>
      </w:r>
      <w:r>
        <w:rPr>
          <w:color w:val="000000" w:themeColor="text1"/>
        </w:rPr>
        <w:t xml:space="preserve"> Dostupné z: https://www.czso.cz/csu/xm/charakteristika_kraje</w:t>
      </w:r>
    </w:p>
  </w:footnote>
  <w:footnote w:id="78">
    <w:p w14:paraId="029B4BFC" w14:textId="399308C8" w:rsidR="00A613C0" w:rsidRPr="00BC00E4" w:rsidRDefault="00A613C0" w:rsidP="00757321">
      <w:pPr>
        <w:pStyle w:val="Textpoznpodarou"/>
        <w:ind w:firstLine="0"/>
      </w:pPr>
      <w:r w:rsidRPr="00BC00E4">
        <w:rPr>
          <w:rStyle w:val="Znakapoznpodarou"/>
        </w:rPr>
        <w:footnoteRef/>
      </w:r>
      <w:r w:rsidRPr="00BC00E4">
        <w:rPr>
          <w:i/>
          <w:iCs/>
          <w:color w:val="000000" w:themeColor="text1"/>
        </w:rPr>
        <w:t>Český statistický úřad</w:t>
      </w:r>
      <w:r w:rsidRPr="00BC00E4">
        <w:rPr>
          <w:color w:val="000000" w:themeColor="text1"/>
        </w:rPr>
        <w:t xml:space="preserve"> [online].[cit.</w:t>
      </w:r>
      <w:r>
        <w:rPr>
          <w:color w:val="000000" w:themeColor="text1"/>
        </w:rPr>
        <w:t xml:space="preserve"> </w:t>
      </w:r>
      <w:r w:rsidRPr="00BC00E4">
        <w:rPr>
          <w:color w:val="000000" w:themeColor="text1"/>
        </w:rPr>
        <w:t xml:space="preserve">2019-03-10]. Dostupné z: </w:t>
      </w:r>
      <w:hyperlink r:id="rId7" w:history="1">
        <w:r w:rsidRPr="00BC00E4">
          <w:rPr>
            <w:rStyle w:val="Hypertextovodkaz"/>
            <w:color w:val="000000" w:themeColor="text1"/>
            <w:u w:val="none"/>
          </w:rPr>
          <w:t>https://www.czso.cz/csu/xm/charakteristika_kraje</w:t>
        </w:r>
      </w:hyperlink>
    </w:p>
  </w:footnote>
  <w:footnote w:id="79">
    <w:p w14:paraId="1ABEC3AA" w14:textId="46E0091C" w:rsidR="00A613C0" w:rsidRDefault="00A613C0" w:rsidP="00EF237F">
      <w:pPr>
        <w:pStyle w:val="Textpoznpodarou"/>
        <w:ind w:firstLine="0"/>
      </w:pPr>
      <w:r w:rsidRPr="00BC00E4">
        <w:rPr>
          <w:rStyle w:val="Znakapoznpodarou"/>
        </w:rPr>
        <w:footnoteRef/>
      </w:r>
      <w:r w:rsidRPr="00BC00E4">
        <w:rPr>
          <w:i/>
          <w:iCs/>
          <w:color w:val="000000" w:themeColor="text1"/>
        </w:rPr>
        <w:t>Český statistický úřad</w:t>
      </w:r>
      <w:r w:rsidRPr="00BC00E4">
        <w:rPr>
          <w:color w:val="000000" w:themeColor="text1"/>
        </w:rPr>
        <w:t xml:space="preserve"> [online]. 2019[cit.</w:t>
      </w:r>
      <w:r>
        <w:rPr>
          <w:color w:val="000000" w:themeColor="text1"/>
        </w:rPr>
        <w:t xml:space="preserve"> </w:t>
      </w:r>
      <w:r w:rsidRPr="00BC00E4">
        <w:rPr>
          <w:color w:val="000000" w:themeColor="text1"/>
        </w:rPr>
        <w:t xml:space="preserve">2019-03-10]. Dostupné z: </w:t>
      </w:r>
      <w:hyperlink r:id="rId8" w:history="1">
        <w:r w:rsidRPr="00BC00E4">
          <w:rPr>
            <w:rStyle w:val="Hypertextovodkaz"/>
            <w:color w:val="000000" w:themeColor="text1"/>
            <w:u w:val="none"/>
          </w:rPr>
          <w:t>https://www.czso.cz/csu/xm/charakteristika_kraje</w:t>
        </w:r>
      </w:hyperlink>
    </w:p>
  </w:footnote>
  <w:footnote w:id="80">
    <w:p w14:paraId="2364FE52" w14:textId="27D57270" w:rsidR="00A613C0" w:rsidRPr="00B05FCA" w:rsidRDefault="00A613C0" w:rsidP="00B05FCA">
      <w:pPr>
        <w:spacing w:line="240" w:lineRule="auto"/>
        <w:ind w:firstLine="0"/>
        <w:rPr>
          <w:sz w:val="20"/>
          <w:szCs w:val="20"/>
        </w:rPr>
      </w:pPr>
      <w:r w:rsidRPr="00B05FCA">
        <w:rPr>
          <w:rStyle w:val="Znakapoznpodarou"/>
          <w:sz w:val="20"/>
          <w:szCs w:val="20"/>
        </w:rPr>
        <w:footnoteRef/>
      </w:r>
      <w:r w:rsidRPr="00B05FCA">
        <w:rPr>
          <w:i/>
          <w:iCs/>
          <w:sz w:val="20"/>
          <w:szCs w:val="20"/>
        </w:rPr>
        <w:t>Český statistický úřad</w:t>
      </w:r>
      <w:r w:rsidRPr="00B05FCA">
        <w:rPr>
          <w:sz w:val="20"/>
          <w:szCs w:val="20"/>
        </w:rPr>
        <w:t xml:space="preserve"> [online].</w:t>
      </w: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cit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2019</w:t>
      </w:r>
      <w:proofErr w:type="gramEnd"/>
      <w:r>
        <w:rPr>
          <w:sz w:val="20"/>
          <w:szCs w:val="20"/>
        </w:rPr>
        <w:t xml:space="preserve">-03-10]. Dostupné </w:t>
      </w:r>
      <w:r w:rsidRPr="00B05FCA">
        <w:rPr>
          <w:sz w:val="20"/>
          <w:szCs w:val="20"/>
        </w:rPr>
        <w:t xml:space="preserve">z: </w:t>
      </w:r>
      <w:hyperlink r:id="rId9" w:history="1">
        <w:r w:rsidRPr="00B05FCA">
          <w:rPr>
            <w:rStyle w:val="Hypertextovodkaz"/>
            <w:color w:val="000000" w:themeColor="text1"/>
            <w:sz w:val="20"/>
            <w:szCs w:val="20"/>
            <w:u w:val="none"/>
          </w:rPr>
          <w:t>https://www.czso.cz/csu/xm/charakteristika_kraje</w:t>
        </w:r>
      </w:hyperlink>
    </w:p>
  </w:footnote>
  <w:footnote w:id="81">
    <w:p w14:paraId="71AC0DDA" w14:textId="40B7A7A5" w:rsidR="00A613C0" w:rsidRPr="00965142" w:rsidRDefault="00A613C0" w:rsidP="00965142">
      <w:pPr>
        <w:spacing w:line="240" w:lineRule="auto"/>
        <w:ind w:firstLine="0"/>
        <w:rPr>
          <w:sz w:val="20"/>
          <w:szCs w:val="20"/>
        </w:rPr>
      </w:pPr>
      <w:r w:rsidRPr="00B05FCA">
        <w:rPr>
          <w:rStyle w:val="Znakapoznpodarou"/>
          <w:sz w:val="20"/>
          <w:szCs w:val="20"/>
        </w:rPr>
        <w:footnoteRef/>
      </w:r>
      <w:r w:rsidRPr="00B05FCA">
        <w:rPr>
          <w:i/>
          <w:iCs/>
          <w:sz w:val="20"/>
          <w:szCs w:val="20"/>
        </w:rPr>
        <w:t>Český statistický úřad: Krajská správa ČSÚ v Olomouci</w:t>
      </w:r>
      <w:r w:rsidRPr="00B05FCA">
        <w:rPr>
          <w:sz w:val="20"/>
          <w:szCs w:val="20"/>
        </w:rPr>
        <w:t xml:space="preserve"> [online]. [cit. 2019-07-27]. Dostupné z: https://www.czso.cz/csu/xm/hdp-xm</w:t>
      </w:r>
    </w:p>
  </w:footnote>
  <w:footnote w:id="82">
    <w:p w14:paraId="6E127F7D" w14:textId="1CFCE581" w:rsidR="00A613C0" w:rsidRDefault="00A613C0" w:rsidP="00FA040F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7800DA">
        <w:rPr>
          <w:i/>
          <w:iCs/>
          <w:color w:val="000000" w:themeColor="text1"/>
        </w:rPr>
        <w:t>Středočeský kraj</w:t>
      </w:r>
      <w:r w:rsidRPr="007800DA">
        <w:rPr>
          <w:color w:val="000000" w:themeColor="text1"/>
        </w:rPr>
        <w:t xml:space="preserve"> [online]. 2018 [cit. 2019-03-11]. Dostupné z: https://www.kr-stredocesky.cz/kraj</w:t>
      </w:r>
    </w:p>
  </w:footnote>
  <w:footnote w:id="83">
    <w:p w14:paraId="4C57D703" w14:textId="4C75D05C" w:rsidR="00A613C0" w:rsidRDefault="00A613C0" w:rsidP="00363BF2">
      <w:pPr>
        <w:spacing w:line="240" w:lineRule="auto"/>
        <w:ind w:firstLine="0"/>
      </w:pPr>
      <w:r>
        <w:rPr>
          <w:rStyle w:val="Znakapoznpodarou"/>
        </w:rPr>
        <w:footnoteRef/>
      </w:r>
      <w:r>
        <w:t xml:space="preserve"> </w:t>
      </w:r>
      <w:r w:rsidRPr="00363BF2">
        <w:rPr>
          <w:i/>
          <w:iCs/>
          <w:sz w:val="20"/>
        </w:rPr>
        <w:t>Regionální informační servis</w:t>
      </w:r>
      <w:r w:rsidRPr="00363BF2">
        <w:rPr>
          <w:sz w:val="20"/>
        </w:rPr>
        <w:t xml:space="preserve"> [online]. [cit. 2019-07-27]. Dostupné z: http://www.risy.cz/cs/krajske-ris/stredocesky-kraj/okresy/</w:t>
      </w:r>
    </w:p>
  </w:footnote>
  <w:footnote w:id="84">
    <w:p w14:paraId="43C6220E" w14:textId="77777777" w:rsidR="00A613C0" w:rsidRDefault="00A613C0" w:rsidP="00EF237F">
      <w:pPr>
        <w:pStyle w:val="Textpoznpodarou"/>
        <w:ind w:firstLine="0"/>
      </w:pPr>
      <w:r>
        <w:rPr>
          <w:rStyle w:val="Znakapoznpodarou"/>
        </w:rPr>
        <w:footnoteRef/>
      </w:r>
      <w:r w:rsidRPr="007800DA">
        <w:rPr>
          <w:i/>
          <w:iCs/>
          <w:color w:val="000000" w:themeColor="text1"/>
        </w:rPr>
        <w:t>Středočeský kraj</w:t>
      </w:r>
      <w:r w:rsidRPr="007800DA">
        <w:rPr>
          <w:color w:val="000000" w:themeColor="text1"/>
        </w:rPr>
        <w:t xml:space="preserve"> [online]. 2018 [cit. 2019-03-11]. Dostupné z: https://www.kr-stredocesky.cz/kraj</w:t>
      </w:r>
    </w:p>
  </w:footnote>
  <w:footnote w:id="85">
    <w:p w14:paraId="23154C2E" w14:textId="77777777" w:rsidR="00A613C0" w:rsidRDefault="00A613C0" w:rsidP="00EF237F">
      <w:pPr>
        <w:pStyle w:val="Textpoznpodarou"/>
        <w:ind w:firstLine="0"/>
      </w:pPr>
      <w:r>
        <w:rPr>
          <w:rStyle w:val="Znakapoznpodarou"/>
        </w:rPr>
        <w:footnoteRef/>
      </w:r>
      <w:r w:rsidRPr="007800DA">
        <w:rPr>
          <w:i/>
          <w:iCs/>
          <w:color w:val="000000" w:themeColor="text1"/>
        </w:rPr>
        <w:t>Český statistický úřad</w:t>
      </w:r>
      <w:r w:rsidRPr="007800DA">
        <w:rPr>
          <w:color w:val="000000" w:themeColor="text1"/>
        </w:rPr>
        <w:t xml:space="preserve"> [online]. 2019 [cit. 2019-03-10]. Dostupné z: </w:t>
      </w:r>
      <w:hyperlink r:id="rId10" w:history="1">
        <w:r w:rsidRPr="007800DA">
          <w:rPr>
            <w:rStyle w:val="Hypertextovodkaz"/>
            <w:color w:val="000000" w:themeColor="text1"/>
            <w:u w:val="none"/>
          </w:rPr>
          <w:t>https://www.czso.cz/csu/xm/charakteristika_kraje</w:t>
        </w:r>
      </w:hyperlink>
    </w:p>
  </w:footnote>
  <w:footnote w:id="86">
    <w:p w14:paraId="40E72580" w14:textId="7CA2DB41" w:rsidR="00A613C0" w:rsidRDefault="00A613C0" w:rsidP="0015011E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</w:t>
      </w:r>
      <w:r w:rsidRPr="007800DA">
        <w:rPr>
          <w:i/>
          <w:iCs/>
          <w:color w:val="000000" w:themeColor="text1"/>
        </w:rPr>
        <w:t>Středočeský kraj</w:t>
      </w:r>
      <w:r w:rsidRPr="007800DA">
        <w:rPr>
          <w:color w:val="000000" w:themeColor="text1"/>
        </w:rPr>
        <w:t xml:space="preserve"> [online]. 2018 [cit. 2019-03-11]. Dostupné z: </w:t>
      </w:r>
      <w:hyperlink r:id="rId11" w:history="1">
        <w:r w:rsidRPr="00472303">
          <w:rPr>
            <w:rStyle w:val="Hypertextovodkaz"/>
            <w:color w:val="000000" w:themeColor="text1"/>
            <w:u w:val="none"/>
          </w:rPr>
          <w:t>https://www.kr-stredocesky.cz/kraj</w:t>
        </w:r>
      </w:hyperlink>
    </w:p>
  </w:footnote>
  <w:footnote w:id="87">
    <w:p w14:paraId="03183311" w14:textId="77777777" w:rsidR="00A613C0" w:rsidRPr="00965142" w:rsidRDefault="00A613C0" w:rsidP="00965142">
      <w:pPr>
        <w:pStyle w:val="Textpoznpodarou"/>
        <w:ind w:firstLine="0"/>
        <w:rPr>
          <w:color w:val="000000" w:themeColor="text1"/>
        </w:rPr>
      </w:pPr>
      <w:r w:rsidRPr="00965142">
        <w:rPr>
          <w:rStyle w:val="Znakapoznpodarou"/>
          <w:color w:val="000000" w:themeColor="text1"/>
        </w:rPr>
        <w:footnoteRef/>
      </w:r>
      <w:r w:rsidRPr="00965142">
        <w:rPr>
          <w:color w:val="000000" w:themeColor="text1"/>
        </w:rPr>
        <w:t xml:space="preserve"> </w:t>
      </w:r>
      <w:r w:rsidRPr="00965142">
        <w:rPr>
          <w:i/>
          <w:iCs/>
          <w:color w:val="000000" w:themeColor="text1"/>
        </w:rPr>
        <w:t>Středočeský kraj</w:t>
      </w:r>
      <w:r w:rsidRPr="00965142">
        <w:rPr>
          <w:color w:val="000000" w:themeColor="text1"/>
        </w:rPr>
        <w:t xml:space="preserve"> [online]. 2018 [cit. 2019-03-11]. Dostupné z: </w:t>
      </w:r>
      <w:hyperlink r:id="rId12" w:history="1">
        <w:r w:rsidRPr="00965142">
          <w:rPr>
            <w:rStyle w:val="Hypertextovodkaz"/>
            <w:color w:val="000000" w:themeColor="text1"/>
            <w:u w:val="none"/>
          </w:rPr>
          <w:t>https://www.kr-stredocesky.cz/kraj</w:t>
        </w:r>
      </w:hyperlink>
    </w:p>
  </w:footnote>
  <w:footnote w:id="88">
    <w:p w14:paraId="3143FF66" w14:textId="39C305E5" w:rsidR="00A613C0" w:rsidRPr="00965142" w:rsidRDefault="00A613C0" w:rsidP="00965142">
      <w:pPr>
        <w:spacing w:line="240" w:lineRule="auto"/>
        <w:ind w:firstLine="0"/>
        <w:rPr>
          <w:color w:val="000000" w:themeColor="text1"/>
          <w:sz w:val="20"/>
          <w:szCs w:val="20"/>
        </w:rPr>
      </w:pPr>
      <w:r w:rsidRPr="00965142">
        <w:rPr>
          <w:rStyle w:val="Znakapoznpodarou"/>
          <w:color w:val="000000" w:themeColor="text1"/>
          <w:sz w:val="20"/>
          <w:szCs w:val="20"/>
        </w:rPr>
        <w:footnoteRef/>
      </w:r>
      <w:r w:rsidRPr="00965142">
        <w:rPr>
          <w:color w:val="000000" w:themeColor="text1"/>
          <w:sz w:val="20"/>
          <w:szCs w:val="20"/>
        </w:rPr>
        <w:t xml:space="preserve"> </w:t>
      </w:r>
      <w:r w:rsidRPr="00965142">
        <w:rPr>
          <w:i/>
          <w:iCs/>
          <w:color w:val="000000" w:themeColor="text1"/>
          <w:sz w:val="20"/>
          <w:szCs w:val="20"/>
        </w:rPr>
        <w:t>Český statistický úřad: Krajská správa ČSÚ pro Středočeský kraj</w:t>
      </w:r>
      <w:r w:rsidRPr="00965142">
        <w:rPr>
          <w:color w:val="000000" w:themeColor="text1"/>
          <w:sz w:val="20"/>
          <w:szCs w:val="20"/>
        </w:rPr>
        <w:t xml:space="preserve"> [online]. [cit. 2019-07-27]. Dostupné z: https://www.czso.cz/csu/xs/hdp-xs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27D"/>
    <w:multiLevelType w:val="hybridMultilevel"/>
    <w:tmpl w:val="CBF2A132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EE0F7A"/>
    <w:multiLevelType w:val="hybridMultilevel"/>
    <w:tmpl w:val="9E50F7F0"/>
    <w:lvl w:ilvl="0" w:tplc="20E68458">
      <w:start w:val="5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117B4D48"/>
    <w:multiLevelType w:val="hybridMultilevel"/>
    <w:tmpl w:val="AF5025B0"/>
    <w:lvl w:ilvl="0" w:tplc="F5DE040C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7EC70F5"/>
    <w:multiLevelType w:val="hybridMultilevel"/>
    <w:tmpl w:val="279CCFA4"/>
    <w:lvl w:ilvl="0" w:tplc="3E06E57E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1A975BDD"/>
    <w:multiLevelType w:val="multilevel"/>
    <w:tmpl w:val="E294C5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DFA02E0"/>
    <w:multiLevelType w:val="hybridMultilevel"/>
    <w:tmpl w:val="5B60CAD2"/>
    <w:lvl w:ilvl="0" w:tplc="82F8046E">
      <w:start w:val="23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3A435696"/>
    <w:multiLevelType w:val="hybridMultilevel"/>
    <w:tmpl w:val="B17C6DD4"/>
    <w:lvl w:ilvl="0" w:tplc="4AC0405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830EF"/>
    <w:multiLevelType w:val="hybridMultilevel"/>
    <w:tmpl w:val="B55AC5B2"/>
    <w:lvl w:ilvl="0" w:tplc="C47EBA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02495"/>
    <w:multiLevelType w:val="multilevel"/>
    <w:tmpl w:val="A3C4418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  <w:rPr>
        <w:sz w:val="24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ind w:left="1290" w:hanging="864"/>
      </w:pPr>
      <w:rPr>
        <w:vertAlign w:val="baseline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68AB2D7F"/>
    <w:multiLevelType w:val="hybridMultilevel"/>
    <w:tmpl w:val="437689CA"/>
    <w:lvl w:ilvl="0" w:tplc="4AC04050">
      <w:start w:val="2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D4B3459"/>
    <w:multiLevelType w:val="hybridMultilevel"/>
    <w:tmpl w:val="E1AE5FEE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6DD71BB7"/>
    <w:multiLevelType w:val="hybridMultilevel"/>
    <w:tmpl w:val="18724418"/>
    <w:lvl w:ilvl="0" w:tplc="B4D4E00E">
      <w:start w:val="24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B82426A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B4A42"/>
    <w:multiLevelType w:val="multilevel"/>
    <w:tmpl w:val="638C7C82"/>
    <w:lvl w:ilvl="0">
      <w:start w:val="1"/>
      <w:numFmt w:val="decimal"/>
      <w:lvlText w:val="%1"/>
      <w:lvlJc w:val="center"/>
      <w:pPr>
        <w:ind w:left="107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42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90" w:hanging="1800"/>
      </w:pPr>
      <w:rPr>
        <w:rFonts w:hint="default"/>
      </w:rPr>
    </w:lvl>
  </w:abstractNum>
  <w:abstractNum w:abstractNumId="13">
    <w:nsid w:val="70B3435D"/>
    <w:multiLevelType w:val="hybridMultilevel"/>
    <w:tmpl w:val="6CBA86C4"/>
    <w:lvl w:ilvl="0" w:tplc="6430EBD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2"/>
  </w:num>
  <w:num w:numId="22">
    <w:abstractNumId w:val="13"/>
  </w:num>
  <w:num w:numId="23">
    <w:abstractNumId w:val="7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78"/>
    <w:rsid w:val="00000F52"/>
    <w:rsid w:val="00002B96"/>
    <w:rsid w:val="000052C7"/>
    <w:rsid w:val="000055FC"/>
    <w:rsid w:val="0000688B"/>
    <w:rsid w:val="00010ADE"/>
    <w:rsid w:val="00011835"/>
    <w:rsid w:val="00011E64"/>
    <w:rsid w:val="00012456"/>
    <w:rsid w:val="00013161"/>
    <w:rsid w:val="000144A2"/>
    <w:rsid w:val="00014572"/>
    <w:rsid w:val="00015AAC"/>
    <w:rsid w:val="00016EB4"/>
    <w:rsid w:val="00016EF1"/>
    <w:rsid w:val="00020ED6"/>
    <w:rsid w:val="0002109D"/>
    <w:rsid w:val="000218CE"/>
    <w:rsid w:val="000219C4"/>
    <w:rsid w:val="000219D1"/>
    <w:rsid w:val="000223D3"/>
    <w:rsid w:val="0002261A"/>
    <w:rsid w:val="000244E6"/>
    <w:rsid w:val="0002550F"/>
    <w:rsid w:val="000255A5"/>
    <w:rsid w:val="00026E7B"/>
    <w:rsid w:val="00027DC3"/>
    <w:rsid w:val="000304AE"/>
    <w:rsid w:val="0003133A"/>
    <w:rsid w:val="000318F7"/>
    <w:rsid w:val="0003304E"/>
    <w:rsid w:val="00033434"/>
    <w:rsid w:val="00034291"/>
    <w:rsid w:val="00034924"/>
    <w:rsid w:val="00035F29"/>
    <w:rsid w:val="00036394"/>
    <w:rsid w:val="0003720D"/>
    <w:rsid w:val="00037B13"/>
    <w:rsid w:val="00037B3D"/>
    <w:rsid w:val="000415F5"/>
    <w:rsid w:val="00041B4C"/>
    <w:rsid w:val="0004376D"/>
    <w:rsid w:val="0004489F"/>
    <w:rsid w:val="00044A6D"/>
    <w:rsid w:val="00044C9B"/>
    <w:rsid w:val="00045047"/>
    <w:rsid w:val="0004663B"/>
    <w:rsid w:val="00046D4B"/>
    <w:rsid w:val="0004775B"/>
    <w:rsid w:val="00047C86"/>
    <w:rsid w:val="000507CF"/>
    <w:rsid w:val="00050BDD"/>
    <w:rsid w:val="00051922"/>
    <w:rsid w:val="00051E73"/>
    <w:rsid w:val="000523BD"/>
    <w:rsid w:val="00052864"/>
    <w:rsid w:val="000531AD"/>
    <w:rsid w:val="0005477B"/>
    <w:rsid w:val="00055294"/>
    <w:rsid w:val="00056404"/>
    <w:rsid w:val="00056ACE"/>
    <w:rsid w:val="00056F00"/>
    <w:rsid w:val="0005746E"/>
    <w:rsid w:val="00057D3E"/>
    <w:rsid w:val="000604FD"/>
    <w:rsid w:val="000612B6"/>
    <w:rsid w:val="0006170E"/>
    <w:rsid w:val="00061C63"/>
    <w:rsid w:val="0006209A"/>
    <w:rsid w:val="000632F6"/>
    <w:rsid w:val="000646D1"/>
    <w:rsid w:val="00065343"/>
    <w:rsid w:val="000668E1"/>
    <w:rsid w:val="00066907"/>
    <w:rsid w:val="0007097A"/>
    <w:rsid w:val="00071565"/>
    <w:rsid w:val="00071FF9"/>
    <w:rsid w:val="0007279F"/>
    <w:rsid w:val="00072B12"/>
    <w:rsid w:val="00073A11"/>
    <w:rsid w:val="000744B4"/>
    <w:rsid w:val="000765A1"/>
    <w:rsid w:val="0007734B"/>
    <w:rsid w:val="000773FB"/>
    <w:rsid w:val="00077996"/>
    <w:rsid w:val="000806C9"/>
    <w:rsid w:val="00080777"/>
    <w:rsid w:val="00081A0A"/>
    <w:rsid w:val="000824DD"/>
    <w:rsid w:val="00083244"/>
    <w:rsid w:val="00083758"/>
    <w:rsid w:val="00083A5A"/>
    <w:rsid w:val="0008496A"/>
    <w:rsid w:val="00084C90"/>
    <w:rsid w:val="0008501A"/>
    <w:rsid w:val="000853F6"/>
    <w:rsid w:val="00085D17"/>
    <w:rsid w:val="0009264D"/>
    <w:rsid w:val="0009266F"/>
    <w:rsid w:val="00092D5C"/>
    <w:rsid w:val="000937B4"/>
    <w:rsid w:val="00093948"/>
    <w:rsid w:val="00093F25"/>
    <w:rsid w:val="00094BA5"/>
    <w:rsid w:val="00094D0C"/>
    <w:rsid w:val="00096230"/>
    <w:rsid w:val="00096F41"/>
    <w:rsid w:val="000A0777"/>
    <w:rsid w:val="000A0DD5"/>
    <w:rsid w:val="000A1DA7"/>
    <w:rsid w:val="000A3130"/>
    <w:rsid w:val="000A3BFE"/>
    <w:rsid w:val="000A43EC"/>
    <w:rsid w:val="000A4ACB"/>
    <w:rsid w:val="000A748B"/>
    <w:rsid w:val="000B01EE"/>
    <w:rsid w:val="000B20FB"/>
    <w:rsid w:val="000B23B4"/>
    <w:rsid w:val="000B2471"/>
    <w:rsid w:val="000B278D"/>
    <w:rsid w:val="000B28C3"/>
    <w:rsid w:val="000B3FA8"/>
    <w:rsid w:val="000B4557"/>
    <w:rsid w:val="000B5F68"/>
    <w:rsid w:val="000B5F7F"/>
    <w:rsid w:val="000C0AC4"/>
    <w:rsid w:val="000C2E12"/>
    <w:rsid w:val="000C5DE3"/>
    <w:rsid w:val="000C64E2"/>
    <w:rsid w:val="000C6DE1"/>
    <w:rsid w:val="000C7817"/>
    <w:rsid w:val="000C7DA2"/>
    <w:rsid w:val="000D0680"/>
    <w:rsid w:val="000D0B11"/>
    <w:rsid w:val="000D1134"/>
    <w:rsid w:val="000D15B9"/>
    <w:rsid w:val="000D1C8C"/>
    <w:rsid w:val="000D2D27"/>
    <w:rsid w:val="000D4D1F"/>
    <w:rsid w:val="000D592F"/>
    <w:rsid w:val="000D7EBD"/>
    <w:rsid w:val="000E29F7"/>
    <w:rsid w:val="000E2BC1"/>
    <w:rsid w:val="000E2D53"/>
    <w:rsid w:val="000E36D2"/>
    <w:rsid w:val="000E3C9A"/>
    <w:rsid w:val="000E4AE3"/>
    <w:rsid w:val="000E4CF2"/>
    <w:rsid w:val="000E630D"/>
    <w:rsid w:val="000E6900"/>
    <w:rsid w:val="000F0046"/>
    <w:rsid w:val="000F1B61"/>
    <w:rsid w:val="000F395D"/>
    <w:rsid w:val="000F435F"/>
    <w:rsid w:val="000F4548"/>
    <w:rsid w:val="000F6619"/>
    <w:rsid w:val="001001DA"/>
    <w:rsid w:val="001002A3"/>
    <w:rsid w:val="0010070C"/>
    <w:rsid w:val="0010160B"/>
    <w:rsid w:val="0010241F"/>
    <w:rsid w:val="0010488C"/>
    <w:rsid w:val="00105944"/>
    <w:rsid w:val="0010638B"/>
    <w:rsid w:val="001073B7"/>
    <w:rsid w:val="001073E6"/>
    <w:rsid w:val="00107F4E"/>
    <w:rsid w:val="00110073"/>
    <w:rsid w:val="00111B6D"/>
    <w:rsid w:val="001122B2"/>
    <w:rsid w:val="001122FC"/>
    <w:rsid w:val="00113D58"/>
    <w:rsid w:val="00114F02"/>
    <w:rsid w:val="00115208"/>
    <w:rsid w:val="00115C43"/>
    <w:rsid w:val="001167E3"/>
    <w:rsid w:val="00116A7F"/>
    <w:rsid w:val="00116C55"/>
    <w:rsid w:val="00120282"/>
    <w:rsid w:val="00120EFE"/>
    <w:rsid w:val="001217E2"/>
    <w:rsid w:val="001261D9"/>
    <w:rsid w:val="00126706"/>
    <w:rsid w:val="0012784F"/>
    <w:rsid w:val="001314C7"/>
    <w:rsid w:val="00131B54"/>
    <w:rsid w:val="00131C4C"/>
    <w:rsid w:val="001320E9"/>
    <w:rsid w:val="001345EB"/>
    <w:rsid w:val="00135B1B"/>
    <w:rsid w:val="0013669D"/>
    <w:rsid w:val="0014065D"/>
    <w:rsid w:val="00140ADC"/>
    <w:rsid w:val="001427C2"/>
    <w:rsid w:val="00144D60"/>
    <w:rsid w:val="00144F27"/>
    <w:rsid w:val="00146391"/>
    <w:rsid w:val="00147E87"/>
    <w:rsid w:val="0015011E"/>
    <w:rsid w:val="001503EF"/>
    <w:rsid w:val="0015074B"/>
    <w:rsid w:val="0015124A"/>
    <w:rsid w:val="0015167F"/>
    <w:rsid w:val="001518DE"/>
    <w:rsid w:val="001519D1"/>
    <w:rsid w:val="00152F86"/>
    <w:rsid w:val="00153F61"/>
    <w:rsid w:val="00155CF8"/>
    <w:rsid w:val="001570B8"/>
    <w:rsid w:val="00164364"/>
    <w:rsid w:val="00164AD5"/>
    <w:rsid w:val="00164CCE"/>
    <w:rsid w:val="00164D6C"/>
    <w:rsid w:val="00164E6D"/>
    <w:rsid w:val="001653EC"/>
    <w:rsid w:val="00165583"/>
    <w:rsid w:val="00165A42"/>
    <w:rsid w:val="00167769"/>
    <w:rsid w:val="00167DE7"/>
    <w:rsid w:val="001702DA"/>
    <w:rsid w:val="001705F6"/>
    <w:rsid w:val="00170747"/>
    <w:rsid w:val="00170F7A"/>
    <w:rsid w:val="00171942"/>
    <w:rsid w:val="00172606"/>
    <w:rsid w:val="0017273E"/>
    <w:rsid w:val="00173D52"/>
    <w:rsid w:val="00175CB6"/>
    <w:rsid w:val="001762DA"/>
    <w:rsid w:val="001802DD"/>
    <w:rsid w:val="00180DAC"/>
    <w:rsid w:val="0018188C"/>
    <w:rsid w:val="00184FE0"/>
    <w:rsid w:val="00185F4D"/>
    <w:rsid w:val="001870DA"/>
    <w:rsid w:val="00187777"/>
    <w:rsid w:val="00190CD0"/>
    <w:rsid w:val="00192719"/>
    <w:rsid w:val="00192C49"/>
    <w:rsid w:val="001941F6"/>
    <w:rsid w:val="00194623"/>
    <w:rsid w:val="00195B66"/>
    <w:rsid w:val="001966E4"/>
    <w:rsid w:val="00196938"/>
    <w:rsid w:val="001972FD"/>
    <w:rsid w:val="001973C0"/>
    <w:rsid w:val="00197449"/>
    <w:rsid w:val="001A0697"/>
    <w:rsid w:val="001A0875"/>
    <w:rsid w:val="001A40E6"/>
    <w:rsid w:val="001A48FC"/>
    <w:rsid w:val="001A520A"/>
    <w:rsid w:val="001A52EC"/>
    <w:rsid w:val="001A5FC0"/>
    <w:rsid w:val="001A6E23"/>
    <w:rsid w:val="001B0B59"/>
    <w:rsid w:val="001B2395"/>
    <w:rsid w:val="001B3141"/>
    <w:rsid w:val="001B399F"/>
    <w:rsid w:val="001B41FE"/>
    <w:rsid w:val="001B43C1"/>
    <w:rsid w:val="001B4646"/>
    <w:rsid w:val="001B49EC"/>
    <w:rsid w:val="001B72BB"/>
    <w:rsid w:val="001C2843"/>
    <w:rsid w:val="001C359C"/>
    <w:rsid w:val="001C3E55"/>
    <w:rsid w:val="001C675C"/>
    <w:rsid w:val="001C70BF"/>
    <w:rsid w:val="001C793B"/>
    <w:rsid w:val="001C7D8F"/>
    <w:rsid w:val="001D08DE"/>
    <w:rsid w:val="001D17C8"/>
    <w:rsid w:val="001D2142"/>
    <w:rsid w:val="001D22C4"/>
    <w:rsid w:val="001D51F7"/>
    <w:rsid w:val="001D5A14"/>
    <w:rsid w:val="001D5AB1"/>
    <w:rsid w:val="001D775D"/>
    <w:rsid w:val="001E0022"/>
    <w:rsid w:val="001E1344"/>
    <w:rsid w:val="001E1F49"/>
    <w:rsid w:val="001E221F"/>
    <w:rsid w:val="001E2596"/>
    <w:rsid w:val="001E31C9"/>
    <w:rsid w:val="001E5826"/>
    <w:rsid w:val="001E62F9"/>
    <w:rsid w:val="001F2C26"/>
    <w:rsid w:val="001F2DF0"/>
    <w:rsid w:val="001F4DBE"/>
    <w:rsid w:val="001F4DF8"/>
    <w:rsid w:val="001F789A"/>
    <w:rsid w:val="00200583"/>
    <w:rsid w:val="002018B2"/>
    <w:rsid w:val="00202396"/>
    <w:rsid w:val="0020295D"/>
    <w:rsid w:val="00204050"/>
    <w:rsid w:val="00205CD9"/>
    <w:rsid w:val="00206119"/>
    <w:rsid w:val="00206591"/>
    <w:rsid w:val="002071F0"/>
    <w:rsid w:val="0021046D"/>
    <w:rsid w:val="00210496"/>
    <w:rsid w:val="00210BCD"/>
    <w:rsid w:val="00211812"/>
    <w:rsid w:val="00212243"/>
    <w:rsid w:val="0021393F"/>
    <w:rsid w:val="00215070"/>
    <w:rsid w:val="0021661A"/>
    <w:rsid w:val="00216B85"/>
    <w:rsid w:val="002219AA"/>
    <w:rsid w:val="00222049"/>
    <w:rsid w:val="0022229F"/>
    <w:rsid w:val="002241A7"/>
    <w:rsid w:val="002248CD"/>
    <w:rsid w:val="002249CE"/>
    <w:rsid w:val="00224A03"/>
    <w:rsid w:val="002250B8"/>
    <w:rsid w:val="00225996"/>
    <w:rsid w:val="00225E87"/>
    <w:rsid w:val="0022625F"/>
    <w:rsid w:val="00226BE5"/>
    <w:rsid w:val="00227E1D"/>
    <w:rsid w:val="00230AF3"/>
    <w:rsid w:val="00231474"/>
    <w:rsid w:val="002314EE"/>
    <w:rsid w:val="0023220E"/>
    <w:rsid w:val="0023377B"/>
    <w:rsid w:val="002338CC"/>
    <w:rsid w:val="00234AA8"/>
    <w:rsid w:val="0023734D"/>
    <w:rsid w:val="002413C9"/>
    <w:rsid w:val="00243612"/>
    <w:rsid w:val="00243D74"/>
    <w:rsid w:val="00245B5A"/>
    <w:rsid w:val="00246E43"/>
    <w:rsid w:val="00246FEE"/>
    <w:rsid w:val="002471BB"/>
    <w:rsid w:val="00247D90"/>
    <w:rsid w:val="00250365"/>
    <w:rsid w:val="002505D8"/>
    <w:rsid w:val="002511D9"/>
    <w:rsid w:val="0025197A"/>
    <w:rsid w:val="00252A05"/>
    <w:rsid w:val="0025456C"/>
    <w:rsid w:val="0025528F"/>
    <w:rsid w:val="0025536B"/>
    <w:rsid w:val="002557E7"/>
    <w:rsid w:val="002609AB"/>
    <w:rsid w:val="00260A31"/>
    <w:rsid w:val="002611B1"/>
    <w:rsid w:val="00261F80"/>
    <w:rsid w:val="00263180"/>
    <w:rsid w:val="00264359"/>
    <w:rsid w:val="00264EA2"/>
    <w:rsid w:val="002668EE"/>
    <w:rsid w:val="00266D28"/>
    <w:rsid w:val="00267211"/>
    <w:rsid w:val="002674C0"/>
    <w:rsid w:val="002679E4"/>
    <w:rsid w:val="00267F25"/>
    <w:rsid w:val="00270CB2"/>
    <w:rsid w:val="00270CDA"/>
    <w:rsid w:val="00271762"/>
    <w:rsid w:val="00271AAF"/>
    <w:rsid w:val="00271DBA"/>
    <w:rsid w:val="002730DA"/>
    <w:rsid w:val="00274C46"/>
    <w:rsid w:val="002751D0"/>
    <w:rsid w:val="00275A48"/>
    <w:rsid w:val="00275C60"/>
    <w:rsid w:val="00275E13"/>
    <w:rsid w:val="002769F5"/>
    <w:rsid w:val="00277992"/>
    <w:rsid w:val="00277D8D"/>
    <w:rsid w:val="0028011C"/>
    <w:rsid w:val="00280ECE"/>
    <w:rsid w:val="00282209"/>
    <w:rsid w:val="00282DBE"/>
    <w:rsid w:val="00282E58"/>
    <w:rsid w:val="00284911"/>
    <w:rsid w:val="0028663A"/>
    <w:rsid w:val="00286D0B"/>
    <w:rsid w:val="00287A6D"/>
    <w:rsid w:val="00287AAD"/>
    <w:rsid w:val="002915AE"/>
    <w:rsid w:val="00292A60"/>
    <w:rsid w:val="00292E0A"/>
    <w:rsid w:val="002931C1"/>
    <w:rsid w:val="00293B1C"/>
    <w:rsid w:val="00295319"/>
    <w:rsid w:val="00295DC4"/>
    <w:rsid w:val="00295DF0"/>
    <w:rsid w:val="002972E4"/>
    <w:rsid w:val="00297A46"/>
    <w:rsid w:val="00297C93"/>
    <w:rsid w:val="002A232C"/>
    <w:rsid w:val="002A322C"/>
    <w:rsid w:val="002A3DFD"/>
    <w:rsid w:val="002A3F27"/>
    <w:rsid w:val="002A3F5D"/>
    <w:rsid w:val="002A4AA8"/>
    <w:rsid w:val="002A58BA"/>
    <w:rsid w:val="002A60BE"/>
    <w:rsid w:val="002A657F"/>
    <w:rsid w:val="002A66AE"/>
    <w:rsid w:val="002A6A8F"/>
    <w:rsid w:val="002A6DC7"/>
    <w:rsid w:val="002B114C"/>
    <w:rsid w:val="002B1A31"/>
    <w:rsid w:val="002B1A8B"/>
    <w:rsid w:val="002B3255"/>
    <w:rsid w:val="002B3496"/>
    <w:rsid w:val="002B7893"/>
    <w:rsid w:val="002C08E9"/>
    <w:rsid w:val="002C0B18"/>
    <w:rsid w:val="002C0B88"/>
    <w:rsid w:val="002C1F27"/>
    <w:rsid w:val="002C4AE2"/>
    <w:rsid w:val="002C5725"/>
    <w:rsid w:val="002C5D92"/>
    <w:rsid w:val="002C7445"/>
    <w:rsid w:val="002C7AD1"/>
    <w:rsid w:val="002D0C1A"/>
    <w:rsid w:val="002D328C"/>
    <w:rsid w:val="002D32FA"/>
    <w:rsid w:val="002D3C9F"/>
    <w:rsid w:val="002D451B"/>
    <w:rsid w:val="002D53F4"/>
    <w:rsid w:val="002D7D20"/>
    <w:rsid w:val="002E072B"/>
    <w:rsid w:val="002E2956"/>
    <w:rsid w:val="002E2B59"/>
    <w:rsid w:val="002E2F5D"/>
    <w:rsid w:val="002E37CB"/>
    <w:rsid w:val="002E38EB"/>
    <w:rsid w:val="002E3AC2"/>
    <w:rsid w:val="002E5246"/>
    <w:rsid w:val="002E61D7"/>
    <w:rsid w:val="002F0492"/>
    <w:rsid w:val="002F291E"/>
    <w:rsid w:val="002F2ED5"/>
    <w:rsid w:val="002F45C0"/>
    <w:rsid w:val="002F5537"/>
    <w:rsid w:val="002F6381"/>
    <w:rsid w:val="002F6513"/>
    <w:rsid w:val="002F6C85"/>
    <w:rsid w:val="00300D5A"/>
    <w:rsid w:val="003019E8"/>
    <w:rsid w:val="00302A80"/>
    <w:rsid w:val="00302B06"/>
    <w:rsid w:val="00305A07"/>
    <w:rsid w:val="0031109C"/>
    <w:rsid w:val="00314EC1"/>
    <w:rsid w:val="00316051"/>
    <w:rsid w:val="00316BB2"/>
    <w:rsid w:val="0032069D"/>
    <w:rsid w:val="00321A9C"/>
    <w:rsid w:val="00322806"/>
    <w:rsid w:val="003245E3"/>
    <w:rsid w:val="003269D3"/>
    <w:rsid w:val="00327274"/>
    <w:rsid w:val="00330201"/>
    <w:rsid w:val="00331DEC"/>
    <w:rsid w:val="003325ED"/>
    <w:rsid w:val="0033309A"/>
    <w:rsid w:val="00333B37"/>
    <w:rsid w:val="00333BD8"/>
    <w:rsid w:val="00334381"/>
    <w:rsid w:val="0033475E"/>
    <w:rsid w:val="00335C44"/>
    <w:rsid w:val="00335D72"/>
    <w:rsid w:val="00336B52"/>
    <w:rsid w:val="00340044"/>
    <w:rsid w:val="003412AD"/>
    <w:rsid w:val="00341966"/>
    <w:rsid w:val="00342308"/>
    <w:rsid w:val="0034288D"/>
    <w:rsid w:val="00342A8F"/>
    <w:rsid w:val="0034320A"/>
    <w:rsid w:val="00343D89"/>
    <w:rsid w:val="00343DE1"/>
    <w:rsid w:val="00345404"/>
    <w:rsid w:val="003462C7"/>
    <w:rsid w:val="00346737"/>
    <w:rsid w:val="00347E8F"/>
    <w:rsid w:val="00350ECD"/>
    <w:rsid w:val="003514C4"/>
    <w:rsid w:val="00351957"/>
    <w:rsid w:val="00354752"/>
    <w:rsid w:val="00354D90"/>
    <w:rsid w:val="00355A44"/>
    <w:rsid w:val="003565A1"/>
    <w:rsid w:val="003567F3"/>
    <w:rsid w:val="0035772F"/>
    <w:rsid w:val="00357F47"/>
    <w:rsid w:val="003602F0"/>
    <w:rsid w:val="00362387"/>
    <w:rsid w:val="00362797"/>
    <w:rsid w:val="0036283A"/>
    <w:rsid w:val="00363621"/>
    <w:rsid w:val="00363BF2"/>
    <w:rsid w:val="00363EE4"/>
    <w:rsid w:val="00364000"/>
    <w:rsid w:val="00364619"/>
    <w:rsid w:val="0036592D"/>
    <w:rsid w:val="00366171"/>
    <w:rsid w:val="00366CC8"/>
    <w:rsid w:val="003706CF"/>
    <w:rsid w:val="003741D7"/>
    <w:rsid w:val="00374278"/>
    <w:rsid w:val="00374630"/>
    <w:rsid w:val="00374815"/>
    <w:rsid w:val="003753BF"/>
    <w:rsid w:val="0037575F"/>
    <w:rsid w:val="00375DB1"/>
    <w:rsid w:val="00375F3A"/>
    <w:rsid w:val="00376D77"/>
    <w:rsid w:val="00376EDD"/>
    <w:rsid w:val="0038669D"/>
    <w:rsid w:val="00386970"/>
    <w:rsid w:val="003876C4"/>
    <w:rsid w:val="00387CE3"/>
    <w:rsid w:val="0039096D"/>
    <w:rsid w:val="00392CA3"/>
    <w:rsid w:val="00393271"/>
    <w:rsid w:val="00393EF0"/>
    <w:rsid w:val="00395214"/>
    <w:rsid w:val="0039576A"/>
    <w:rsid w:val="00395886"/>
    <w:rsid w:val="00397AD0"/>
    <w:rsid w:val="003A1008"/>
    <w:rsid w:val="003A274C"/>
    <w:rsid w:val="003A3649"/>
    <w:rsid w:val="003A3E73"/>
    <w:rsid w:val="003A3EA0"/>
    <w:rsid w:val="003A4CEF"/>
    <w:rsid w:val="003A6D9B"/>
    <w:rsid w:val="003A795C"/>
    <w:rsid w:val="003A7D8C"/>
    <w:rsid w:val="003B1910"/>
    <w:rsid w:val="003B291D"/>
    <w:rsid w:val="003B2A20"/>
    <w:rsid w:val="003B376B"/>
    <w:rsid w:val="003B4727"/>
    <w:rsid w:val="003B47F3"/>
    <w:rsid w:val="003B4B85"/>
    <w:rsid w:val="003B521B"/>
    <w:rsid w:val="003B71C4"/>
    <w:rsid w:val="003B7401"/>
    <w:rsid w:val="003B757E"/>
    <w:rsid w:val="003B7B68"/>
    <w:rsid w:val="003C150D"/>
    <w:rsid w:val="003C1847"/>
    <w:rsid w:val="003C1957"/>
    <w:rsid w:val="003C1B8B"/>
    <w:rsid w:val="003C1F7E"/>
    <w:rsid w:val="003C2726"/>
    <w:rsid w:val="003C2769"/>
    <w:rsid w:val="003C61E2"/>
    <w:rsid w:val="003C6656"/>
    <w:rsid w:val="003D039D"/>
    <w:rsid w:val="003D174E"/>
    <w:rsid w:val="003D1FA4"/>
    <w:rsid w:val="003D1FF9"/>
    <w:rsid w:val="003D20DB"/>
    <w:rsid w:val="003D4A3B"/>
    <w:rsid w:val="003D52E8"/>
    <w:rsid w:val="003D6011"/>
    <w:rsid w:val="003D74A9"/>
    <w:rsid w:val="003D793B"/>
    <w:rsid w:val="003E07FC"/>
    <w:rsid w:val="003E0B93"/>
    <w:rsid w:val="003E114F"/>
    <w:rsid w:val="003E27DE"/>
    <w:rsid w:val="003E3589"/>
    <w:rsid w:val="003E57A1"/>
    <w:rsid w:val="003E631B"/>
    <w:rsid w:val="003E68A0"/>
    <w:rsid w:val="003E77EE"/>
    <w:rsid w:val="003E7807"/>
    <w:rsid w:val="003F0B05"/>
    <w:rsid w:val="003F19D8"/>
    <w:rsid w:val="003F2616"/>
    <w:rsid w:val="003F27BD"/>
    <w:rsid w:val="003F48D9"/>
    <w:rsid w:val="003F4937"/>
    <w:rsid w:val="003F5825"/>
    <w:rsid w:val="003F5D77"/>
    <w:rsid w:val="003F66B8"/>
    <w:rsid w:val="0040144A"/>
    <w:rsid w:val="0040267A"/>
    <w:rsid w:val="0040267B"/>
    <w:rsid w:val="00404D0B"/>
    <w:rsid w:val="004055F4"/>
    <w:rsid w:val="00405A3B"/>
    <w:rsid w:val="00405E25"/>
    <w:rsid w:val="004060C7"/>
    <w:rsid w:val="004066F1"/>
    <w:rsid w:val="004104D3"/>
    <w:rsid w:val="004111E6"/>
    <w:rsid w:val="0041204D"/>
    <w:rsid w:val="004125B8"/>
    <w:rsid w:val="00412642"/>
    <w:rsid w:val="0041419B"/>
    <w:rsid w:val="004141CF"/>
    <w:rsid w:val="00414521"/>
    <w:rsid w:val="004153A8"/>
    <w:rsid w:val="0041722E"/>
    <w:rsid w:val="004173F2"/>
    <w:rsid w:val="004177CC"/>
    <w:rsid w:val="00420A27"/>
    <w:rsid w:val="00422A73"/>
    <w:rsid w:val="0042305C"/>
    <w:rsid w:val="00423235"/>
    <w:rsid w:val="004238D5"/>
    <w:rsid w:val="0042414C"/>
    <w:rsid w:val="00425A20"/>
    <w:rsid w:val="00427AB0"/>
    <w:rsid w:val="004303C0"/>
    <w:rsid w:val="00431702"/>
    <w:rsid w:val="00431AB7"/>
    <w:rsid w:val="00431EBB"/>
    <w:rsid w:val="00433ED8"/>
    <w:rsid w:val="00434481"/>
    <w:rsid w:val="00434851"/>
    <w:rsid w:val="0043518D"/>
    <w:rsid w:val="00436957"/>
    <w:rsid w:val="00436A31"/>
    <w:rsid w:val="004379BD"/>
    <w:rsid w:val="00440B09"/>
    <w:rsid w:val="00441CEE"/>
    <w:rsid w:val="004428AB"/>
    <w:rsid w:val="0044314D"/>
    <w:rsid w:val="00443DEE"/>
    <w:rsid w:val="004455B3"/>
    <w:rsid w:val="00446BF1"/>
    <w:rsid w:val="00447B4D"/>
    <w:rsid w:val="00450456"/>
    <w:rsid w:val="004512C0"/>
    <w:rsid w:val="00451CC3"/>
    <w:rsid w:val="00453A7D"/>
    <w:rsid w:val="00454BAB"/>
    <w:rsid w:val="00454DF2"/>
    <w:rsid w:val="00456822"/>
    <w:rsid w:val="00457AC6"/>
    <w:rsid w:val="00460EC8"/>
    <w:rsid w:val="00463094"/>
    <w:rsid w:val="004630A6"/>
    <w:rsid w:val="0046394D"/>
    <w:rsid w:val="004639C3"/>
    <w:rsid w:val="004652E8"/>
    <w:rsid w:val="00465D28"/>
    <w:rsid w:val="00465E07"/>
    <w:rsid w:val="00465ECF"/>
    <w:rsid w:val="00466EF6"/>
    <w:rsid w:val="00470458"/>
    <w:rsid w:val="004708FD"/>
    <w:rsid w:val="00472303"/>
    <w:rsid w:val="004752C0"/>
    <w:rsid w:val="0047611E"/>
    <w:rsid w:val="004764C9"/>
    <w:rsid w:val="00477568"/>
    <w:rsid w:val="00477DBC"/>
    <w:rsid w:val="00477E77"/>
    <w:rsid w:val="0048033B"/>
    <w:rsid w:val="004807F3"/>
    <w:rsid w:val="00480BDC"/>
    <w:rsid w:val="0048100B"/>
    <w:rsid w:val="00481026"/>
    <w:rsid w:val="004832B2"/>
    <w:rsid w:val="004836DB"/>
    <w:rsid w:val="00483BFC"/>
    <w:rsid w:val="00485DCF"/>
    <w:rsid w:val="004876A6"/>
    <w:rsid w:val="00487CB4"/>
    <w:rsid w:val="0049073B"/>
    <w:rsid w:val="00491082"/>
    <w:rsid w:val="004948A4"/>
    <w:rsid w:val="00496354"/>
    <w:rsid w:val="004964FC"/>
    <w:rsid w:val="00496C14"/>
    <w:rsid w:val="0049722F"/>
    <w:rsid w:val="00497A36"/>
    <w:rsid w:val="00497DC3"/>
    <w:rsid w:val="004A1681"/>
    <w:rsid w:val="004A1892"/>
    <w:rsid w:val="004A25D6"/>
    <w:rsid w:val="004A32AE"/>
    <w:rsid w:val="004A34B6"/>
    <w:rsid w:val="004A34D9"/>
    <w:rsid w:val="004A39ED"/>
    <w:rsid w:val="004A3C02"/>
    <w:rsid w:val="004A4042"/>
    <w:rsid w:val="004A513C"/>
    <w:rsid w:val="004A62AB"/>
    <w:rsid w:val="004A7316"/>
    <w:rsid w:val="004A7562"/>
    <w:rsid w:val="004B1BFE"/>
    <w:rsid w:val="004B2405"/>
    <w:rsid w:val="004B2B95"/>
    <w:rsid w:val="004B4ECB"/>
    <w:rsid w:val="004B4F0E"/>
    <w:rsid w:val="004B525A"/>
    <w:rsid w:val="004B7ADE"/>
    <w:rsid w:val="004B7B08"/>
    <w:rsid w:val="004C055C"/>
    <w:rsid w:val="004C0B28"/>
    <w:rsid w:val="004C17C4"/>
    <w:rsid w:val="004C1A5C"/>
    <w:rsid w:val="004C1EAC"/>
    <w:rsid w:val="004C27B0"/>
    <w:rsid w:val="004C2832"/>
    <w:rsid w:val="004C37E0"/>
    <w:rsid w:val="004C4B41"/>
    <w:rsid w:val="004C5145"/>
    <w:rsid w:val="004C66E1"/>
    <w:rsid w:val="004C72C7"/>
    <w:rsid w:val="004D0B2E"/>
    <w:rsid w:val="004D0B3D"/>
    <w:rsid w:val="004D0E99"/>
    <w:rsid w:val="004D0FB0"/>
    <w:rsid w:val="004D1396"/>
    <w:rsid w:val="004D1C76"/>
    <w:rsid w:val="004D1DAA"/>
    <w:rsid w:val="004D20B1"/>
    <w:rsid w:val="004D25E4"/>
    <w:rsid w:val="004D2D4B"/>
    <w:rsid w:val="004D40A6"/>
    <w:rsid w:val="004D41D3"/>
    <w:rsid w:val="004D46F9"/>
    <w:rsid w:val="004D4F3B"/>
    <w:rsid w:val="004D5361"/>
    <w:rsid w:val="004D5705"/>
    <w:rsid w:val="004D5734"/>
    <w:rsid w:val="004D5DF6"/>
    <w:rsid w:val="004D6D2D"/>
    <w:rsid w:val="004D6E56"/>
    <w:rsid w:val="004D7368"/>
    <w:rsid w:val="004E053E"/>
    <w:rsid w:val="004E0C31"/>
    <w:rsid w:val="004E0D48"/>
    <w:rsid w:val="004E1D5C"/>
    <w:rsid w:val="004E28EC"/>
    <w:rsid w:val="004E2B80"/>
    <w:rsid w:val="004E392E"/>
    <w:rsid w:val="004E48F9"/>
    <w:rsid w:val="004E4900"/>
    <w:rsid w:val="004E58E4"/>
    <w:rsid w:val="004E6E12"/>
    <w:rsid w:val="004E7583"/>
    <w:rsid w:val="004F1156"/>
    <w:rsid w:val="004F53BF"/>
    <w:rsid w:val="004F613B"/>
    <w:rsid w:val="00500EEF"/>
    <w:rsid w:val="00500FD0"/>
    <w:rsid w:val="00502DA7"/>
    <w:rsid w:val="005046EE"/>
    <w:rsid w:val="00504D4E"/>
    <w:rsid w:val="00504D8C"/>
    <w:rsid w:val="00507BC1"/>
    <w:rsid w:val="005101D7"/>
    <w:rsid w:val="00510E7E"/>
    <w:rsid w:val="00510F4B"/>
    <w:rsid w:val="005116B5"/>
    <w:rsid w:val="00511DE3"/>
    <w:rsid w:val="00512C69"/>
    <w:rsid w:val="00513A4E"/>
    <w:rsid w:val="005160D1"/>
    <w:rsid w:val="005208A9"/>
    <w:rsid w:val="00522643"/>
    <w:rsid w:val="00522A5E"/>
    <w:rsid w:val="00523479"/>
    <w:rsid w:val="005235E8"/>
    <w:rsid w:val="00523E14"/>
    <w:rsid w:val="00523EAC"/>
    <w:rsid w:val="0052424B"/>
    <w:rsid w:val="005242C8"/>
    <w:rsid w:val="005259DE"/>
    <w:rsid w:val="0052649D"/>
    <w:rsid w:val="005269B3"/>
    <w:rsid w:val="00530DAE"/>
    <w:rsid w:val="00531E13"/>
    <w:rsid w:val="0053213D"/>
    <w:rsid w:val="0053221F"/>
    <w:rsid w:val="00532315"/>
    <w:rsid w:val="00533E2D"/>
    <w:rsid w:val="00535763"/>
    <w:rsid w:val="00536516"/>
    <w:rsid w:val="00536A8B"/>
    <w:rsid w:val="00540C28"/>
    <w:rsid w:val="00541CC0"/>
    <w:rsid w:val="00542171"/>
    <w:rsid w:val="005422C6"/>
    <w:rsid w:val="005428F5"/>
    <w:rsid w:val="005441A1"/>
    <w:rsid w:val="00544A65"/>
    <w:rsid w:val="00545315"/>
    <w:rsid w:val="00545D3D"/>
    <w:rsid w:val="00546631"/>
    <w:rsid w:val="005472B3"/>
    <w:rsid w:val="0054742F"/>
    <w:rsid w:val="0055315B"/>
    <w:rsid w:val="00553F57"/>
    <w:rsid w:val="0055463B"/>
    <w:rsid w:val="005555CD"/>
    <w:rsid w:val="0055574C"/>
    <w:rsid w:val="00555995"/>
    <w:rsid w:val="005559EA"/>
    <w:rsid w:val="00557B73"/>
    <w:rsid w:val="00561634"/>
    <w:rsid w:val="005619B9"/>
    <w:rsid w:val="00561A4F"/>
    <w:rsid w:val="0056237C"/>
    <w:rsid w:val="00562E5D"/>
    <w:rsid w:val="00563058"/>
    <w:rsid w:val="00563ADA"/>
    <w:rsid w:val="00563CAA"/>
    <w:rsid w:val="00564695"/>
    <w:rsid w:val="005657F8"/>
    <w:rsid w:val="00566126"/>
    <w:rsid w:val="005673E9"/>
    <w:rsid w:val="00567602"/>
    <w:rsid w:val="0056766F"/>
    <w:rsid w:val="005707B2"/>
    <w:rsid w:val="005709A3"/>
    <w:rsid w:val="00570C34"/>
    <w:rsid w:val="0057288B"/>
    <w:rsid w:val="00572B95"/>
    <w:rsid w:val="00574A01"/>
    <w:rsid w:val="0057545C"/>
    <w:rsid w:val="00575754"/>
    <w:rsid w:val="00575A63"/>
    <w:rsid w:val="005760B9"/>
    <w:rsid w:val="005772C7"/>
    <w:rsid w:val="0058005F"/>
    <w:rsid w:val="0058082F"/>
    <w:rsid w:val="00580D29"/>
    <w:rsid w:val="00581792"/>
    <w:rsid w:val="00581B28"/>
    <w:rsid w:val="00581BBA"/>
    <w:rsid w:val="00581E75"/>
    <w:rsid w:val="00583136"/>
    <w:rsid w:val="00583D78"/>
    <w:rsid w:val="0058423D"/>
    <w:rsid w:val="00586CDD"/>
    <w:rsid w:val="00586F20"/>
    <w:rsid w:val="00587DF6"/>
    <w:rsid w:val="0059163B"/>
    <w:rsid w:val="00591D1E"/>
    <w:rsid w:val="00592967"/>
    <w:rsid w:val="005938B0"/>
    <w:rsid w:val="00595D57"/>
    <w:rsid w:val="005963BA"/>
    <w:rsid w:val="005A09F6"/>
    <w:rsid w:val="005A0D3B"/>
    <w:rsid w:val="005A1336"/>
    <w:rsid w:val="005A14CA"/>
    <w:rsid w:val="005A1862"/>
    <w:rsid w:val="005A1A8B"/>
    <w:rsid w:val="005A267E"/>
    <w:rsid w:val="005A357A"/>
    <w:rsid w:val="005A3F79"/>
    <w:rsid w:val="005A4804"/>
    <w:rsid w:val="005A4CF1"/>
    <w:rsid w:val="005A6B15"/>
    <w:rsid w:val="005A7660"/>
    <w:rsid w:val="005A7CE3"/>
    <w:rsid w:val="005A7F86"/>
    <w:rsid w:val="005B029B"/>
    <w:rsid w:val="005B105A"/>
    <w:rsid w:val="005B2784"/>
    <w:rsid w:val="005B35B3"/>
    <w:rsid w:val="005B3EED"/>
    <w:rsid w:val="005B3FC8"/>
    <w:rsid w:val="005B475D"/>
    <w:rsid w:val="005B61FE"/>
    <w:rsid w:val="005B62D9"/>
    <w:rsid w:val="005B68C3"/>
    <w:rsid w:val="005C010B"/>
    <w:rsid w:val="005C0767"/>
    <w:rsid w:val="005C1640"/>
    <w:rsid w:val="005C3231"/>
    <w:rsid w:val="005C37DF"/>
    <w:rsid w:val="005C6BE3"/>
    <w:rsid w:val="005C72AE"/>
    <w:rsid w:val="005C7962"/>
    <w:rsid w:val="005D050E"/>
    <w:rsid w:val="005D0F52"/>
    <w:rsid w:val="005D2816"/>
    <w:rsid w:val="005D2A47"/>
    <w:rsid w:val="005D2E2D"/>
    <w:rsid w:val="005D35B0"/>
    <w:rsid w:val="005D3A23"/>
    <w:rsid w:val="005D40BE"/>
    <w:rsid w:val="005D4D98"/>
    <w:rsid w:val="005D607E"/>
    <w:rsid w:val="005D60AE"/>
    <w:rsid w:val="005D7387"/>
    <w:rsid w:val="005E08D9"/>
    <w:rsid w:val="005E1895"/>
    <w:rsid w:val="005E1FBB"/>
    <w:rsid w:val="005E2BCC"/>
    <w:rsid w:val="005E31C7"/>
    <w:rsid w:val="005E398D"/>
    <w:rsid w:val="005E526E"/>
    <w:rsid w:val="005E6B62"/>
    <w:rsid w:val="005E7589"/>
    <w:rsid w:val="005E786E"/>
    <w:rsid w:val="005E7EAE"/>
    <w:rsid w:val="005F109A"/>
    <w:rsid w:val="005F11B5"/>
    <w:rsid w:val="005F1313"/>
    <w:rsid w:val="005F19B7"/>
    <w:rsid w:val="005F259B"/>
    <w:rsid w:val="005F5898"/>
    <w:rsid w:val="005F6C9C"/>
    <w:rsid w:val="005F7C9F"/>
    <w:rsid w:val="00600005"/>
    <w:rsid w:val="00600354"/>
    <w:rsid w:val="006004C0"/>
    <w:rsid w:val="00600731"/>
    <w:rsid w:val="00603920"/>
    <w:rsid w:val="00603C97"/>
    <w:rsid w:val="0060754C"/>
    <w:rsid w:val="0061030A"/>
    <w:rsid w:val="006107DB"/>
    <w:rsid w:val="00611085"/>
    <w:rsid w:val="0061131E"/>
    <w:rsid w:val="00612777"/>
    <w:rsid w:val="00612DAA"/>
    <w:rsid w:val="006143C0"/>
    <w:rsid w:val="0061446B"/>
    <w:rsid w:val="00614DC2"/>
    <w:rsid w:val="006155C5"/>
    <w:rsid w:val="00615ECB"/>
    <w:rsid w:val="0061641E"/>
    <w:rsid w:val="00616A29"/>
    <w:rsid w:val="00616D7C"/>
    <w:rsid w:val="00617F70"/>
    <w:rsid w:val="00621498"/>
    <w:rsid w:val="006223E7"/>
    <w:rsid w:val="006228CB"/>
    <w:rsid w:val="0062395D"/>
    <w:rsid w:val="00623A7F"/>
    <w:rsid w:val="00624E3D"/>
    <w:rsid w:val="00625863"/>
    <w:rsid w:val="00625D13"/>
    <w:rsid w:val="00626B8A"/>
    <w:rsid w:val="00626EE6"/>
    <w:rsid w:val="00632C38"/>
    <w:rsid w:val="00633A3A"/>
    <w:rsid w:val="00634689"/>
    <w:rsid w:val="00634748"/>
    <w:rsid w:val="006359F2"/>
    <w:rsid w:val="0063651C"/>
    <w:rsid w:val="00636BE2"/>
    <w:rsid w:val="00636EBB"/>
    <w:rsid w:val="006370EA"/>
    <w:rsid w:val="00637BCE"/>
    <w:rsid w:val="00640E3D"/>
    <w:rsid w:val="006410F6"/>
    <w:rsid w:val="00641D68"/>
    <w:rsid w:val="0064292A"/>
    <w:rsid w:val="006433C9"/>
    <w:rsid w:val="00644447"/>
    <w:rsid w:val="00644C18"/>
    <w:rsid w:val="00645569"/>
    <w:rsid w:val="0065056D"/>
    <w:rsid w:val="00650F17"/>
    <w:rsid w:val="00651B10"/>
    <w:rsid w:val="00651C4F"/>
    <w:rsid w:val="0065372F"/>
    <w:rsid w:val="00654E3D"/>
    <w:rsid w:val="00655657"/>
    <w:rsid w:val="00655FE4"/>
    <w:rsid w:val="006606A1"/>
    <w:rsid w:val="0066089A"/>
    <w:rsid w:val="00661270"/>
    <w:rsid w:val="006625BE"/>
    <w:rsid w:val="00662DC8"/>
    <w:rsid w:val="00664759"/>
    <w:rsid w:val="00664B27"/>
    <w:rsid w:val="006662D5"/>
    <w:rsid w:val="00666F2A"/>
    <w:rsid w:val="006676F7"/>
    <w:rsid w:val="00667C92"/>
    <w:rsid w:val="00670356"/>
    <w:rsid w:val="00670B5F"/>
    <w:rsid w:val="0067102A"/>
    <w:rsid w:val="00671488"/>
    <w:rsid w:val="006719EF"/>
    <w:rsid w:val="00672964"/>
    <w:rsid w:val="00674A06"/>
    <w:rsid w:val="00675B02"/>
    <w:rsid w:val="0067683B"/>
    <w:rsid w:val="00676900"/>
    <w:rsid w:val="006775F6"/>
    <w:rsid w:val="0067788E"/>
    <w:rsid w:val="006805CE"/>
    <w:rsid w:val="00681EC9"/>
    <w:rsid w:val="00682AA2"/>
    <w:rsid w:val="00682F4D"/>
    <w:rsid w:val="00684284"/>
    <w:rsid w:val="00684402"/>
    <w:rsid w:val="0068521C"/>
    <w:rsid w:val="0068590F"/>
    <w:rsid w:val="006879A2"/>
    <w:rsid w:val="00691D12"/>
    <w:rsid w:val="00692256"/>
    <w:rsid w:val="00692548"/>
    <w:rsid w:val="00692A52"/>
    <w:rsid w:val="00692ADC"/>
    <w:rsid w:val="006936AF"/>
    <w:rsid w:val="006942E6"/>
    <w:rsid w:val="00694952"/>
    <w:rsid w:val="00694FE6"/>
    <w:rsid w:val="00695C45"/>
    <w:rsid w:val="00696449"/>
    <w:rsid w:val="0069657E"/>
    <w:rsid w:val="0069677C"/>
    <w:rsid w:val="006974AB"/>
    <w:rsid w:val="00697F71"/>
    <w:rsid w:val="006A1341"/>
    <w:rsid w:val="006A1BC9"/>
    <w:rsid w:val="006A20F3"/>
    <w:rsid w:val="006A2EA8"/>
    <w:rsid w:val="006A3827"/>
    <w:rsid w:val="006A51ED"/>
    <w:rsid w:val="006A5D77"/>
    <w:rsid w:val="006A61AA"/>
    <w:rsid w:val="006A6599"/>
    <w:rsid w:val="006A78B1"/>
    <w:rsid w:val="006A7B6A"/>
    <w:rsid w:val="006B0A81"/>
    <w:rsid w:val="006B0B74"/>
    <w:rsid w:val="006B2F3C"/>
    <w:rsid w:val="006B3461"/>
    <w:rsid w:val="006B79FE"/>
    <w:rsid w:val="006B7FA2"/>
    <w:rsid w:val="006C11FB"/>
    <w:rsid w:val="006C1377"/>
    <w:rsid w:val="006C15B9"/>
    <w:rsid w:val="006C23F0"/>
    <w:rsid w:val="006C2F8B"/>
    <w:rsid w:val="006C4200"/>
    <w:rsid w:val="006C5BCA"/>
    <w:rsid w:val="006C645B"/>
    <w:rsid w:val="006D1201"/>
    <w:rsid w:val="006D1855"/>
    <w:rsid w:val="006D2764"/>
    <w:rsid w:val="006D4493"/>
    <w:rsid w:val="006D4EE7"/>
    <w:rsid w:val="006D5233"/>
    <w:rsid w:val="006E0D01"/>
    <w:rsid w:val="006E16FC"/>
    <w:rsid w:val="006E2EA7"/>
    <w:rsid w:val="006E3F92"/>
    <w:rsid w:val="006E414E"/>
    <w:rsid w:val="006E4B3B"/>
    <w:rsid w:val="006E4EBC"/>
    <w:rsid w:val="006E6311"/>
    <w:rsid w:val="006E6457"/>
    <w:rsid w:val="006E7DE2"/>
    <w:rsid w:val="006F234E"/>
    <w:rsid w:val="006F29E6"/>
    <w:rsid w:val="006F2FC1"/>
    <w:rsid w:val="006F3022"/>
    <w:rsid w:val="006F3142"/>
    <w:rsid w:val="006F4482"/>
    <w:rsid w:val="006F481E"/>
    <w:rsid w:val="006F546C"/>
    <w:rsid w:val="006F57B3"/>
    <w:rsid w:val="006F6367"/>
    <w:rsid w:val="006F6D3C"/>
    <w:rsid w:val="00700F16"/>
    <w:rsid w:val="00701873"/>
    <w:rsid w:val="007028D6"/>
    <w:rsid w:val="00702B76"/>
    <w:rsid w:val="007032AA"/>
    <w:rsid w:val="00707257"/>
    <w:rsid w:val="00707900"/>
    <w:rsid w:val="0071082B"/>
    <w:rsid w:val="00711FA0"/>
    <w:rsid w:val="007122C5"/>
    <w:rsid w:val="00714361"/>
    <w:rsid w:val="00714677"/>
    <w:rsid w:val="00714826"/>
    <w:rsid w:val="007148B2"/>
    <w:rsid w:val="00714AE5"/>
    <w:rsid w:val="00714AFD"/>
    <w:rsid w:val="00715115"/>
    <w:rsid w:val="00715A0A"/>
    <w:rsid w:val="007206F7"/>
    <w:rsid w:val="00720D3F"/>
    <w:rsid w:val="00720E15"/>
    <w:rsid w:val="00721DA0"/>
    <w:rsid w:val="00722076"/>
    <w:rsid w:val="0072274F"/>
    <w:rsid w:val="00724C71"/>
    <w:rsid w:val="007256AA"/>
    <w:rsid w:val="0072588D"/>
    <w:rsid w:val="00725F7F"/>
    <w:rsid w:val="00727154"/>
    <w:rsid w:val="007279A6"/>
    <w:rsid w:val="0073040B"/>
    <w:rsid w:val="00730A5B"/>
    <w:rsid w:val="00731729"/>
    <w:rsid w:val="00731AD2"/>
    <w:rsid w:val="00732CA1"/>
    <w:rsid w:val="00733241"/>
    <w:rsid w:val="007333BE"/>
    <w:rsid w:val="0073387D"/>
    <w:rsid w:val="00733C9D"/>
    <w:rsid w:val="00735E58"/>
    <w:rsid w:val="00736C5B"/>
    <w:rsid w:val="007412F7"/>
    <w:rsid w:val="00742C36"/>
    <w:rsid w:val="00742F12"/>
    <w:rsid w:val="00745DF5"/>
    <w:rsid w:val="00745F6C"/>
    <w:rsid w:val="00746E3E"/>
    <w:rsid w:val="0074749B"/>
    <w:rsid w:val="00747FBC"/>
    <w:rsid w:val="0075153E"/>
    <w:rsid w:val="007520D4"/>
    <w:rsid w:val="0075382F"/>
    <w:rsid w:val="00756D3B"/>
    <w:rsid w:val="00756E08"/>
    <w:rsid w:val="00757321"/>
    <w:rsid w:val="00757C7A"/>
    <w:rsid w:val="00760D4D"/>
    <w:rsid w:val="00760D58"/>
    <w:rsid w:val="00760E32"/>
    <w:rsid w:val="00762945"/>
    <w:rsid w:val="00762963"/>
    <w:rsid w:val="007640B4"/>
    <w:rsid w:val="00764135"/>
    <w:rsid w:val="00766FE2"/>
    <w:rsid w:val="007671CD"/>
    <w:rsid w:val="00770180"/>
    <w:rsid w:val="00772A81"/>
    <w:rsid w:val="00773753"/>
    <w:rsid w:val="00775F80"/>
    <w:rsid w:val="00776566"/>
    <w:rsid w:val="007766F1"/>
    <w:rsid w:val="0077705E"/>
    <w:rsid w:val="007800DA"/>
    <w:rsid w:val="0078144C"/>
    <w:rsid w:val="00781C97"/>
    <w:rsid w:val="00782445"/>
    <w:rsid w:val="00783C93"/>
    <w:rsid w:val="00783F80"/>
    <w:rsid w:val="007853F5"/>
    <w:rsid w:val="007860CC"/>
    <w:rsid w:val="00790CBC"/>
    <w:rsid w:val="00790E49"/>
    <w:rsid w:val="0079105B"/>
    <w:rsid w:val="00792579"/>
    <w:rsid w:val="007937C4"/>
    <w:rsid w:val="00793982"/>
    <w:rsid w:val="00794317"/>
    <w:rsid w:val="00794D11"/>
    <w:rsid w:val="00796950"/>
    <w:rsid w:val="007977F4"/>
    <w:rsid w:val="007A12E1"/>
    <w:rsid w:val="007A168D"/>
    <w:rsid w:val="007A17A1"/>
    <w:rsid w:val="007A24E5"/>
    <w:rsid w:val="007A2856"/>
    <w:rsid w:val="007A3B82"/>
    <w:rsid w:val="007A4D83"/>
    <w:rsid w:val="007A5050"/>
    <w:rsid w:val="007A5CB0"/>
    <w:rsid w:val="007A5FB9"/>
    <w:rsid w:val="007A6EC7"/>
    <w:rsid w:val="007B2475"/>
    <w:rsid w:val="007B3B18"/>
    <w:rsid w:val="007B3E93"/>
    <w:rsid w:val="007B49C6"/>
    <w:rsid w:val="007B531F"/>
    <w:rsid w:val="007B65AB"/>
    <w:rsid w:val="007C01C4"/>
    <w:rsid w:val="007C02DA"/>
    <w:rsid w:val="007C0EA6"/>
    <w:rsid w:val="007C130C"/>
    <w:rsid w:val="007C1329"/>
    <w:rsid w:val="007C15D5"/>
    <w:rsid w:val="007C1EED"/>
    <w:rsid w:val="007C2329"/>
    <w:rsid w:val="007C3DEB"/>
    <w:rsid w:val="007C4798"/>
    <w:rsid w:val="007C57F1"/>
    <w:rsid w:val="007C721F"/>
    <w:rsid w:val="007D07AD"/>
    <w:rsid w:val="007D0842"/>
    <w:rsid w:val="007D1202"/>
    <w:rsid w:val="007D1607"/>
    <w:rsid w:val="007D1EB3"/>
    <w:rsid w:val="007D43A0"/>
    <w:rsid w:val="007D5D3F"/>
    <w:rsid w:val="007D735F"/>
    <w:rsid w:val="007E1D02"/>
    <w:rsid w:val="007E1FE1"/>
    <w:rsid w:val="007E30D4"/>
    <w:rsid w:val="007E4EDF"/>
    <w:rsid w:val="007E587E"/>
    <w:rsid w:val="007E6797"/>
    <w:rsid w:val="007E6AB9"/>
    <w:rsid w:val="007F08E3"/>
    <w:rsid w:val="007F164A"/>
    <w:rsid w:val="007F3866"/>
    <w:rsid w:val="007F4070"/>
    <w:rsid w:val="007F48D2"/>
    <w:rsid w:val="007F4B4C"/>
    <w:rsid w:val="007F665C"/>
    <w:rsid w:val="00802998"/>
    <w:rsid w:val="00802B73"/>
    <w:rsid w:val="008034E3"/>
    <w:rsid w:val="00803551"/>
    <w:rsid w:val="00805BA9"/>
    <w:rsid w:val="00807C13"/>
    <w:rsid w:val="00807C29"/>
    <w:rsid w:val="00810254"/>
    <w:rsid w:val="00810F0B"/>
    <w:rsid w:val="00812E5A"/>
    <w:rsid w:val="00813452"/>
    <w:rsid w:val="008156EC"/>
    <w:rsid w:val="0081626D"/>
    <w:rsid w:val="00816886"/>
    <w:rsid w:val="00816CBA"/>
    <w:rsid w:val="0081751D"/>
    <w:rsid w:val="00821135"/>
    <w:rsid w:val="0082181D"/>
    <w:rsid w:val="008219A4"/>
    <w:rsid w:val="00821E73"/>
    <w:rsid w:val="0082259F"/>
    <w:rsid w:val="008230A4"/>
    <w:rsid w:val="00823DCD"/>
    <w:rsid w:val="00825464"/>
    <w:rsid w:val="00825F24"/>
    <w:rsid w:val="00825F28"/>
    <w:rsid w:val="00826E4D"/>
    <w:rsid w:val="00826F1F"/>
    <w:rsid w:val="00827BC5"/>
    <w:rsid w:val="00830163"/>
    <w:rsid w:val="00830DB0"/>
    <w:rsid w:val="00831737"/>
    <w:rsid w:val="00831DDF"/>
    <w:rsid w:val="00831E9A"/>
    <w:rsid w:val="00831FDD"/>
    <w:rsid w:val="008329D0"/>
    <w:rsid w:val="00833292"/>
    <w:rsid w:val="0083356E"/>
    <w:rsid w:val="00833988"/>
    <w:rsid w:val="00835137"/>
    <w:rsid w:val="00835819"/>
    <w:rsid w:val="00835E7D"/>
    <w:rsid w:val="008369CF"/>
    <w:rsid w:val="008412E0"/>
    <w:rsid w:val="00841A80"/>
    <w:rsid w:val="00843580"/>
    <w:rsid w:val="00846FFA"/>
    <w:rsid w:val="008478A2"/>
    <w:rsid w:val="00847DC3"/>
    <w:rsid w:val="00847F42"/>
    <w:rsid w:val="00850619"/>
    <w:rsid w:val="00850CD2"/>
    <w:rsid w:val="00850F25"/>
    <w:rsid w:val="008516FD"/>
    <w:rsid w:val="00851EC9"/>
    <w:rsid w:val="00852062"/>
    <w:rsid w:val="0085310B"/>
    <w:rsid w:val="00853722"/>
    <w:rsid w:val="008543D8"/>
    <w:rsid w:val="00854FD2"/>
    <w:rsid w:val="00854FF8"/>
    <w:rsid w:val="00855275"/>
    <w:rsid w:val="008561E8"/>
    <w:rsid w:val="00857158"/>
    <w:rsid w:val="00857864"/>
    <w:rsid w:val="0086054B"/>
    <w:rsid w:val="00862212"/>
    <w:rsid w:val="00862AF8"/>
    <w:rsid w:val="00863083"/>
    <w:rsid w:val="00863C55"/>
    <w:rsid w:val="0086415E"/>
    <w:rsid w:val="00865034"/>
    <w:rsid w:val="00867170"/>
    <w:rsid w:val="008672A6"/>
    <w:rsid w:val="00867AD0"/>
    <w:rsid w:val="00867D64"/>
    <w:rsid w:val="008713A1"/>
    <w:rsid w:val="008743AE"/>
    <w:rsid w:val="00874B89"/>
    <w:rsid w:val="008754FD"/>
    <w:rsid w:val="008755BF"/>
    <w:rsid w:val="00875AB1"/>
    <w:rsid w:val="00876D1E"/>
    <w:rsid w:val="008775BA"/>
    <w:rsid w:val="008776A7"/>
    <w:rsid w:val="008800B8"/>
    <w:rsid w:val="00880B78"/>
    <w:rsid w:val="00880BD0"/>
    <w:rsid w:val="008810EC"/>
    <w:rsid w:val="00881A09"/>
    <w:rsid w:val="00881D3F"/>
    <w:rsid w:val="00881E64"/>
    <w:rsid w:val="00881E6C"/>
    <w:rsid w:val="008832DF"/>
    <w:rsid w:val="0088379C"/>
    <w:rsid w:val="00884BF2"/>
    <w:rsid w:val="00884D97"/>
    <w:rsid w:val="00885A20"/>
    <w:rsid w:val="00885A82"/>
    <w:rsid w:val="00886A44"/>
    <w:rsid w:val="008875BA"/>
    <w:rsid w:val="00891B75"/>
    <w:rsid w:val="00891DE6"/>
    <w:rsid w:val="0089385D"/>
    <w:rsid w:val="00893BB0"/>
    <w:rsid w:val="008944AB"/>
    <w:rsid w:val="008953F2"/>
    <w:rsid w:val="00895B65"/>
    <w:rsid w:val="0089610E"/>
    <w:rsid w:val="008961C2"/>
    <w:rsid w:val="008971CB"/>
    <w:rsid w:val="008973AA"/>
    <w:rsid w:val="008979D2"/>
    <w:rsid w:val="00897E54"/>
    <w:rsid w:val="00897F4D"/>
    <w:rsid w:val="008A1933"/>
    <w:rsid w:val="008A1960"/>
    <w:rsid w:val="008A466E"/>
    <w:rsid w:val="008A4B5F"/>
    <w:rsid w:val="008A4D09"/>
    <w:rsid w:val="008A5CD2"/>
    <w:rsid w:val="008A6668"/>
    <w:rsid w:val="008B07C0"/>
    <w:rsid w:val="008B2824"/>
    <w:rsid w:val="008B4907"/>
    <w:rsid w:val="008B56B5"/>
    <w:rsid w:val="008B5DB0"/>
    <w:rsid w:val="008B689A"/>
    <w:rsid w:val="008B6B99"/>
    <w:rsid w:val="008B7BEF"/>
    <w:rsid w:val="008C06DC"/>
    <w:rsid w:val="008C1802"/>
    <w:rsid w:val="008C4451"/>
    <w:rsid w:val="008D1A8E"/>
    <w:rsid w:val="008D1EB8"/>
    <w:rsid w:val="008D22CD"/>
    <w:rsid w:val="008D36A2"/>
    <w:rsid w:val="008D36B8"/>
    <w:rsid w:val="008D3C03"/>
    <w:rsid w:val="008D4354"/>
    <w:rsid w:val="008D515F"/>
    <w:rsid w:val="008D5921"/>
    <w:rsid w:val="008D5F2B"/>
    <w:rsid w:val="008D7461"/>
    <w:rsid w:val="008E020F"/>
    <w:rsid w:val="008E02E6"/>
    <w:rsid w:val="008E1BE3"/>
    <w:rsid w:val="008E2798"/>
    <w:rsid w:val="008E3270"/>
    <w:rsid w:val="008E554D"/>
    <w:rsid w:val="008E6743"/>
    <w:rsid w:val="008E712D"/>
    <w:rsid w:val="008F043B"/>
    <w:rsid w:val="008F1AF8"/>
    <w:rsid w:val="008F1E9B"/>
    <w:rsid w:val="008F1F2B"/>
    <w:rsid w:val="008F2F34"/>
    <w:rsid w:val="008F473C"/>
    <w:rsid w:val="008F5184"/>
    <w:rsid w:val="008F554F"/>
    <w:rsid w:val="008F5A0F"/>
    <w:rsid w:val="008F6CE3"/>
    <w:rsid w:val="008F78BD"/>
    <w:rsid w:val="0090286D"/>
    <w:rsid w:val="00903522"/>
    <w:rsid w:val="009050E7"/>
    <w:rsid w:val="009052EF"/>
    <w:rsid w:val="009055CF"/>
    <w:rsid w:val="00905F1A"/>
    <w:rsid w:val="009072D2"/>
    <w:rsid w:val="009125FC"/>
    <w:rsid w:val="009131FB"/>
    <w:rsid w:val="00914E92"/>
    <w:rsid w:val="00915FEF"/>
    <w:rsid w:val="0091609A"/>
    <w:rsid w:val="00916168"/>
    <w:rsid w:val="0091663A"/>
    <w:rsid w:val="00916F22"/>
    <w:rsid w:val="0091732C"/>
    <w:rsid w:val="00920B3C"/>
    <w:rsid w:val="0092186C"/>
    <w:rsid w:val="00922503"/>
    <w:rsid w:val="00923EAC"/>
    <w:rsid w:val="00924390"/>
    <w:rsid w:val="0092474F"/>
    <w:rsid w:val="00925873"/>
    <w:rsid w:val="00926391"/>
    <w:rsid w:val="0092704E"/>
    <w:rsid w:val="00927E42"/>
    <w:rsid w:val="0093103B"/>
    <w:rsid w:val="00933875"/>
    <w:rsid w:val="00934B92"/>
    <w:rsid w:val="0093589F"/>
    <w:rsid w:val="00936394"/>
    <w:rsid w:val="00936850"/>
    <w:rsid w:val="009370A3"/>
    <w:rsid w:val="0093759E"/>
    <w:rsid w:val="00937C74"/>
    <w:rsid w:val="00937F85"/>
    <w:rsid w:val="009404E2"/>
    <w:rsid w:val="00940675"/>
    <w:rsid w:val="00941063"/>
    <w:rsid w:val="009421AD"/>
    <w:rsid w:val="00943691"/>
    <w:rsid w:val="00944ADF"/>
    <w:rsid w:val="00947D91"/>
    <w:rsid w:val="009516AD"/>
    <w:rsid w:val="00952E3E"/>
    <w:rsid w:val="009530B4"/>
    <w:rsid w:val="00960F75"/>
    <w:rsid w:val="009633EA"/>
    <w:rsid w:val="00963FCA"/>
    <w:rsid w:val="009642A1"/>
    <w:rsid w:val="00965142"/>
    <w:rsid w:val="009653BA"/>
    <w:rsid w:val="00965488"/>
    <w:rsid w:val="00970A1B"/>
    <w:rsid w:val="00970BF5"/>
    <w:rsid w:val="00971030"/>
    <w:rsid w:val="009719E3"/>
    <w:rsid w:val="009726BB"/>
    <w:rsid w:val="009744D0"/>
    <w:rsid w:val="00974D9B"/>
    <w:rsid w:val="00974ECA"/>
    <w:rsid w:val="009774A4"/>
    <w:rsid w:val="00977528"/>
    <w:rsid w:val="009776F3"/>
    <w:rsid w:val="00980137"/>
    <w:rsid w:val="0098042D"/>
    <w:rsid w:val="00981A68"/>
    <w:rsid w:val="00981ACE"/>
    <w:rsid w:val="00982FE7"/>
    <w:rsid w:val="009840B4"/>
    <w:rsid w:val="009841C1"/>
    <w:rsid w:val="00984231"/>
    <w:rsid w:val="00984CA0"/>
    <w:rsid w:val="00985A4C"/>
    <w:rsid w:val="009924CC"/>
    <w:rsid w:val="00993CAC"/>
    <w:rsid w:val="00994E2A"/>
    <w:rsid w:val="00994F81"/>
    <w:rsid w:val="009955E0"/>
    <w:rsid w:val="00996957"/>
    <w:rsid w:val="0099695D"/>
    <w:rsid w:val="00997B34"/>
    <w:rsid w:val="00997C56"/>
    <w:rsid w:val="009A0661"/>
    <w:rsid w:val="009A0EBB"/>
    <w:rsid w:val="009A1F32"/>
    <w:rsid w:val="009A4E17"/>
    <w:rsid w:val="009A619E"/>
    <w:rsid w:val="009A65DD"/>
    <w:rsid w:val="009A7BC0"/>
    <w:rsid w:val="009B0CFB"/>
    <w:rsid w:val="009B24F2"/>
    <w:rsid w:val="009B2C13"/>
    <w:rsid w:val="009B2DEC"/>
    <w:rsid w:val="009B39DD"/>
    <w:rsid w:val="009B46C1"/>
    <w:rsid w:val="009B5463"/>
    <w:rsid w:val="009B6D3F"/>
    <w:rsid w:val="009B7053"/>
    <w:rsid w:val="009B70F4"/>
    <w:rsid w:val="009C15F4"/>
    <w:rsid w:val="009C3575"/>
    <w:rsid w:val="009C6325"/>
    <w:rsid w:val="009D03C2"/>
    <w:rsid w:val="009D0515"/>
    <w:rsid w:val="009D1105"/>
    <w:rsid w:val="009D1922"/>
    <w:rsid w:val="009D2254"/>
    <w:rsid w:val="009D30E9"/>
    <w:rsid w:val="009D4C8E"/>
    <w:rsid w:val="009D56DE"/>
    <w:rsid w:val="009D5964"/>
    <w:rsid w:val="009D7CFD"/>
    <w:rsid w:val="009E0441"/>
    <w:rsid w:val="009E1130"/>
    <w:rsid w:val="009E1653"/>
    <w:rsid w:val="009E19E7"/>
    <w:rsid w:val="009E1F7D"/>
    <w:rsid w:val="009E1FF9"/>
    <w:rsid w:val="009E2303"/>
    <w:rsid w:val="009E32A8"/>
    <w:rsid w:val="009E3A5D"/>
    <w:rsid w:val="009E49DF"/>
    <w:rsid w:val="009E5899"/>
    <w:rsid w:val="009F2645"/>
    <w:rsid w:val="009F29A2"/>
    <w:rsid w:val="009F6038"/>
    <w:rsid w:val="009F632A"/>
    <w:rsid w:val="00A00310"/>
    <w:rsid w:val="00A01E3B"/>
    <w:rsid w:val="00A041F6"/>
    <w:rsid w:val="00A0421C"/>
    <w:rsid w:val="00A0484D"/>
    <w:rsid w:val="00A05052"/>
    <w:rsid w:val="00A0543A"/>
    <w:rsid w:val="00A06B3A"/>
    <w:rsid w:val="00A11EC6"/>
    <w:rsid w:val="00A144F8"/>
    <w:rsid w:val="00A15A8C"/>
    <w:rsid w:val="00A15D47"/>
    <w:rsid w:val="00A177CF"/>
    <w:rsid w:val="00A17945"/>
    <w:rsid w:val="00A22900"/>
    <w:rsid w:val="00A22FF1"/>
    <w:rsid w:val="00A23867"/>
    <w:rsid w:val="00A24AEB"/>
    <w:rsid w:val="00A24E28"/>
    <w:rsid w:val="00A24EE1"/>
    <w:rsid w:val="00A2518C"/>
    <w:rsid w:val="00A257DC"/>
    <w:rsid w:val="00A262EC"/>
    <w:rsid w:val="00A268CD"/>
    <w:rsid w:val="00A30BD3"/>
    <w:rsid w:val="00A313F4"/>
    <w:rsid w:val="00A31A80"/>
    <w:rsid w:val="00A32BAA"/>
    <w:rsid w:val="00A348D9"/>
    <w:rsid w:val="00A35B39"/>
    <w:rsid w:val="00A3642A"/>
    <w:rsid w:val="00A36E04"/>
    <w:rsid w:val="00A3708D"/>
    <w:rsid w:val="00A43A9B"/>
    <w:rsid w:val="00A43B36"/>
    <w:rsid w:val="00A43DA4"/>
    <w:rsid w:val="00A44356"/>
    <w:rsid w:val="00A45C0E"/>
    <w:rsid w:val="00A47511"/>
    <w:rsid w:val="00A4771F"/>
    <w:rsid w:val="00A52594"/>
    <w:rsid w:val="00A526BC"/>
    <w:rsid w:val="00A53168"/>
    <w:rsid w:val="00A53B9F"/>
    <w:rsid w:val="00A53CD5"/>
    <w:rsid w:val="00A53F1E"/>
    <w:rsid w:val="00A54DF8"/>
    <w:rsid w:val="00A55566"/>
    <w:rsid w:val="00A5651B"/>
    <w:rsid w:val="00A56557"/>
    <w:rsid w:val="00A56783"/>
    <w:rsid w:val="00A572FC"/>
    <w:rsid w:val="00A613C0"/>
    <w:rsid w:val="00A614E8"/>
    <w:rsid w:val="00A65844"/>
    <w:rsid w:val="00A6592F"/>
    <w:rsid w:val="00A65E6E"/>
    <w:rsid w:val="00A7112A"/>
    <w:rsid w:val="00A72304"/>
    <w:rsid w:val="00A72A8A"/>
    <w:rsid w:val="00A73033"/>
    <w:rsid w:val="00A73778"/>
    <w:rsid w:val="00A73A21"/>
    <w:rsid w:val="00A7751A"/>
    <w:rsid w:val="00A8047E"/>
    <w:rsid w:val="00A824D6"/>
    <w:rsid w:val="00A82D62"/>
    <w:rsid w:val="00A83B5C"/>
    <w:rsid w:val="00A84574"/>
    <w:rsid w:val="00A84D07"/>
    <w:rsid w:val="00A85432"/>
    <w:rsid w:val="00A85908"/>
    <w:rsid w:val="00A85B3D"/>
    <w:rsid w:val="00A86186"/>
    <w:rsid w:val="00A87A99"/>
    <w:rsid w:val="00A87D90"/>
    <w:rsid w:val="00A90249"/>
    <w:rsid w:val="00A91662"/>
    <w:rsid w:val="00A93007"/>
    <w:rsid w:val="00A93270"/>
    <w:rsid w:val="00A9488F"/>
    <w:rsid w:val="00A95B9B"/>
    <w:rsid w:val="00A96FCC"/>
    <w:rsid w:val="00AA25E0"/>
    <w:rsid w:val="00AA310C"/>
    <w:rsid w:val="00AA326C"/>
    <w:rsid w:val="00AA4D51"/>
    <w:rsid w:val="00AA586D"/>
    <w:rsid w:val="00AA757F"/>
    <w:rsid w:val="00AB086F"/>
    <w:rsid w:val="00AB09F7"/>
    <w:rsid w:val="00AB13BB"/>
    <w:rsid w:val="00AB15F5"/>
    <w:rsid w:val="00AB271F"/>
    <w:rsid w:val="00AB4C7F"/>
    <w:rsid w:val="00AB4E8C"/>
    <w:rsid w:val="00AB5522"/>
    <w:rsid w:val="00AB732D"/>
    <w:rsid w:val="00AB7F5B"/>
    <w:rsid w:val="00AC06BA"/>
    <w:rsid w:val="00AC0CFA"/>
    <w:rsid w:val="00AC0E2E"/>
    <w:rsid w:val="00AC1B61"/>
    <w:rsid w:val="00AC2A00"/>
    <w:rsid w:val="00AC44F5"/>
    <w:rsid w:val="00AC498B"/>
    <w:rsid w:val="00AC6B16"/>
    <w:rsid w:val="00AC6F3B"/>
    <w:rsid w:val="00AC7DF6"/>
    <w:rsid w:val="00AD078C"/>
    <w:rsid w:val="00AD125C"/>
    <w:rsid w:val="00AD1706"/>
    <w:rsid w:val="00AD1AB1"/>
    <w:rsid w:val="00AD2549"/>
    <w:rsid w:val="00AD2727"/>
    <w:rsid w:val="00AD2914"/>
    <w:rsid w:val="00AD4894"/>
    <w:rsid w:val="00AD5F47"/>
    <w:rsid w:val="00AD67A1"/>
    <w:rsid w:val="00AE011B"/>
    <w:rsid w:val="00AE1D5F"/>
    <w:rsid w:val="00AE218C"/>
    <w:rsid w:val="00AE27F2"/>
    <w:rsid w:val="00AE74C0"/>
    <w:rsid w:val="00AE7BE6"/>
    <w:rsid w:val="00AF21A9"/>
    <w:rsid w:val="00AF37B8"/>
    <w:rsid w:val="00AF44B9"/>
    <w:rsid w:val="00AF715D"/>
    <w:rsid w:val="00B02C7B"/>
    <w:rsid w:val="00B02D62"/>
    <w:rsid w:val="00B02ECA"/>
    <w:rsid w:val="00B043FE"/>
    <w:rsid w:val="00B05FCA"/>
    <w:rsid w:val="00B067DE"/>
    <w:rsid w:val="00B06CB9"/>
    <w:rsid w:val="00B07162"/>
    <w:rsid w:val="00B0722C"/>
    <w:rsid w:val="00B1043A"/>
    <w:rsid w:val="00B12197"/>
    <w:rsid w:val="00B14634"/>
    <w:rsid w:val="00B16415"/>
    <w:rsid w:val="00B16A58"/>
    <w:rsid w:val="00B1719E"/>
    <w:rsid w:val="00B17E83"/>
    <w:rsid w:val="00B20625"/>
    <w:rsid w:val="00B24499"/>
    <w:rsid w:val="00B25783"/>
    <w:rsid w:val="00B26995"/>
    <w:rsid w:val="00B27CE5"/>
    <w:rsid w:val="00B30436"/>
    <w:rsid w:val="00B306C2"/>
    <w:rsid w:val="00B31451"/>
    <w:rsid w:val="00B317FC"/>
    <w:rsid w:val="00B3291D"/>
    <w:rsid w:val="00B33049"/>
    <w:rsid w:val="00B34079"/>
    <w:rsid w:val="00B360DD"/>
    <w:rsid w:val="00B367B4"/>
    <w:rsid w:val="00B37290"/>
    <w:rsid w:val="00B3784B"/>
    <w:rsid w:val="00B40437"/>
    <w:rsid w:val="00B41CFD"/>
    <w:rsid w:val="00B42506"/>
    <w:rsid w:val="00B42671"/>
    <w:rsid w:val="00B42CE2"/>
    <w:rsid w:val="00B447A0"/>
    <w:rsid w:val="00B454D6"/>
    <w:rsid w:val="00B46ADC"/>
    <w:rsid w:val="00B4797D"/>
    <w:rsid w:val="00B47CDB"/>
    <w:rsid w:val="00B503A5"/>
    <w:rsid w:val="00B50D2F"/>
    <w:rsid w:val="00B511E7"/>
    <w:rsid w:val="00B516C8"/>
    <w:rsid w:val="00B516E6"/>
    <w:rsid w:val="00B56C67"/>
    <w:rsid w:val="00B56CC8"/>
    <w:rsid w:val="00B575E4"/>
    <w:rsid w:val="00B623DC"/>
    <w:rsid w:val="00B62F06"/>
    <w:rsid w:val="00B630DE"/>
    <w:rsid w:val="00B641FC"/>
    <w:rsid w:val="00B64544"/>
    <w:rsid w:val="00B668D2"/>
    <w:rsid w:val="00B67539"/>
    <w:rsid w:val="00B7067B"/>
    <w:rsid w:val="00B71B9B"/>
    <w:rsid w:val="00B71FC9"/>
    <w:rsid w:val="00B7266A"/>
    <w:rsid w:val="00B73209"/>
    <w:rsid w:val="00B736BF"/>
    <w:rsid w:val="00B73CB8"/>
    <w:rsid w:val="00B75332"/>
    <w:rsid w:val="00B76113"/>
    <w:rsid w:val="00B76A83"/>
    <w:rsid w:val="00B76CCF"/>
    <w:rsid w:val="00B7753D"/>
    <w:rsid w:val="00B776C6"/>
    <w:rsid w:val="00B8038C"/>
    <w:rsid w:val="00B81906"/>
    <w:rsid w:val="00B81A3F"/>
    <w:rsid w:val="00B826C5"/>
    <w:rsid w:val="00B83F87"/>
    <w:rsid w:val="00B8496B"/>
    <w:rsid w:val="00B9046C"/>
    <w:rsid w:val="00B9257B"/>
    <w:rsid w:val="00B92FBB"/>
    <w:rsid w:val="00B93299"/>
    <w:rsid w:val="00B93E7D"/>
    <w:rsid w:val="00B949A8"/>
    <w:rsid w:val="00B94B70"/>
    <w:rsid w:val="00BA041B"/>
    <w:rsid w:val="00BA0662"/>
    <w:rsid w:val="00BA14FF"/>
    <w:rsid w:val="00BA1A03"/>
    <w:rsid w:val="00BA1DCA"/>
    <w:rsid w:val="00BA1FBF"/>
    <w:rsid w:val="00BA2BDA"/>
    <w:rsid w:val="00BA2DFF"/>
    <w:rsid w:val="00BA33D7"/>
    <w:rsid w:val="00BA3431"/>
    <w:rsid w:val="00BA4055"/>
    <w:rsid w:val="00BA41D3"/>
    <w:rsid w:val="00BA4FE3"/>
    <w:rsid w:val="00BA5B29"/>
    <w:rsid w:val="00BA6F0D"/>
    <w:rsid w:val="00BA6FDD"/>
    <w:rsid w:val="00BA7424"/>
    <w:rsid w:val="00BB0CC5"/>
    <w:rsid w:val="00BB0E40"/>
    <w:rsid w:val="00BB1939"/>
    <w:rsid w:val="00BB1C9E"/>
    <w:rsid w:val="00BB2838"/>
    <w:rsid w:val="00BB2FE2"/>
    <w:rsid w:val="00BB31F5"/>
    <w:rsid w:val="00BB40F0"/>
    <w:rsid w:val="00BB42D5"/>
    <w:rsid w:val="00BB43CA"/>
    <w:rsid w:val="00BB46EC"/>
    <w:rsid w:val="00BB4AC7"/>
    <w:rsid w:val="00BB4D7B"/>
    <w:rsid w:val="00BB50FC"/>
    <w:rsid w:val="00BB771D"/>
    <w:rsid w:val="00BB7CAD"/>
    <w:rsid w:val="00BC00E4"/>
    <w:rsid w:val="00BC059F"/>
    <w:rsid w:val="00BC0B56"/>
    <w:rsid w:val="00BC2C4B"/>
    <w:rsid w:val="00BC3165"/>
    <w:rsid w:val="00BC3B0B"/>
    <w:rsid w:val="00BC551F"/>
    <w:rsid w:val="00BC5B16"/>
    <w:rsid w:val="00BC6134"/>
    <w:rsid w:val="00BC69A2"/>
    <w:rsid w:val="00BC7B11"/>
    <w:rsid w:val="00BD03FD"/>
    <w:rsid w:val="00BD0979"/>
    <w:rsid w:val="00BD1A88"/>
    <w:rsid w:val="00BD1C39"/>
    <w:rsid w:val="00BD28F6"/>
    <w:rsid w:val="00BD2AC4"/>
    <w:rsid w:val="00BD3080"/>
    <w:rsid w:val="00BD3850"/>
    <w:rsid w:val="00BD4B37"/>
    <w:rsid w:val="00BE01A1"/>
    <w:rsid w:val="00BE0A04"/>
    <w:rsid w:val="00BE0CE0"/>
    <w:rsid w:val="00BE2CB0"/>
    <w:rsid w:val="00BE3D45"/>
    <w:rsid w:val="00BE3EFA"/>
    <w:rsid w:val="00BE40C4"/>
    <w:rsid w:val="00BE4D1C"/>
    <w:rsid w:val="00BE5C9A"/>
    <w:rsid w:val="00BE78DD"/>
    <w:rsid w:val="00BF0309"/>
    <w:rsid w:val="00BF2060"/>
    <w:rsid w:val="00BF3AE4"/>
    <w:rsid w:val="00BF4134"/>
    <w:rsid w:val="00BF537B"/>
    <w:rsid w:val="00C01194"/>
    <w:rsid w:val="00C0152E"/>
    <w:rsid w:val="00C01D80"/>
    <w:rsid w:val="00C033D6"/>
    <w:rsid w:val="00C03989"/>
    <w:rsid w:val="00C03EBD"/>
    <w:rsid w:val="00C04115"/>
    <w:rsid w:val="00C07C0B"/>
    <w:rsid w:val="00C10C52"/>
    <w:rsid w:val="00C1123E"/>
    <w:rsid w:val="00C11660"/>
    <w:rsid w:val="00C139F8"/>
    <w:rsid w:val="00C148A8"/>
    <w:rsid w:val="00C14FF2"/>
    <w:rsid w:val="00C155B6"/>
    <w:rsid w:val="00C209FB"/>
    <w:rsid w:val="00C20B1C"/>
    <w:rsid w:val="00C218BA"/>
    <w:rsid w:val="00C22209"/>
    <w:rsid w:val="00C2255B"/>
    <w:rsid w:val="00C2291D"/>
    <w:rsid w:val="00C2390A"/>
    <w:rsid w:val="00C23AE4"/>
    <w:rsid w:val="00C23F0B"/>
    <w:rsid w:val="00C24079"/>
    <w:rsid w:val="00C2410F"/>
    <w:rsid w:val="00C24232"/>
    <w:rsid w:val="00C248BB"/>
    <w:rsid w:val="00C25768"/>
    <w:rsid w:val="00C27963"/>
    <w:rsid w:val="00C30EC4"/>
    <w:rsid w:val="00C31BBC"/>
    <w:rsid w:val="00C32A09"/>
    <w:rsid w:val="00C32DBC"/>
    <w:rsid w:val="00C34783"/>
    <w:rsid w:val="00C35572"/>
    <w:rsid w:val="00C364C6"/>
    <w:rsid w:val="00C3795F"/>
    <w:rsid w:val="00C40DE2"/>
    <w:rsid w:val="00C4148B"/>
    <w:rsid w:val="00C41849"/>
    <w:rsid w:val="00C420A6"/>
    <w:rsid w:val="00C43D1B"/>
    <w:rsid w:val="00C43EA3"/>
    <w:rsid w:val="00C4421E"/>
    <w:rsid w:val="00C44B2D"/>
    <w:rsid w:val="00C44D8F"/>
    <w:rsid w:val="00C46ABC"/>
    <w:rsid w:val="00C47D4C"/>
    <w:rsid w:val="00C47E9F"/>
    <w:rsid w:val="00C50F12"/>
    <w:rsid w:val="00C512A0"/>
    <w:rsid w:val="00C53296"/>
    <w:rsid w:val="00C535F0"/>
    <w:rsid w:val="00C53B6E"/>
    <w:rsid w:val="00C54330"/>
    <w:rsid w:val="00C548EE"/>
    <w:rsid w:val="00C54C46"/>
    <w:rsid w:val="00C5752B"/>
    <w:rsid w:val="00C5783E"/>
    <w:rsid w:val="00C57E64"/>
    <w:rsid w:val="00C61009"/>
    <w:rsid w:val="00C635C4"/>
    <w:rsid w:val="00C6398D"/>
    <w:rsid w:val="00C639F4"/>
    <w:rsid w:val="00C645E5"/>
    <w:rsid w:val="00C65001"/>
    <w:rsid w:val="00C67A92"/>
    <w:rsid w:val="00C72497"/>
    <w:rsid w:val="00C74981"/>
    <w:rsid w:val="00C75872"/>
    <w:rsid w:val="00C75928"/>
    <w:rsid w:val="00C76179"/>
    <w:rsid w:val="00C77987"/>
    <w:rsid w:val="00C8032F"/>
    <w:rsid w:val="00C81E77"/>
    <w:rsid w:val="00C83BF7"/>
    <w:rsid w:val="00C84A81"/>
    <w:rsid w:val="00C86BC4"/>
    <w:rsid w:val="00C8742B"/>
    <w:rsid w:val="00C90C66"/>
    <w:rsid w:val="00C926F2"/>
    <w:rsid w:val="00C92B26"/>
    <w:rsid w:val="00C92E97"/>
    <w:rsid w:val="00C93815"/>
    <w:rsid w:val="00C938D2"/>
    <w:rsid w:val="00C94667"/>
    <w:rsid w:val="00C946D1"/>
    <w:rsid w:val="00C94FC6"/>
    <w:rsid w:val="00C9505A"/>
    <w:rsid w:val="00C95D73"/>
    <w:rsid w:val="00C960C6"/>
    <w:rsid w:val="00C9713C"/>
    <w:rsid w:val="00C979D8"/>
    <w:rsid w:val="00CA0D47"/>
    <w:rsid w:val="00CA17D1"/>
    <w:rsid w:val="00CA20AA"/>
    <w:rsid w:val="00CA2ACE"/>
    <w:rsid w:val="00CA41F5"/>
    <w:rsid w:val="00CA4316"/>
    <w:rsid w:val="00CA5191"/>
    <w:rsid w:val="00CA6B91"/>
    <w:rsid w:val="00CA73DD"/>
    <w:rsid w:val="00CB07E5"/>
    <w:rsid w:val="00CB11BA"/>
    <w:rsid w:val="00CB1AB7"/>
    <w:rsid w:val="00CB37C7"/>
    <w:rsid w:val="00CB6D59"/>
    <w:rsid w:val="00CC03C0"/>
    <w:rsid w:val="00CC0824"/>
    <w:rsid w:val="00CC0C99"/>
    <w:rsid w:val="00CC1C33"/>
    <w:rsid w:val="00CC2780"/>
    <w:rsid w:val="00CC317F"/>
    <w:rsid w:val="00CC34EB"/>
    <w:rsid w:val="00CC4441"/>
    <w:rsid w:val="00CC48E8"/>
    <w:rsid w:val="00CC5A64"/>
    <w:rsid w:val="00CC5B56"/>
    <w:rsid w:val="00CD0592"/>
    <w:rsid w:val="00CD24C4"/>
    <w:rsid w:val="00CD4AF0"/>
    <w:rsid w:val="00CD526F"/>
    <w:rsid w:val="00CD56D3"/>
    <w:rsid w:val="00CD61DB"/>
    <w:rsid w:val="00CE0936"/>
    <w:rsid w:val="00CE0E54"/>
    <w:rsid w:val="00CE1409"/>
    <w:rsid w:val="00CE151A"/>
    <w:rsid w:val="00CE1A7B"/>
    <w:rsid w:val="00CE26DC"/>
    <w:rsid w:val="00CE35E0"/>
    <w:rsid w:val="00CE3A8E"/>
    <w:rsid w:val="00CE5260"/>
    <w:rsid w:val="00CE59D6"/>
    <w:rsid w:val="00CE728C"/>
    <w:rsid w:val="00CE737B"/>
    <w:rsid w:val="00CF024F"/>
    <w:rsid w:val="00CF0DB1"/>
    <w:rsid w:val="00CF11A5"/>
    <w:rsid w:val="00CF2E21"/>
    <w:rsid w:val="00CF3BB9"/>
    <w:rsid w:val="00CF3CE5"/>
    <w:rsid w:val="00CF6491"/>
    <w:rsid w:val="00CF656D"/>
    <w:rsid w:val="00CF6C39"/>
    <w:rsid w:val="00CF7394"/>
    <w:rsid w:val="00CF7A0D"/>
    <w:rsid w:val="00D0048D"/>
    <w:rsid w:val="00D00E12"/>
    <w:rsid w:val="00D00EC1"/>
    <w:rsid w:val="00D01946"/>
    <w:rsid w:val="00D0201B"/>
    <w:rsid w:val="00D02E1D"/>
    <w:rsid w:val="00D04B8D"/>
    <w:rsid w:val="00D05E7A"/>
    <w:rsid w:val="00D07121"/>
    <w:rsid w:val="00D07A00"/>
    <w:rsid w:val="00D07A76"/>
    <w:rsid w:val="00D10543"/>
    <w:rsid w:val="00D10DC2"/>
    <w:rsid w:val="00D11749"/>
    <w:rsid w:val="00D13F05"/>
    <w:rsid w:val="00D14903"/>
    <w:rsid w:val="00D1544D"/>
    <w:rsid w:val="00D2026B"/>
    <w:rsid w:val="00D2611A"/>
    <w:rsid w:val="00D26711"/>
    <w:rsid w:val="00D27302"/>
    <w:rsid w:val="00D27FE4"/>
    <w:rsid w:val="00D300DF"/>
    <w:rsid w:val="00D301B9"/>
    <w:rsid w:val="00D313F9"/>
    <w:rsid w:val="00D3166F"/>
    <w:rsid w:val="00D328E0"/>
    <w:rsid w:val="00D32C7A"/>
    <w:rsid w:val="00D33089"/>
    <w:rsid w:val="00D335AD"/>
    <w:rsid w:val="00D33F24"/>
    <w:rsid w:val="00D3463D"/>
    <w:rsid w:val="00D34F45"/>
    <w:rsid w:val="00D36285"/>
    <w:rsid w:val="00D36F95"/>
    <w:rsid w:val="00D379F1"/>
    <w:rsid w:val="00D41292"/>
    <w:rsid w:val="00D41ADC"/>
    <w:rsid w:val="00D42526"/>
    <w:rsid w:val="00D429E8"/>
    <w:rsid w:val="00D42C5F"/>
    <w:rsid w:val="00D433DB"/>
    <w:rsid w:val="00D44113"/>
    <w:rsid w:val="00D44900"/>
    <w:rsid w:val="00D472E6"/>
    <w:rsid w:val="00D4796C"/>
    <w:rsid w:val="00D47FB2"/>
    <w:rsid w:val="00D5018D"/>
    <w:rsid w:val="00D5093D"/>
    <w:rsid w:val="00D51462"/>
    <w:rsid w:val="00D526EE"/>
    <w:rsid w:val="00D52C01"/>
    <w:rsid w:val="00D55691"/>
    <w:rsid w:val="00D55802"/>
    <w:rsid w:val="00D55C77"/>
    <w:rsid w:val="00D56F60"/>
    <w:rsid w:val="00D57B69"/>
    <w:rsid w:val="00D57D09"/>
    <w:rsid w:val="00D61149"/>
    <w:rsid w:val="00D62F82"/>
    <w:rsid w:val="00D63FF5"/>
    <w:rsid w:val="00D665EC"/>
    <w:rsid w:val="00D66DB6"/>
    <w:rsid w:val="00D66DF9"/>
    <w:rsid w:val="00D6745D"/>
    <w:rsid w:val="00D702B7"/>
    <w:rsid w:val="00D70BF3"/>
    <w:rsid w:val="00D726E4"/>
    <w:rsid w:val="00D75877"/>
    <w:rsid w:val="00D76C26"/>
    <w:rsid w:val="00D77B45"/>
    <w:rsid w:val="00D80A2F"/>
    <w:rsid w:val="00D80A58"/>
    <w:rsid w:val="00D81CAD"/>
    <w:rsid w:val="00D830B8"/>
    <w:rsid w:val="00D848B8"/>
    <w:rsid w:val="00D85E66"/>
    <w:rsid w:val="00D8695F"/>
    <w:rsid w:val="00D9075D"/>
    <w:rsid w:val="00D91E9A"/>
    <w:rsid w:val="00D91EC0"/>
    <w:rsid w:val="00D923B3"/>
    <w:rsid w:val="00D924B5"/>
    <w:rsid w:val="00D932C8"/>
    <w:rsid w:val="00D94855"/>
    <w:rsid w:val="00D94C34"/>
    <w:rsid w:val="00D958BC"/>
    <w:rsid w:val="00D9611C"/>
    <w:rsid w:val="00DA0974"/>
    <w:rsid w:val="00DA3851"/>
    <w:rsid w:val="00DA3867"/>
    <w:rsid w:val="00DA4BDB"/>
    <w:rsid w:val="00DA4F08"/>
    <w:rsid w:val="00DA6721"/>
    <w:rsid w:val="00DA6DB6"/>
    <w:rsid w:val="00DA6DFB"/>
    <w:rsid w:val="00DA79FB"/>
    <w:rsid w:val="00DB1319"/>
    <w:rsid w:val="00DB2931"/>
    <w:rsid w:val="00DB4029"/>
    <w:rsid w:val="00DB6D49"/>
    <w:rsid w:val="00DB6EA7"/>
    <w:rsid w:val="00DB6F3A"/>
    <w:rsid w:val="00DC0C72"/>
    <w:rsid w:val="00DC1583"/>
    <w:rsid w:val="00DC2140"/>
    <w:rsid w:val="00DC2557"/>
    <w:rsid w:val="00DC324F"/>
    <w:rsid w:val="00DC3EC6"/>
    <w:rsid w:val="00DC492A"/>
    <w:rsid w:val="00DC4C61"/>
    <w:rsid w:val="00DC5C10"/>
    <w:rsid w:val="00DC7E0C"/>
    <w:rsid w:val="00DD0179"/>
    <w:rsid w:val="00DD06D2"/>
    <w:rsid w:val="00DD0F86"/>
    <w:rsid w:val="00DD2179"/>
    <w:rsid w:val="00DD2D5A"/>
    <w:rsid w:val="00DD3F3A"/>
    <w:rsid w:val="00DD43D1"/>
    <w:rsid w:val="00DD501A"/>
    <w:rsid w:val="00DD7106"/>
    <w:rsid w:val="00DE0167"/>
    <w:rsid w:val="00DE3744"/>
    <w:rsid w:val="00DE4622"/>
    <w:rsid w:val="00DE4927"/>
    <w:rsid w:val="00DE5578"/>
    <w:rsid w:val="00DE686B"/>
    <w:rsid w:val="00DE7298"/>
    <w:rsid w:val="00DF1109"/>
    <w:rsid w:val="00DF1A37"/>
    <w:rsid w:val="00DF1A3F"/>
    <w:rsid w:val="00DF1EE0"/>
    <w:rsid w:val="00DF42B3"/>
    <w:rsid w:val="00DF462D"/>
    <w:rsid w:val="00DF4FAF"/>
    <w:rsid w:val="00DF521A"/>
    <w:rsid w:val="00DF5506"/>
    <w:rsid w:val="00DF5EF7"/>
    <w:rsid w:val="00DF7013"/>
    <w:rsid w:val="00DF76CB"/>
    <w:rsid w:val="00E001A5"/>
    <w:rsid w:val="00E01F04"/>
    <w:rsid w:val="00E041EB"/>
    <w:rsid w:val="00E04750"/>
    <w:rsid w:val="00E0685E"/>
    <w:rsid w:val="00E072C3"/>
    <w:rsid w:val="00E10986"/>
    <w:rsid w:val="00E11AE4"/>
    <w:rsid w:val="00E12EEE"/>
    <w:rsid w:val="00E14185"/>
    <w:rsid w:val="00E141D2"/>
    <w:rsid w:val="00E14DCB"/>
    <w:rsid w:val="00E15E9C"/>
    <w:rsid w:val="00E17465"/>
    <w:rsid w:val="00E17D97"/>
    <w:rsid w:val="00E2077F"/>
    <w:rsid w:val="00E21373"/>
    <w:rsid w:val="00E225DC"/>
    <w:rsid w:val="00E23BA9"/>
    <w:rsid w:val="00E23C32"/>
    <w:rsid w:val="00E23E0F"/>
    <w:rsid w:val="00E25D01"/>
    <w:rsid w:val="00E25E2B"/>
    <w:rsid w:val="00E25E74"/>
    <w:rsid w:val="00E2640C"/>
    <w:rsid w:val="00E266C2"/>
    <w:rsid w:val="00E27803"/>
    <w:rsid w:val="00E31536"/>
    <w:rsid w:val="00E336CA"/>
    <w:rsid w:val="00E3458E"/>
    <w:rsid w:val="00E349A4"/>
    <w:rsid w:val="00E354C4"/>
    <w:rsid w:val="00E412EC"/>
    <w:rsid w:val="00E41E13"/>
    <w:rsid w:val="00E42D12"/>
    <w:rsid w:val="00E43223"/>
    <w:rsid w:val="00E43390"/>
    <w:rsid w:val="00E456BE"/>
    <w:rsid w:val="00E45CAA"/>
    <w:rsid w:val="00E46F45"/>
    <w:rsid w:val="00E50B45"/>
    <w:rsid w:val="00E50E0A"/>
    <w:rsid w:val="00E50E49"/>
    <w:rsid w:val="00E52E48"/>
    <w:rsid w:val="00E55779"/>
    <w:rsid w:val="00E55D96"/>
    <w:rsid w:val="00E55DD0"/>
    <w:rsid w:val="00E56958"/>
    <w:rsid w:val="00E606CC"/>
    <w:rsid w:val="00E6153D"/>
    <w:rsid w:val="00E63050"/>
    <w:rsid w:val="00E65EA5"/>
    <w:rsid w:val="00E70161"/>
    <w:rsid w:val="00E70A47"/>
    <w:rsid w:val="00E73539"/>
    <w:rsid w:val="00E74605"/>
    <w:rsid w:val="00E74695"/>
    <w:rsid w:val="00E74CE1"/>
    <w:rsid w:val="00E750E7"/>
    <w:rsid w:val="00E76337"/>
    <w:rsid w:val="00E77F2E"/>
    <w:rsid w:val="00E808B0"/>
    <w:rsid w:val="00E82499"/>
    <w:rsid w:val="00E828C5"/>
    <w:rsid w:val="00E84451"/>
    <w:rsid w:val="00E846C9"/>
    <w:rsid w:val="00E85288"/>
    <w:rsid w:val="00E85CAA"/>
    <w:rsid w:val="00E877BF"/>
    <w:rsid w:val="00E87B57"/>
    <w:rsid w:val="00E92F1E"/>
    <w:rsid w:val="00E938F1"/>
    <w:rsid w:val="00E9656C"/>
    <w:rsid w:val="00E9681F"/>
    <w:rsid w:val="00E96F4F"/>
    <w:rsid w:val="00EA0138"/>
    <w:rsid w:val="00EA0D43"/>
    <w:rsid w:val="00EA1E74"/>
    <w:rsid w:val="00EA20C6"/>
    <w:rsid w:val="00EA29AC"/>
    <w:rsid w:val="00EA33DC"/>
    <w:rsid w:val="00EA3790"/>
    <w:rsid w:val="00EA37E5"/>
    <w:rsid w:val="00EA42F0"/>
    <w:rsid w:val="00EA4360"/>
    <w:rsid w:val="00EA7004"/>
    <w:rsid w:val="00EA7BE8"/>
    <w:rsid w:val="00EB0FA0"/>
    <w:rsid w:val="00EB18C5"/>
    <w:rsid w:val="00EB219B"/>
    <w:rsid w:val="00EB2223"/>
    <w:rsid w:val="00EB3414"/>
    <w:rsid w:val="00EB39E1"/>
    <w:rsid w:val="00EB604D"/>
    <w:rsid w:val="00EB70BC"/>
    <w:rsid w:val="00EB749D"/>
    <w:rsid w:val="00EC1453"/>
    <w:rsid w:val="00EC208B"/>
    <w:rsid w:val="00EC2A03"/>
    <w:rsid w:val="00EC32B4"/>
    <w:rsid w:val="00EC46A7"/>
    <w:rsid w:val="00EC4F65"/>
    <w:rsid w:val="00EC4F9C"/>
    <w:rsid w:val="00EC5293"/>
    <w:rsid w:val="00EC56C0"/>
    <w:rsid w:val="00EC6D6A"/>
    <w:rsid w:val="00EC78BA"/>
    <w:rsid w:val="00ED0BE6"/>
    <w:rsid w:val="00ED23A0"/>
    <w:rsid w:val="00ED2A69"/>
    <w:rsid w:val="00ED34D7"/>
    <w:rsid w:val="00ED3C3D"/>
    <w:rsid w:val="00ED3CA3"/>
    <w:rsid w:val="00ED6D88"/>
    <w:rsid w:val="00EE08CE"/>
    <w:rsid w:val="00EE0CF9"/>
    <w:rsid w:val="00EE2872"/>
    <w:rsid w:val="00EE345D"/>
    <w:rsid w:val="00EE3B3C"/>
    <w:rsid w:val="00EE4FD9"/>
    <w:rsid w:val="00EE64F5"/>
    <w:rsid w:val="00EE7D58"/>
    <w:rsid w:val="00EF237F"/>
    <w:rsid w:val="00EF3284"/>
    <w:rsid w:val="00EF334D"/>
    <w:rsid w:val="00EF43EE"/>
    <w:rsid w:val="00EF71F7"/>
    <w:rsid w:val="00EF74F8"/>
    <w:rsid w:val="00EF7569"/>
    <w:rsid w:val="00EF7E3C"/>
    <w:rsid w:val="00F004AF"/>
    <w:rsid w:val="00F00583"/>
    <w:rsid w:val="00F0135F"/>
    <w:rsid w:val="00F015D3"/>
    <w:rsid w:val="00F01C39"/>
    <w:rsid w:val="00F01F1C"/>
    <w:rsid w:val="00F02657"/>
    <w:rsid w:val="00F0278A"/>
    <w:rsid w:val="00F031A6"/>
    <w:rsid w:val="00F03508"/>
    <w:rsid w:val="00F04238"/>
    <w:rsid w:val="00F04C6E"/>
    <w:rsid w:val="00F055CB"/>
    <w:rsid w:val="00F101F3"/>
    <w:rsid w:val="00F10A8D"/>
    <w:rsid w:val="00F112E6"/>
    <w:rsid w:val="00F11909"/>
    <w:rsid w:val="00F12368"/>
    <w:rsid w:val="00F124C9"/>
    <w:rsid w:val="00F12B8B"/>
    <w:rsid w:val="00F139D1"/>
    <w:rsid w:val="00F14650"/>
    <w:rsid w:val="00F1547D"/>
    <w:rsid w:val="00F155A6"/>
    <w:rsid w:val="00F15B38"/>
    <w:rsid w:val="00F15FE2"/>
    <w:rsid w:val="00F16B3B"/>
    <w:rsid w:val="00F16F8C"/>
    <w:rsid w:val="00F1758D"/>
    <w:rsid w:val="00F17D04"/>
    <w:rsid w:val="00F21357"/>
    <w:rsid w:val="00F21DA3"/>
    <w:rsid w:val="00F2276C"/>
    <w:rsid w:val="00F237FD"/>
    <w:rsid w:val="00F23BF2"/>
    <w:rsid w:val="00F2401B"/>
    <w:rsid w:val="00F24766"/>
    <w:rsid w:val="00F247C4"/>
    <w:rsid w:val="00F24800"/>
    <w:rsid w:val="00F24A69"/>
    <w:rsid w:val="00F25112"/>
    <w:rsid w:val="00F253E9"/>
    <w:rsid w:val="00F266EC"/>
    <w:rsid w:val="00F3145A"/>
    <w:rsid w:val="00F3190B"/>
    <w:rsid w:val="00F319C1"/>
    <w:rsid w:val="00F31D57"/>
    <w:rsid w:val="00F32300"/>
    <w:rsid w:val="00F32942"/>
    <w:rsid w:val="00F32A92"/>
    <w:rsid w:val="00F32F71"/>
    <w:rsid w:val="00F344B4"/>
    <w:rsid w:val="00F35E3C"/>
    <w:rsid w:val="00F3661C"/>
    <w:rsid w:val="00F36687"/>
    <w:rsid w:val="00F37D0A"/>
    <w:rsid w:val="00F40DD5"/>
    <w:rsid w:val="00F441EB"/>
    <w:rsid w:val="00F44711"/>
    <w:rsid w:val="00F455F3"/>
    <w:rsid w:val="00F460DD"/>
    <w:rsid w:val="00F47EFC"/>
    <w:rsid w:val="00F50A86"/>
    <w:rsid w:val="00F51160"/>
    <w:rsid w:val="00F51D2E"/>
    <w:rsid w:val="00F51D43"/>
    <w:rsid w:val="00F5222D"/>
    <w:rsid w:val="00F5293D"/>
    <w:rsid w:val="00F52EA7"/>
    <w:rsid w:val="00F531BC"/>
    <w:rsid w:val="00F53FA4"/>
    <w:rsid w:val="00F55249"/>
    <w:rsid w:val="00F552EA"/>
    <w:rsid w:val="00F56CB5"/>
    <w:rsid w:val="00F575B0"/>
    <w:rsid w:val="00F60153"/>
    <w:rsid w:val="00F61409"/>
    <w:rsid w:val="00F6224F"/>
    <w:rsid w:val="00F62894"/>
    <w:rsid w:val="00F6503B"/>
    <w:rsid w:val="00F67831"/>
    <w:rsid w:val="00F67B82"/>
    <w:rsid w:val="00F76737"/>
    <w:rsid w:val="00F76DF6"/>
    <w:rsid w:val="00F83230"/>
    <w:rsid w:val="00F8340D"/>
    <w:rsid w:val="00F83D36"/>
    <w:rsid w:val="00F84627"/>
    <w:rsid w:val="00F846A2"/>
    <w:rsid w:val="00F862B9"/>
    <w:rsid w:val="00F86E1E"/>
    <w:rsid w:val="00F86EA3"/>
    <w:rsid w:val="00F907D2"/>
    <w:rsid w:val="00F92E1E"/>
    <w:rsid w:val="00F938A7"/>
    <w:rsid w:val="00F93AA3"/>
    <w:rsid w:val="00F94650"/>
    <w:rsid w:val="00F972C7"/>
    <w:rsid w:val="00F97CD2"/>
    <w:rsid w:val="00F97D6F"/>
    <w:rsid w:val="00FA040F"/>
    <w:rsid w:val="00FA0545"/>
    <w:rsid w:val="00FA0555"/>
    <w:rsid w:val="00FA1439"/>
    <w:rsid w:val="00FA1D11"/>
    <w:rsid w:val="00FA3283"/>
    <w:rsid w:val="00FA3E4A"/>
    <w:rsid w:val="00FA48B7"/>
    <w:rsid w:val="00FA5442"/>
    <w:rsid w:val="00FA5933"/>
    <w:rsid w:val="00FA70D9"/>
    <w:rsid w:val="00FB0076"/>
    <w:rsid w:val="00FB2EF2"/>
    <w:rsid w:val="00FB5A6F"/>
    <w:rsid w:val="00FB5B14"/>
    <w:rsid w:val="00FB6692"/>
    <w:rsid w:val="00FB7132"/>
    <w:rsid w:val="00FC0FA3"/>
    <w:rsid w:val="00FC1EAA"/>
    <w:rsid w:val="00FC3355"/>
    <w:rsid w:val="00FC3E49"/>
    <w:rsid w:val="00FC667E"/>
    <w:rsid w:val="00FC78CE"/>
    <w:rsid w:val="00FC79B8"/>
    <w:rsid w:val="00FD0E42"/>
    <w:rsid w:val="00FD1D3A"/>
    <w:rsid w:val="00FD1F31"/>
    <w:rsid w:val="00FD2332"/>
    <w:rsid w:val="00FD4831"/>
    <w:rsid w:val="00FD4879"/>
    <w:rsid w:val="00FD5D47"/>
    <w:rsid w:val="00FE1498"/>
    <w:rsid w:val="00FE1635"/>
    <w:rsid w:val="00FE1EC5"/>
    <w:rsid w:val="00FE1F7B"/>
    <w:rsid w:val="00FE2160"/>
    <w:rsid w:val="00FE25AC"/>
    <w:rsid w:val="00FE267E"/>
    <w:rsid w:val="00FE3C36"/>
    <w:rsid w:val="00FE3E23"/>
    <w:rsid w:val="00FE4004"/>
    <w:rsid w:val="00FE427E"/>
    <w:rsid w:val="00FE4880"/>
    <w:rsid w:val="00FE498F"/>
    <w:rsid w:val="00FE5339"/>
    <w:rsid w:val="00FE6294"/>
    <w:rsid w:val="00FE6B40"/>
    <w:rsid w:val="00FE711A"/>
    <w:rsid w:val="00FE7627"/>
    <w:rsid w:val="00FF0378"/>
    <w:rsid w:val="00FF19CF"/>
    <w:rsid w:val="00FF21AC"/>
    <w:rsid w:val="00FF4C3C"/>
    <w:rsid w:val="00FF4F8C"/>
    <w:rsid w:val="00FF575D"/>
    <w:rsid w:val="00FF5B1D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82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CD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autoRedefine/>
    <w:qFormat/>
    <w:rsid w:val="00056404"/>
    <w:pPr>
      <w:keepNext/>
      <w:numPr>
        <w:numId w:val="8"/>
      </w:numPr>
      <w:spacing w:before="240" w:after="120"/>
      <w:ind w:left="431" w:hanging="431"/>
      <w:jc w:val="left"/>
      <w:outlineLvl w:val="0"/>
    </w:pPr>
    <w:rPr>
      <w:b/>
      <w:sz w:val="20"/>
    </w:rPr>
  </w:style>
  <w:style w:type="paragraph" w:styleId="Nadpis2">
    <w:name w:val="heading 2"/>
    <w:basedOn w:val="Nadpis1"/>
    <w:next w:val="Normln"/>
    <w:link w:val="Nadpis2Char"/>
    <w:autoRedefine/>
    <w:qFormat/>
    <w:rsid w:val="00056404"/>
    <w:pPr>
      <w:numPr>
        <w:ilvl w:val="1"/>
      </w:numPr>
      <w:ind w:left="426" w:hanging="426"/>
      <w:outlineLvl w:val="1"/>
    </w:pPr>
    <w:rPr>
      <w:sz w:val="24"/>
    </w:rPr>
  </w:style>
  <w:style w:type="paragraph" w:styleId="Nadpis3">
    <w:name w:val="heading 3"/>
    <w:basedOn w:val="Nadpis2"/>
    <w:next w:val="Normln"/>
    <w:link w:val="Nadpis3Char"/>
    <w:qFormat/>
    <w:rsid w:val="00ED23A0"/>
    <w:pPr>
      <w:numPr>
        <w:ilvl w:val="2"/>
      </w:numPr>
      <w:ind w:left="720"/>
      <w:outlineLvl w:val="2"/>
    </w:pPr>
  </w:style>
  <w:style w:type="paragraph" w:styleId="Nadpis4">
    <w:name w:val="heading 4"/>
    <w:basedOn w:val="Normln"/>
    <w:next w:val="Normln"/>
    <w:link w:val="Nadpis4Char"/>
    <w:qFormat/>
    <w:rsid w:val="001870DA"/>
    <w:pPr>
      <w:keepNext/>
      <w:numPr>
        <w:ilvl w:val="3"/>
        <w:numId w:val="8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F4F8C"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Nadpis6">
    <w:name w:val="heading 6"/>
    <w:basedOn w:val="Nadpis1"/>
    <w:next w:val="Nadpis1"/>
    <w:link w:val="Nadpis6Char"/>
    <w:qFormat/>
    <w:rsid w:val="00603920"/>
    <w:pPr>
      <w:numPr>
        <w:ilvl w:val="5"/>
      </w:numPr>
      <w:spacing w:after="60"/>
      <w:outlineLvl w:val="5"/>
    </w:pPr>
    <w:rPr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83D78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83D78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83D7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640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5640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D23A0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870DA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F4F8C"/>
    <w:rPr>
      <w:rFonts w:ascii="Times New Roman" w:eastAsia="Times New Roman" w:hAnsi="Times New Roman" w:cs="Times New Roman"/>
      <w:b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039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83D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83D7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83D78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83D78"/>
    <w:pPr>
      <w:ind w:left="720"/>
      <w:contextualSpacing/>
    </w:pPr>
  </w:style>
  <w:style w:type="paragraph" w:styleId="Zhlav">
    <w:name w:val="header"/>
    <w:basedOn w:val="Normln"/>
    <w:link w:val="ZhlavChar"/>
    <w:rsid w:val="00583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3D78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83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D78"/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customStyle="1" w:styleId="st">
    <w:name w:val="st"/>
    <w:rsid w:val="00583D78"/>
  </w:style>
  <w:style w:type="character" w:customStyle="1" w:styleId="addmd">
    <w:name w:val="addmd"/>
    <w:rsid w:val="00583D78"/>
  </w:style>
  <w:style w:type="character" w:styleId="Zstupntext">
    <w:name w:val="Placeholder Text"/>
    <w:basedOn w:val="Standardnpsmoodstavce"/>
    <w:uiPriority w:val="99"/>
    <w:semiHidden/>
    <w:rsid w:val="00583D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D78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84A8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C0C99"/>
    <w:pPr>
      <w:tabs>
        <w:tab w:val="left" w:pos="880"/>
        <w:tab w:val="right" w:leader="dot" w:pos="906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03920"/>
    <w:pPr>
      <w:tabs>
        <w:tab w:val="right" w:leader="dot" w:pos="9060"/>
      </w:tabs>
      <w:spacing w:after="100"/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C84A81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C84A81"/>
    <w:rPr>
      <w:color w:val="0000FF" w:themeColor="hyperlink"/>
      <w:u w:val="single"/>
    </w:rPr>
  </w:style>
  <w:style w:type="character" w:customStyle="1" w:styleId="ilfuvd">
    <w:name w:val="ilfuvd"/>
    <w:basedOn w:val="Standardnpsmoodstavce"/>
    <w:rsid w:val="004C72C7"/>
  </w:style>
  <w:style w:type="table" w:styleId="Mkatabulky">
    <w:name w:val="Table Grid"/>
    <w:basedOn w:val="Normlntabulka"/>
    <w:uiPriority w:val="59"/>
    <w:rsid w:val="00DF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1E2596"/>
  </w:style>
  <w:style w:type="paragraph" w:styleId="Bezmezer">
    <w:name w:val="No Spacing"/>
    <w:uiPriority w:val="1"/>
    <w:qFormat/>
    <w:rsid w:val="0033475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72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2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2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2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433DB"/>
    <w:pPr>
      <w:spacing w:after="100"/>
      <w:ind w:left="1200"/>
    </w:pPr>
  </w:style>
  <w:style w:type="paragraph" w:styleId="Obsah4">
    <w:name w:val="toc 4"/>
    <w:basedOn w:val="Normln"/>
    <w:next w:val="Normln"/>
    <w:autoRedefine/>
    <w:uiPriority w:val="39"/>
    <w:unhideWhenUsed/>
    <w:rsid w:val="00D433DB"/>
    <w:pPr>
      <w:spacing w:after="100"/>
      <w:ind w:left="720"/>
    </w:pPr>
  </w:style>
  <w:style w:type="character" w:customStyle="1" w:styleId="j-hiddenauthornames">
    <w:name w:val="j-hiddenauthornames"/>
    <w:basedOn w:val="Standardnpsmoodstavce"/>
    <w:rsid w:val="001073E6"/>
  </w:style>
  <w:style w:type="paragraph" w:styleId="Nzev">
    <w:name w:val="Title"/>
    <w:basedOn w:val="Normln"/>
    <w:link w:val="NzevChar"/>
    <w:qFormat/>
    <w:rsid w:val="004141CF"/>
    <w:pPr>
      <w:ind w:firstLine="284"/>
      <w:jc w:val="center"/>
    </w:pPr>
    <w:rPr>
      <w:sz w:val="48"/>
    </w:rPr>
  </w:style>
  <w:style w:type="character" w:customStyle="1" w:styleId="NzevChar">
    <w:name w:val="Název Char"/>
    <w:basedOn w:val="Standardnpsmoodstavce"/>
    <w:link w:val="Nzev"/>
    <w:rsid w:val="004141CF"/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2511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0D4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0D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A0D47"/>
    <w:rPr>
      <w:vertAlign w:val="superscript"/>
    </w:rPr>
  </w:style>
  <w:style w:type="character" w:styleId="Siln">
    <w:name w:val="Strong"/>
    <w:basedOn w:val="Standardnpsmoodstavce"/>
    <w:uiPriority w:val="22"/>
    <w:qFormat/>
    <w:rsid w:val="00600354"/>
    <w:rPr>
      <w:b/>
      <w:bCs/>
    </w:rPr>
  </w:style>
  <w:style w:type="paragraph" w:styleId="Seznamobrzk">
    <w:name w:val="table of figures"/>
    <w:basedOn w:val="Normln"/>
    <w:next w:val="Normln"/>
    <w:uiPriority w:val="99"/>
    <w:unhideWhenUsed/>
    <w:rsid w:val="007333BE"/>
  </w:style>
  <w:style w:type="character" w:styleId="Zvraznn">
    <w:name w:val="Emphasis"/>
    <w:basedOn w:val="Standardnpsmoodstavce"/>
    <w:uiPriority w:val="20"/>
    <w:qFormat/>
    <w:rsid w:val="002259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CD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autoRedefine/>
    <w:qFormat/>
    <w:rsid w:val="00056404"/>
    <w:pPr>
      <w:keepNext/>
      <w:numPr>
        <w:numId w:val="8"/>
      </w:numPr>
      <w:spacing w:before="240" w:after="120"/>
      <w:ind w:left="431" w:hanging="431"/>
      <w:jc w:val="left"/>
      <w:outlineLvl w:val="0"/>
    </w:pPr>
    <w:rPr>
      <w:b/>
      <w:sz w:val="20"/>
    </w:rPr>
  </w:style>
  <w:style w:type="paragraph" w:styleId="Nadpis2">
    <w:name w:val="heading 2"/>
    <w:basedOn w:val="Nadpis1"/>
    <w:next w:val="Normln"/>
    <w:link w:val="Nadpis2Char"/>
    <w:autoRedefine/>
    <w:qFormat/>
    <w:rsid w:val="00056404"/>
    <w:pPr>
      <w:numPr>
        <w:ilvl w:val="1"/>
      </w:numPr>
      <w:ind w:left="426" w:hanging="426"/>
      <w:outlineLvl w:val="1"/>
    </w:pPr>
    <w:rPr>
      <w:sz w:val="24"/>
    </w:rPr>
  </w:style>
  <w:style w:type="paragraph" w:styleId="Nadpis3">
    <w:name w:val="heading 3"/>
    <w:basedOn w:val="Nadpis2"/>
    <w:next w:val="Normln"/>
    <w:link w:val="Nadpis3Char"/>
    <w:qFormat/>
    <w:rsid w:val="00ED23A0"/>
    <w:pPr>
      <w:numPr>
        <w:ilvl w:val="2"/>
      </w:numPr>
      <w:ind w:left="720"/>
      <w:outlineLvl w:val="2"/>
    </w:pPr>
  </w:style>
  <w:style w:type="paragraph" w:styleId="Nadpis4">
    <w:name w:val="heading 4"/>
    <w:basedOn w:val="Normln"/>
    <w:next w:val="Normln"/>
    <w:link w:val="Nadpis4Char"/>
    <w:qFormat/>
    <w:rsid w:val="001870DA"/>
    <w:pPr>
      <w:keepNext/>
      <w:numPr>
        <w:ilvl w:val="3"/>
        <w:numId w:val="8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F4F8C"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Nadpis6">
    <w:name w:val="heading 6"/>
    <w:basedOn w:val="Nadpis1"/>
    <w:next w:val="Nadpis1"/>
    <w:link w:val="Nadpis6Char"/>
    <w:qFormat/>
    <w:rsid w:val="00603920"/>
    <w:pPr>
      <w:numPr>
        <w:ilvl w:val="5"/>
      </w:numPr>
      <w:spacing w:after="60"/>
      <w:outlineLvl w:val="5"/>
    </w:pPr>
    <w:rPr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83D78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83D78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83D78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640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5640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D23A0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870DA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F4F8C"/>
    <w:rPr>
      <w:rFonts w:ascii="Times New Roman" w:eastAsia="Times New Roman" w:hAnsi="Times New Roman" w:cs="Times New Roman"/>
      <w:b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039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83D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83D7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83D78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83D78"/>
    <w:pPr>
      <w:ind w:left="720"/>
      <w:contextualSpacing/>
    </w:pPr>
  </w:style>
  <w:style w:type="paragraph" w:styleId="Zhlav">
    <w:name w:val="header"/>
    <w:basedOn w:val="Normln"/>
    <w:link w:val="ZhlavChar"/>
    <w:rsid w:val="00583D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3D78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83D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D78"/>
    <w:rPr>
      <w:rFonts w:ascii="Times New Roman" w:eastAsia="Times New Roman" w:hAnsi="Times New Roman" w:cs="Times New Roman"/>
      <w:sz w:val="26"/>
      <w:szCs w:val="24"/>
      <w:lang w:eastAsia="cs-CZ"/>
    </w:rPr>
  </w:style>
  <w:style w:type="character" w:customStyle="1" w:styleId="st">
    <w:name w:val="st"/>
    <w:rsid w:val="00583D78"/>
  </w:style>
  <w:style w:type="character" w:customStyle="1" w:styleId="addmd">
    <w:name w:val="addmd"/>
    <w:rsid w:val="00583D78"/>
  </w:style>
  <w:style w:type="character" w:styleId="Zstupntext">
    <w:name w:val="Placeholder Text"/>
    <w:basedOn w:val="Standardnpsmoodstavce"/>
    <w:uiPriority w:val="99"/>
    <w:semiHidden/>
    <w:rsid w:val="00583D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D78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84A8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C0C99"/>
    <w:pPr>
      <w:tabs>
        <w:tab w:val="left" w:pos="880"/>
        <w:tab w:val="right" w:leader="dot" w:pos="906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03920"/>
    <w:pPr>
      <w:tabs>
        <w:tab w:val="right" w:leader="dot" w:pos="9060"/>
      </w:tabs>
      <w:spacing w:after="100"/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C84A81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C84A81"/>
    <w:rPr>
      <w:color w:val="0000FF" w:themeColor="hyperlink"/>
      <w:u w:val="single"/>
    </w:rPr>
  </w:style>
  <w:style w:type="character" w:customStyle="1" w:styleId="ilfuvd">
    <w:name w:val="ilfuvd"/>
    <w:basedOn w:val="Standardnpsmoodstavce"/>
    <w:rsid w:val="004C72C7"/>
  </w:style>
  <w:style w:type="table" w:styleId="Mkatabulky">
    <w:name w:val="Table Grid"/>
    <w:basedOn w:val="Normlntabulka"/>
    <w:uiPriority w:val="59"/>
    <w:rsid w:val="00DF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1E2596"/>
  </w:style>
  <w:style w:type="paragraph" w:styleId="Bezmezer">
    <w:name w:val="No Spacing"/>
    <w:uiPriority w:val="1"/>
    <w:qFormat/>
    <w:rsid w:val="0033475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72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2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2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2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433DB"/>
    <w:pPr>
      <w:spacing w:after="100"/>
      <w:ind w:left="1200"/>
    </w:pPr>
  </w:style>
  <w:style w:type="paragraph" w:styleId="Obsah4">
    <w:name w:val="toc 4"/>
    <w:basedOn w:val="Normln"/>
    <w:next w:val="Normln"/>
    <w:autoRedefine/>
    <w:uiPriority w:val="39"/>
    <w:unhideWhenUsed/>
    <w:rsid w:val="00D433DB"/>
    <w:pPr>
      <w:spacing w:after="100"/>
      <w:ind w:left="720"/>
    </w:pPr>
  </w:style>
  <w:style w:type="character" w:customStyle="1" w:styleId="j-hiddenauthornames">
    <w:name w:val="j-hiddenauthornames"/>
    <w:basedOn w:val="Standardnpsmoodstavce"/>
    <w:rsid w:val="001073E6"/>
  </w:style>
  <w:style w:type="paragraph" w:styleId="Nzev">
    <w:name w:val="Title"/>
    <w:basedOn w:val="Normln"/>
    <w:link w:val="NzevChar"/>
    <w:qFormat/>
    <w:rsid w:val="004141CF"/>
    <w:pPr>
      <w:ind w:firstLine="284"/>
      <w:jc w:val="center"/>
    </w:pPr>
    <w:rPr>
      <w:sz w:val="48"/>
    </w:rPr>
  </w:style>
  <w:style w:type="character" w:customStyle="1" w:styleId="NzevChar">
    <w:name w:val="Název Char"/>
    <w:basedOn w:val="Standardnpsmoodstavce"/>
    <w:link w:val="Nzev"/>
    <w:rsid w:val="004141CF"/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2511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0D4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0D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A0D47"/>
    <w:rPr>
      <w:vertAlign w:val="superscript"/>
    </w:rPr>
  </w:style>
  <w:style w:type="character" w:styleId="Siln">
    <w:name w:val="Strong"/>
    <w:basedOn w:val="Standardnpsmoodstavce"/>
    <w:uiPriority w:val="22"/>
    <w:qFormat/>
    <w:rsid w:val="00600354"/>
    <w:rPr>
      <w:b/>
      <w:bCs/>
    </w:rPr>
  </w:style>
  <w:style w:type="paragraph" w:styleId="Seznamobrzk">
    <w:name w:val="table of figures"/>
    <w:basedOn w:val="Normln"/>
    <w:next w:val="Normln"/>
    <w:uiPriority w:val="99"/>
    <w:unhideWhenUsed/>
    <w:rsid w:val="007333BE"/>
  </w:style>
  <w:style w:type="character" w:styleId="Zvraznn">
    <w:name w:val="Emphasis"/>
    <w:basedOn w:val="Standardnpsmoodstavce"/>
    <w:uiPriority w:val="20"/>
    <w:qFormat/>
    <w:rsid w:val="00225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hart" Target="charts/chart3.xml"/><Relationship Id="rId26" Type="http://schemas.openxmlformats.org/officeDocument/2006/relationships/hyperlink" Target="https://www.finslovnik.cz/plna-zamestnanos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usinessinfo.cz/cs/clanky/6-kroku-jak-resit-nedostatek-pracovnich-sil-v-cesku-a-stredi-evrope-113394.htm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hart" Target="charts/chart2.xml"/><Relationship Id="rId25" Type="http://schemas.openxmlformats.org/officeDocument/2006/relationships/hyperlink" Target="https://faei.cz/nizka-nezamestnanost-brzdi-rozvoj-fire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hyperlink" Target="https://www.penize.cz/slovnik/median-mez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czso.cz/csu/xm/charakteristika_kraje" TargetMode="External"/><Relationship Id="rId32" Type="http://schemas.openxmlformats.org/officeDocument/2006/relationships/hyperlink" Target="file:///C:\Users\Monika%20Hu&#357;ov&#225;\Documents\MV&#352;O\Monika%20Hu&#357;ov&#225;%20230719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www.czso.cz/csu/xm/hdp-xm" TargetMode="External"/><Relationship Id="rId28" Type="http://schemas.openxmlformats.org/officeDocument/2006/relationships/hyperlink" Target="https://www.olkraj.cz/zur-sousednich-kraju-cl-3830.html" TargetMode="External"/><Relationship Id="rId10" Type="http://schemas.openxmlformats.org/officeDocument/2006/relationships/footer" Target="footer2.xml"/><Relationship Id="rId19" Type="http://schemas.openxmlformats.org/officeDocument/2006/relationships/chart" Target="charts/chart4.xml"/><Relationship Id="rId31" Type="http://schemas.openxmlformats.org/officeDocument/2006/relationships/hyperlink" Target="file:///C:\Users\Monika%20Hu&#357;ov&#225;\Documents\MV&#352;O\Monika%20Hu&#357;ov&#225;%20230719.doc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s://www.czso.cz/csu/xs/hdp-xs" TargetMode="External"/><Relationship Id="rId27" Type="http://schemas.openxmlformats.org/officeDocument/2006/relationships/hyperlink" Target="https://www.mfcr.cz/cs/aktualne/tiskove-zpravy/2018/pokladni-plneni-sr-leden-listopad-2017-30618" TargetMode="External"/><Relationship Id="rId30" Type="http://schemas.openxmlformats.org/officeDocument/2006/relationships/hyperlink" Target="http://www.risy.cz/cs/krajske-ris/stredocesky-kraj/okresy/" TargetMode="Externa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xm/charakteristika_kraje" TargetMode="External"/><Relationship Id="rId3" Type="http://schemas.openxmlformats.org/officeDocument/2006/relationships/hyperlink" Target="https://faei.cz/nizkanezamestnanost-brzdi-rozvoj-firem/" TargetMode="External"/><Relationship Id="rId7" Type="http://schemas.openxmlformats.org/officeDocument/2006/relationships/hyperlink" Target="https://www.czso.cz/csu/xm/charakteristika_kraje" TargetMode="External"/><Relationship Id="rId12" Type="http://schemas.openxmlformats.org/officeDocument/2006/relationships/hyperlink" Target="https://www.kr-stredocesky.cz/kraj" TargetMode="External"/><Relationship Id="rId2" Type="http://schemas.openxmlformats.org/officeDocument/2006/relationships/hyperlink" Target="https://www.finslovnik.cz/plna-zamestnanost/" TargetMode="External"/><Relationship Id="rId1" Type="http://schemas.openxmlformats.org/officeDocument/2006/relationships/hyperlink" Target="https://www.finance.cz/518363-vyse-podpory-v-nezamestnanosti/" TargetMode="External"/><Relationship Id="rId6" Type="http://schemas.openxmlformats.org/officeDocument/2006/relationships/hyperlink" Target="https://www.olkraj.cz/zur-sousednich-kraju-cl-3830.html" TargetMode="External"/><Relationship Id="rId11" Type="http://schemas.openxmlformats.org/officeDocument/2006/relationships/hyperlink" Target="https://www.kr-stredocesky.cz/kraj" TargetMode="External"/><Relationship Id="rId5" Type="http://schemas.openxmlformats.org/officeDocument/2006/relationships/hyperlink" Target="https://www.czso.cz/csu/xm/charakteristika_kraje" TargetMode="External"/><Relationship Id="rId10" Type="http://schemas.openxmlformats.org/officeDocument/2006/relationships/hyperlink" Target="https://www.czso.cz/csu/xm/charakteristika_kraje" TargetMode="External"/><Relationship Id="rId4" Type="http://schemas.openxmlformats.org/officeDocument/2006/relationships/hyperlink" Target="https://www.businessinfo.cz/cs/clanky/6-kroku-jak-resit-nedostatek-pracovnich-sil-v-cesku-a-stredi-evrope-113394.html" TargetMode="External"/><Relationship Id="rId9" Type="http://schemas.openxmlformats.org/officeDocument/2006/relationships/hyperlink" Target="https://www.czso.cz/csu/xm/charakteristika_kraj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%20Hu&#357;ov&#225;\AppData\Local\Temp\BPgraf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man%20Je&#382;ior\Desktop\BPgraf2uprav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%20Hu&#357;ov&#225;\AppData\Local\Temp\BPgraf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%20Hu&#357;ov&#225;\AppData\Local\Temp\BPgraf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[BPgraf1.xlsx]List1!$B$1</c:f>
              <c:strCache>
                <c:ptCount val="1"/>
                <c:pt idx="0">
                  <c:v>Ob. Mír. Ol</c:v>
                </c:pt>
              </c:strCache>
            </c:strRef>
          </c:tx>
          <c:marker>
            <c:symbol val="none"/>
          </c:marker>
          <c:cat>
            <c:numRef>
              <c:f>[BPgraf1.xlsx]List1!$A$2:$A$6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[BPgraf1.xlsx]List1!$B$2:$B$6</c:f>
              <c:numCache>
                <c:formatCode>General</c:formatCode>
                <c:ptCount val="5"/>
                <c:pt idx="0">
                  <c:v>9.1999999999999993</c:v>
                </c:pt>
                <c:pt idx="1">
                  <c:v>7.7</c:v>
                </c:pt>
                <c:pt idx="2">
                  <c:v>5.9</c:v>
                </c:pt>
                <c:pt idx="3">
                  <c:v>3.7</c:v>
                </c:pt>
                <c:pt idx="4">
                  <c:v>3.1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[BPgraf1.xlsx]List1!$C$1</c:f>
              <c:strCache>
                <c:ptCount val="1"/>
                <c:pt idx="0">
                  <c:v>Ob. Mír. St</c:v>
                </c:pt>
              </c:strCache>
            </c:strRef>
          </c:tx>
          <c:marker>
            <c:symbol val="none"/>
          </c:marker>
          <c:cat>
            <c:numRef>
              <c:f>[BPgraf1.xlsx]List1!$A$2:$A$6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[BPgraf1.xlsx]List1!$C$2:$C$6</c:f>
              <c:numCache>
                <c:formatCode>General</c:formatCode>
                <c:ptCount val="5"/>
                <c:pt idx="0">
                  <c:v>5.2</c:v>
                </c:pt>
                <c:pt idx="1">
                  <c:v>5.0999999999999996</c:v>
                </c:pt>
                <c:pt idx="2">
                  <c:v>3.5</c:v>
                </c:pt>
                <c:pt idx="3">
                  <c:v>3.1</c:v>
                </c:pt>
                <c:pt idx="4">
                  <c:v>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217088"/>
        <c:axId val="164158784"/>
      </c:lineChart>
      <c:catAx>
        <c:axId val="19221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64158784"/>
        <c:crosses val="autoZero"/>
        <c:auto val="1"/>
        <c:lblAlgn val="ctr"/>
        <c:lblOffset val="100"/>
        <c:noMultiLvlLbl val="0"/>
      </c:catAx>
      <c:valAx>
        <c:axId val="16415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9221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86045494313216"/>
          <c:y val="0.36975092399164389"/>
          <c:w val="0.20747287839020123"/>
          <c:h val="0.23648854817517553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za zam. Ol.</c:v>
                </c:pt>
              </c:strCache>
            </c:strRef>
          </c:tx>
          <c:marker>
            <c:symbol val="none"/>
          </c:marker>
          <c:cat>
            <c:numRef>
              <c:f>List2!$A$2:$A$6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List2!$B$2:$B$6</c:f>
              <c:numCache>
                <c:formatCode>#,##0</c:formatCode>
                <c:ptCount val="5"/>
                <c:pt idx="0">
                  <c:v>22188</c:v>
                </c:pt>
                <c:pt idx="1">
                  <c:v>22958</c:v>
                </c:pt>
                <c:pt idx="2">
                  <c:v>23653</c:v>
                </c:pt>
                <c:pt idx="3">
                  <c:v>24754</c:v>
                </c:pt>
                <c:pt idx="4">
                  <c:v>26360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ED0-48C0-8D5D-AB30BD9390C1}"/>
            </c:ext>
          </c:extLst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za FO, Ol. </c:v>
                </c:pt>
              </c:strCache>
            </c:strRef>
          </c:tx>
          <c:marker>
            <c:symbol val="none"/>
          </c:marker>
          <c:cat>
            <c:numRef>
              <c:f>List2!$A$2:$A$6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List2!$C$2:$C$6</c:f>
              <c:numCache>
                <c:formatCode>#,##0</c:formatCode>
                <c:ptCount val="5"/>
                <c:pt idx="0">
                  <c:v>21472</c:v>
                </c:pt>
                <c:pt idx="1">
                  <c:v>22222</c:v>
                </c:pt>
                <c:pt idx="2">
                  <c:v>22893</c:v>
                </c:pt>
                <c:pt idx="3">
                  <c:v>23950</c:v>
                </c:pt>
                <c:pt idx="4">
                  <c:v>25465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ED0-48C0-8D5D-AB30BD9390C1}"/>
            </c:ext>
          </c:extLst>
        </c:ser>
        <c:ser>
          <c:idx val="2"/>
          <c:order val="2"/>
          <c:tx>
            <c:strRef>
              <c:f>List2!$D$1</c:f>
              <c:strCache>
                <c:ptCount val="1"/>
                <c:pt idx="0">
                  <c:v>za zam. St. </c:v>
                </c:pt>
              </c:strCache>
            </c:strRef>
          </c:tx>
          <c:marker>
            <c:symbol val="none"/>
          </c:marker>
          <c:cat>
            <c:numRef>
              <c:f>List2!$A$2:$A$6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List2!$D$2:$D$6</c:f>
              <c:numCache>
                <c:formatCode>#,##0</c:formatCode>
                <c:ptCount val="5"/>
                <c:pt idx="0">
                  <c:v>25005</c:v>
                </c:pt>
                <c:pt idx="1">
                  <c:v>25756</c:v>
                </c:pt>
                <c:pt idx="2">
                  <c:v>26575</c:v>
                </c:pt>
                <c:pt idx="3">
                  <c:v>27931</c:v>
                </c:pt>
                <c:pt idx="4">
                  <c:v>29957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ED0-48C0-8D5D-AB30BD9390C1}"/>
            </c:ext>
          </c:extLst>
        </c:ser>
        <c:ser>
          <c:idx val="3"/>
          <c:order val="3"/>
          <c:tx>
            <c:strRef>
              <c:f>List2!$E$1</c:f>
              <c:strCache>
                <c:ptCount val="1"/>
                <c:pt idx="0">
                  <c:v>za FO, St. </c:v>
                </c:pt>
              </c:strCache>
            </c:strRef>
          </c:tx>
          <c:marker>
            <c:symbol val="none"/>
          </c:marker>
          <c:cat>
            <c:numRef>
              <c:f>List2!$A$2:$A$6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List2!$E$2:$E$6</c:f>
              <c:numCache>
                <c:formatCode>#,##0</c:formatCode>
                <c:ptCount val="5"/>
                <c:pt idx="0">
                  <c:v>24249</c:v>
                </c:pt>
                <c:pt idx="1">
                  <c:v>24962</c:v>
                </c:pt>
                <c:pt idx="2">
                  <c:v>25780</c:v>
                </c:pt>
                <c:pt idx="3">
                  <c:v>27083</c:v>
                </c:pt>
                <c:pt idx="4">
                  <c:v>29041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ED0-48C0-8D5D-AB30BD939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183680"/>
        <c:axId val="169583744"/>
      </c:lineChart>
      <c:catAx>
        <c:axId val="19418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69583744"/>
        <c:crosses val="autoZero"/>
        <c:auto val="1"/>
        <c:lblAlgn val="ctr"/>
        <c:lblOffset val="100"/>
        <c:noMultiLvlLbl val="0"/>
      </c:catAx>
      <c:valAx>
        <c:axId val="169583744"/>
        <c:scaling>
          <c:orientation val="minMax"/>
          <c:max val="31000"/>
          <c:min val="20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94183680"/>
        <c:crosses val="autoZero"/>
        <c:crossBetween val="between"/>
        <c:majorUnit val="1000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[BPgraf3.xlsx]List1!$B$1</c:f>
              <c:strCache>
                <c:ptCount val="1"/>
                <c:pt idx="0">
                  <c:v>M.m.Ol.k.</c:v>
                </c:pt>
              </c:strCache>
            </c:strRef>
          </c:tx>
          <c:marker>
            <c:symbol val="none"/>
          </c:marker>
          <c:cat>
            <c:numRef>
              <c:f>[BPgraf3.xlsx]List1!$A$2:$A$6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[BPgraf3.xlsx]List1!$B$2:$B$6</c:f>
              <c:numCache>
                <c:formatCode>#,##0</c:formatCode>
                <c:ptCount val="5"/>
                <c:pt idx="0">
                  <c:v>20836</c:v>
                </c:pt>
                <c:pt idx="1">
                  <c:v>21651</c:v>
                </c:pt>
                <c:pt idx="2">
                  <c:v>21918</c:v>
                </c:pt>
                <c:pt idx="3">
                  <c:v>23205</c:v>
                </c:pt>
                <c:pt idx="4">
                  <c:v>24956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[BPgraf3.xlsx]List1!$C$1</c:f>
              <c:strCache>
                <c:ptCount val="1"/>
                <c:pt idx="0">
                  <c:v>m.m.St.k</c:v>
                </c:pt>
              </c:strCache>
            </c:strRef>
          </c:tx>
          <c:marker>
            <c:symbol val="none"/>
          </c:marker>
          <c:cat>
            <c:numRef>
              <c:f>[BPgraf3.xlsx]List1!$A$2:$A$6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[BPgraf3.xlsx]List1!$C$2:$C$6</c:f>
              <c:numCache>
                <c:formatCode>#,##0</c:formatCode>
                <c:ptCount val="5"/>
                <c:pt idx="0">
                  <c:v>22874</c:v>
                </c:pt>
                <c:pt idx="1">
                  <c:v>23579</c:v>
                </c:pt>
                <c:pt idx="2">
                  <c:v>24582</c:v>
                </c:pt>
                <c:pt idx="3">
                  <c:v>25490</c:v>
                </c:pt>
                <c:pt idx="4">
                  <c:v>27709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184192"/>
        <c:axId val="169604160"/>
      </c:lineChart>
      <c:catAx>
        <c:axId val="19418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604160"/>
        <c:crosses val="autoZero"/>
        <c:auto val="1"/>
        <c:lblAlgn val="ctr"/>
        <c:lblOffset val="100"/>
        <c:noMultiLvlLbl val="0"/>
      </c:catAx>
      <c:valAx>
        <c:axId val="16960416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9418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[BPgraf4.xlsx]List1!$B$1</c:f>
              <c:strCache>
                <c:ptCount val="1"/>
                <c:pt idx="0">
                  <c:v>Ol. Kraj. </c:v>
                </c:pt>
              </c:strCache>
            </c:strRef>
          </c:tx>
          <c:marker>
            <c:symbol val="none"/>
          </c:marker>
          <c:cat>
            <c:numRef>
              <c:f>[BPgraf4.xlsx]List1!$A$2:$A$6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[BPgraf4.xlsx]List1!$B$2:$B$6</c:f>
              <c:numCache>
                <c:formatCode>#,##0.00\ "Kč"</c:formatCode>
                <c:ptCount val="5"/>
                <c:pt idx="0">
                  <c:v>43364</c:v>
                </c:pt>
                <c:pt idx="1">
                  <c:v>38990</c:v>
                </c:pt>
                <c:pt idx="2">
                  <c:v>38058</c:v>
                </c:pt>
                <c:pt idx="3">
                  <c:v>26495</c:v>
                </c:pt>
                <c:pt idx="4">
                  <c:v>19519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[BPgraf4.xlsx]List1!$C$1</c:f>
              <c:strCache>
                <c:ptCount val="1"/>
                <c:pt idx="0">
                  <c:v>St. Kraj</c:v>
                </c:pt>
              </c:strCache>
            </c:strRef>
          </c:tx>
          <c:marker>
            <c:symbol val="none"/>
          </c:marker>
          <c:cat>
            <c:numRef>
              <c:f>[BPgraf4.xlsx]List1!$A$2:$A$6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[BPgraf4.xlsx]List1!$C$2:$C$6</c:f>
              <c:numCache>
                <c:formatCode>#,##0.00\ "Kč"</c:formatCode>
                <c:ptCount val="5"/>
                <c:pt idx="0">
                  <c:v>61681</c:v>
                </c:pt>
                <c:pt idx="1">
                  <c:v>56674</c:v>
                </c:pt>
                <c:pt idx="2">
                  <c:v>48102</c:v>
                </c:pt>
                <c:pt idx="3">
                  <c:v>38966</c:v>
                </c:pt>
                <c:pt idx="4">
                  <c:v>29370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18816"/>
        <c:axId val="231286464"/>
      </c:lineChart>
      <c:catAx>
        <c:axId val="197218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231286464"/>
        <c:crosses val="autoZero"/>
        <c:auto val="1"/>
        <c:lblAlgn val="ctr"/>
        <c:lblOffset val="100"/>
        <c:noMultiLvlLbl val="0"/>
      </c:catAx>
      <c:valAx>
        <c:axId val="231286464"/>
        <c:scaling>
          <c:orientation val="minMax"/>
        </c:scaling>
        <c:delete val="0"/>
        <c:axPos val="l"/>
        <c:majorGridlines/>
        <c:numFmt formatCode="#,##0.00\ &quot;Kč&quot;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cs-CZ"/>
          </a:p>
        </c:txPr>
        <c:crossAx val="197218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Míra ekonomicky aktivních obyvatel Ol. k. v %</c:v>
                </c:pt>
              </c:strCache>
            </c:strRef>
          </c:tx>
          <c:marker>
            <c:symbol val="none"/>
          </c:marker>
          <c:cat>
            <c:numRef>
              <c:f>List1!$B$6:$F$6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List1!$B$7:$F$7</c:f>
              <c:numCache>
                <c:formatCode>General</c:formatCode>
                <c:ptCount val="5"/>
                <c:pt idx="0">
                  <c:v>67.55</c:v>
                </c:pt>
                <c:pt idx="1">
                  <c:v>66.849999999999994</c:v>
                </c:pt>
                <c:pt idx="2">
                  <c:v>66.17</c:v>
                </c:pt>
                <c:pt idx="3">
                  <c:v>65.45</c:v>
                </c:pt>
                <c:pt idx="4">
                  <c:v>64.81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List1!$A$8</c:f>
              <c:strCache>
                <c:ptCount val="1"/>
                <c:pt idx="0">
                  <c:v>Míra ekonomicky aktivních obyvatel Stř. k. v %</c:v>
                </c:pt>
              </c:strCache>
            </c:strRef>
          </c:tx>
          <c:marker>
            <c:symbol val="none"/>
          </c:marker>
          <c:cat>
            <c:numRef>
              <c:f>List1!$B$6:$F$6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List1!$B$8:$F$8</c:f>
              <c:numCache>
                <c:formatCode>General</c:formatCode>
                <c:ptCount val="5"/>
                <c:pt idx="0">
                  <c:v>67.239999999999995</c:v>
                </c:pt>
                <c:pt idx="1">
                  <c:v>66.5</c:v>
                </c:pt>
                <c:pt idx="2">
                  <c:v>65.819999999999993</c:v>
                </c:pt>
                <c:pt idx="3">
                  <c:v>65.16</c:v>
                </c:pt>
                <c:pt idx="4">
                  <c:v>64.569999999999993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184704"/>
        <c:axId val="231288192"/>
      </c:lineChart>
      <c:catAx>
        <c:axId val="19418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288192"/>
        <c:crosses val="autoZero"/>
        <c:auto val="1"/>
        <c:lblAlgn val="ctr"/>
        <c:lblOffset val="100"/>
        <c:noMultiLvlLbl val="0"/>
      </c:catAx>
      <c:valAx>
        <c:axId val="23128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184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C12E-DBCA-4FF6-B155-F4D5A38D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61</Pages>
  <Words>13773</Words>
  <Characters>75340</Characters>
  <Application>Microsoft Office Word</Application>
  <DocSecurity>0</DocSecurity>
  <Lines>2152</Lines>
  <Paragraphs>1255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Huťová</dc:creator>
  <cp:lastModifiedBy>Monika Huťová</cp:lastModifiedBy>
  <cp:revision>4</cp:revision>
  <cp:lastPrinted>2019-07-27T09:41:00Z</cp:lastPrinted>
  <dcterms:created xsi:type="dcterms:W3CDTF">2019-08-04T20:38:00Z</dcterms:created>
  <dcterms:modified xsi:type="dcterms:W3CDTF">2019-08-05T09:00:00Z</dcterms:modified>
</cp:coreProperties>
</file>