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649" w:rsidRDefault="00C50649" w:rsidP="00C50649">
      <w:pPr>
        <w:pStyle w:val="Nadpis3"/>
        <w:jc w:val="center"/>
      </w:pPr>
    </w:p>
    <w:p w:rsidR="00F04445" w:rsidRPr="00C50649" w:rsidRDefault="0017205D" w:rsidP="00C50649">
      <w:pPr>
        <w:pStyle w:val="Nadpis3"/>
        <w:jc w:val="center"/>
        <w:rPr>
          <w:sz w:val="32"/>
          <w:szCs w:val="32"/>
        </w:rPr>
      </w:pPr>
      <w:bookmarkStart w:id="0" w:name="_Toc446336392"/>
      <w:r w:rsidRPr="00C50649">
        <w:rPr>
          <w:sz w:val="32"/>
          <w:szCs w:val="32"/>
        </w:rPr>
        <w:t>Univerzita Palackého v Olomouci</w:t>
      </w:r>
      <w:bookmarkEnd w:id="0"/>
    </w:p>
    <w:p w:rsidR="0017205D" w:rsidRPr="00C50649" w:rsidRDefault="0017205D" w:rsidP="00C50649">
      <w:pPr>
        <w:jc w:val="center"/>
        <w:rPr>
          <w:b/>
          <w:sz w:val="32"/>
          <w:szCs w:val="32"/>
        </w:rPr>
      </w:pPr>
      <w:r w:rsidRPr="00C50649">
        <w:rPr>
          <w:b/>
          <w:sz w:val="32"/>
          <w:szCs w:val="32"/>
        </w:rPr>
        <w:t>Právnická fakulta</w:t>
      </w:r>
    </w:p>
    <w:p w:rsidR="0017205D" w:rsidRDefault="0017205D" w:rsidP="00C50649">
      <w:pPr>
        <w:jc w:val="center"/>
      </w:pPr>
    </w:p>
    <w:p w:rsidR="0017205D" w:rsidRDefault="0017205D" w:rsidP="00C50649">
      <w:pPr>
        <w:jc w:val="center"/>
      </w:pPr>
    </w:p>
    <w:p w:rsidR="0017205D" w:rsidRDefault="0017205D" w:rsidP="00C50649">
      <w:pPr>
        <w:jc w:val="center"/>
      </w:pPr>
    </w:p>
    <w:p w:rsidR="00C50649" w:rsidRDefault="00C50649" w:rsidP="00C50649">
      <w:pPr>
        <w:jc w:val="center"/>
      </w:pPr>
    </w:p>
    <w:p w:rsidR="00C50649" w:rsidRDefault="00C50649" w:rsidP="00C50649">
      <w:pPr>
        <w:jc w:val="center"/>
      </w:pPr>
    </w:p>
    <w:p w:rsidR="003F44B3" w:rsidRDefault="003F44B3" w:rsidP="003F44B3">
      <w:pPr>
        <w:jc w:val="center"/>
        <w:rPr>
          <w:b/>
          <w:sz w:val="32"/>
          <w:szCs w:val="32"/>
        </w:rPr>
      </w:pPr>
      <w:r>
        <w:rPr>
          <w:b/>
          <w:sz w:val="32"/>
          <w:szCs w:val="32"/>
        </w:rPr>
        <w:t>Martin Tomaštík</w:t>
      </w:r>
    </w:p>
    <w:p w:rsidR="003F44B3" w:rsidRDefault="003F44B3" w:rsidP="003F44B3">
      <w:pPr>
        <w:jc w:val="center"/>
        <w:rPr>
          <w:b/>
          <w:sz w:val="32"/>
          <w:szCs w:val="32"/>
        </w:rPr>
      </w:pPr>
    </w:p>
    <w:p w:rsidR="003F44B3" w:rsidRDefault="0017205D" w:rsidP="003F44B3">
      <w:pPr>
        <w:jc w:val="center"/>
        <w:rPr>
          <w:b/>
          <w:sz w:val="32"/>
          <w:szCs w:val="32"/>
        </w:rPr>
      </w:pPr>
      <w:r w:rsidRPr="00C50649">
        <w:rPr>
          <w:b/>
          <w:sz w:val="32"/>
          <w:szCs w:val="32"/>
        </w:rPr>
        <w:t>Účast veřejnosti na ochran</w:t>
      </w:r>
      <w:r w:rsidR="003F44B3">
        <w:rPr>
          <w:b/>
          <w:sz w:val="32"/>
          <w:szCs w:val="32"/>
        </w:rPr>
        <w:t xml:space="preserve">ě životního prostředí </w:t>
      </w:r>
    </w:p>
    <w:p w:rsidR="0017205D" w:rsidRPr="00C50649" w:rsidRDefault="003F44B3" w:rsidP="00C50649">
      <w:pPr>
        <w:jc w:val="center"/>
        <w:rPr>
          <w:b/>
          <w:sz w:val="32"/>
          <w:szCs w:val="32"/>
        </w:rPr>
      </w:pPr>
      <w:r>
        <w:rPr>
          <w:b/>
          <w:sz w:val="32"/>
          <w:szCs w:val="32"/>
        </w:rPr>
        <w:t>v právu Evropské unie</w:t>
      </w:r>
    </w:p>
    <w:p w:rsidR="003F44B3" w:rsidRDefault="003F44B3" w:rsidP="00C50649">
      <w:pPr>
        <w:jc w:val="center"/>
        <w:rPr>
          <w:sz w:val="32"/>
          <w:szCs w:val="32"/>
        </w:rPr>
      </w:pPr>
    </w:p>
    <w:p w:rsidR="0017205D" w:rsidRPr="00C50649" w:rsidRDefault="0017205D" w:rsidP="00C50649">
      <w:pPr>
        <w:jc w:val="center"/>
        <w:rPr>
          <w:sz w:val="32"/>
          <w:szCs w:val="32"/>
        </w:rPr>
      </w:pPr>
      <w:r w:rsidRPr="00C50649">
        <w:rPr>
          <w:sz w:val="32"/>
          <w:szCs w:val="32"/>
        </w:rPr>
        <w:t>Diplomová práce</w:t>
      </w:r>
    </w:p>
    <w:p w:rsidR="0017205D" w:rsidRDefault="0017205D" w:rsidP="0017205D"/>
    <w:p w:rsidR="0017205D" w:rsidRDefault="0017205D" w:rsidP="0017205D"/>
    <w:p w:rsidR="0017205D" w:rsidRDefault="0017205D" w:rsidP="0017205D"/>
    <w:p w:rsidR="0017205D" w:rsidRDefault="0017205D" w:rsidP="0017205D"/>
    <w:p w:rsidR="0017205D" w:rsidRDefault="0017205D" w:rsidP="0017205D"/>
    <w:p w:rsidR="00C50649" w:rsidRPr="00C50649" w:rsidRDefault="00C50649" w:rsidP="00C50649">
      <w:pPr>
        <w:jc w:val="center"/>
        <w:rPr>
          <w:b/>
          <w:sz w:val="32"/>
          <w:szCs w:val="32"/>
        </w:rPr>
      </w:pPr>
      <w:r w:rsidRPr="00C50649">
        <w:rPr>
          <w:b/>
          <w:sz w:val="32"/>
          <w:szCs w:val="32"/>
        </w:rPr>
        <w:t>Olomouc</w:t>
      </w:r>
    </w:p>
    <w:p w:rsidR="00C50649" w:rsidRPr="00995768" w:rsidRDefault="00995768" w:rsidP="00995768">
      <w:pPr>
        <w:spacing w:line="276" w:lineRule="auto"/>
        <w:jc w:val="center"/>
        <w:rPr>
          <w:b/>
          <w:sz w:val="32"/>
          <w:szCs w:val="32"/>
        </w:rPr>
      </w:pPr>
      <w:r w:rsidRPr="00995768">
        <w:rPr>
          <w:b/>
          <w:sz w:val="32"/>
          <w:szCs w:val="32"/>
        </w:rPr>
        <w:t>2016</w:t>
      </w:r>
    </w:p>
    <w:p w:rsidR="00C50649" w:rsidRDefault="00C50649">
      <w:pPr>
        <w:spacing w:line="276" w:lineRule="auto"/>
        <w:jc w:val="left"/>
      </w:pPr>
    </w:p>
    <w:p w:rsidR="00C50649" w:rsidRDefault="00C50649">
      <w:pPr>
        <w:spacing w:line="276" w:lineRule="auto"/>
        <w:jc w:val="left"/>
      </w:pPr>
    </w:p>
    <w:p w:rsidR="00C50649" w:rsidRDefault="00C50649">
      <w:pPr>
        <w:spacing w:line="276" w:lineRule="auto"/>
        <w:jc w:val="left"/>
      </w:pPr>
    </w:p>
    <w:p w:rsidR="00C50649" w:rsidRDefault="00C50649">
      <w:pPr>
        <w:spacing w:line="276" w:lineRule="auto"/>
        <w:jc w:val="left"/>
      </w:pPr>
    </w:p>
    <w:p w:rsidR="00C50649" w:rsidRDefault="00C50649">
      <w:pPr>
        <w:spacing w:line="276" w:lineRule="auto"/>
        <w:jc w:val="left"/>
      </w:pPr>
    </w:p>
    <w:p w:rsidR="00C50649" w:rsidRDefault="00C50649">
      <w:pPr>
        <w:spacing w:line="276" w:lineRule="auto"/>
        <w:jc w:val="left"/>
      </w:pPr>
    </w:p>
    <w:p w:rsidR="00C50649" w:rsidRDefault="00C50649">
      <w:pPr>
        <w:spacing w:line="276" w:lineRule="auto"/>
        <w:jc w:val="left"/>
      </w:pPr>
    </w:p>
    <w:p w:rsidR="00C50649" w:rsidRDefault="00C50649">
      <w:pPr>
        <w:spacing w:line="276" w:lineRule="auto"/>
        <w:jc w:val="left"/>
      </w:pPr>
    </w:p>
    <w:p w:rsidR="00C50649" w:rsidRDefault="00C50649">
      <w:pPr>
        <w:spacing w:line="276" w:lineRule="auto"/>
        <w:jc w:val="left"/>
      </w:pPr>
    </w:p>
    <w:p w:rsidR="00C50649" w:rsidRDefault="00C50649">
      <w:pPr>
        <w:spacing w:line="276" w:lineRule="auto"/>
        <w:jc w:val="left"/>
      </w:pPr>
    </w:p>
    <w:p w:rsidR="00C50649" w:rsidRDefault="00C50649">
      <w:pPr>
        <w:spacing w:line="276" w:lineRule="auto"/>
        <w:jc w:val="left"/>
      </w:pPr>
    </w:p>
    <w:p w:rsidR="00C50649" w:rsidRDefault="00C50649">
      <w:pPr>
        <w:spacing w:line="276" w:lineRule="auto"/>
        <w:jc w:val="left"/>
      </w:pPr>
    </w:p>
    <w:p w:rsidR="00C50649" w:rsidRDefault="00C50649">
      <w:pPr>
        <w:spacing w:line="276" w:lineRule="auto"/>
        <w:jc w:val="left"/>
      </w:pPr>
    </w:p>
    <w:p w:rsidR="00C50649" w:rsidRDefault="00C50649">
      <w:pPr>
        <w:spacing w:line="276" w:lineRule="auto"/>
        <w:jc w:val="left"/>
      </w:pPr>
    </w:p>
    <w:p w:rsidR="00C50649" w:rsidRDefault="00C50649">
      <w:pPr>
        <w:spacing w:line="276" w:lineRule="auto"/>
        <w:jc w:val="left"/>
      </w:pPr>
    </w:p>
    <w:p w:rsidR="00C50649" w:rsidRDefault="00C50649">
      <w:pPr>
        <w:spacing w:line="276" w:lineRule="auto"/>
        <w:jc w:val="left"/>
      </w:pPr>
    </w:p>
    <w:p w:rsidR="00C50649" w:rsidRDefault="00C50649">
      <w:pPr>
        <w:spacing w:line="276" w:lineRule="auto"/>
        <w:jc w:val="left"/>
      </w:pPr>
    </w:p>
    <w:p w:rsidR="00C50649" w:rsidRDefault="00C50649" w:rsidP="00C50649">
      <w:pPr>
        <w:autoSpaceDE w:val="0"/>
        <w:autoSpaceDN w:val="0"/>
        <w:adjustRightInd w:val="0"/>
        <w:spacing w:after="0" w:line="240" w:lineRule="auto"/>
        <w:rPr>
          <w:rFonts w:ascii="Garamond" w:hAnsi="Garamond" w:cs="Garamond"/>
          <w:szCs w:val="24"/>
        </w:rPr>
      </w:pPr>
      <w:r>
        <w:rPr>
          <w:rFonts w:ascii="Garamond" w:hAnsi="Garamond" w:cs="Garamond"/>
          <w:szCs w:val="24"/>
        </w:rPr>
        <w:t>Prohlašuji, že jsem diplomovou práci na téma Účast veřejnosti na ochraně životního prostředí v právu EU vypracoval samostatně a citoval jsem všechny použité zdroje.</w:t>
      </w:r>
    </w:p>
    <w:p w:rsidR="00C50649" w:rsidRDefault="00C50649" w:rsidP="00C50649">
      <w:pPr>
        <w:spacing w:line="276" w:lineRule="auto"/>
        <w:rPr>
          <w:rFonts w:ascii="Garamond" w:hAnsi="Garamond" w:cs="Garamond"/>
          <w:szCs w:val="24"/>
        </w:rPr>
      </w:pPr>
    </w:p>
    <w:p w:rsidR="00C50649" w:rsidRDefault="00C50649" w:rsidP="00C50649">
      <w:pPr>
        <w:spacing w:line="276" w:lineRule="auto"/>
        <w:rPr>
          <w:rFonts w:ascii="Garamond" w:hAnsi="Garamond" w:cs="Garamond"/>
          <w:szCs w:val="24"/>
        </w:rPr>
      </w:pPr>
    </w:p>
    <w:p w:rsidR="00C50649" w:rsidRDefault="00C50649" w:rsidP="00C50649">
      <w:pPr>
        <w:spacing w:line="276" w:lineRule="auto"/>
        <w:rPr>
          <w:rFonts w:ascii="Garamond" w:hAnsi="Garamond" w:cs="Garamond"/>
          <w:szCs w:val="24"/>
        </w:rPr>
      </w:pPr>
      <w:r>
        <w:rPr>
          <w:rFonts w:ascii="Garamond" w:hAnsi="Garamond" w:cs="Garamond"/>
          <w:szCs w:val="24"/>
        </w:rPr>
        <w:t xml:space="preserve">V Olomouci dne  </w:t>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t xml:space="preserve">     </w:t>
      </w:r>
    </w:p>
    <w:p w:rsidR="00116567" w:rsidRDefault="00116567" w:rsidP="00C50649">
      <w:pPr>
        <w:spacing w:line="276" w:lineRule="auto"/>
        <w:rPr>
          <w:rFonts w:ascii="Garamond" w:hAnsi="Garamond" w:cs="Garamond"/>
          <w:szCs w:val="24"/>
        </w:rPr>
      </w:pPr>
    </w:p>
    <w:p w:rsidR="00C50649" w:rsidRDefault="00C50649" w:rsidP="00C50649">
      <w:pPr>
        <w:spacing w:line="276" w:lineRule="auto"/>
        <w:ind w:left="5664" w:firstLine="708"/>
        <w:rPr>
          <w:rFonts w:ascii="Garamond" w:hAnsi="Garamond" w:cs="Garamond"/>
          <w:szCs w:val="24"/>
        </w:rPr>
      </w:pPr>
      <w:r>
        <w:rPr>
          <w:rFonts w:ascii="Garamond" w:hAnsi="Garamond" w:cs="Garamond"/>
          <w:szCs w:val="24"/>
        </w:rPr>
        <w:t xml:space="preserve">       …………………….</w:t>
      </w:r>
    </w:p>
    <w:p w:rsidR="006A0E0D" w:rsidRDefault="00C50649" w:rsidP="00C50649">
      <w:pPr>
        <w:spacing w:line="276" w:lineRule="auto"/>
        <w:rPr>
          <w:rFonts w:ascii="Garamond" w:hAnsi="Garamond" w:cs="Garamond"/>
          <w:szCs w:val="24"/>
        </w:rPr>
      </w:pP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t>Martin Tomaštík</w:t>
      </w:r>
    </w:p>
    <w:p w:rsidR="006A0E0D" w:rsidRDefault="006A0E0D" w:rsidP="006A0E0D">
      <w:r>
        <w:br w:type="page"/>
      </w:r>
    </w:p>
    <w:p w:rsidR="006A0E0D" w:rsidRDefault="006A0E0D" w:rsidP="006A0E0D">
      <w:pPr>
        <w:pStyle w:val="Nadpis1"/>
      </w:pPr>
      <w:bookmarkStart w:id="1" w:name="_Toc446336393"/>
      <w:r>
        <w:lastRenderedPageBreak/>
        <w:t>Abstrakt</w:t>
      </w:r>
      <w:bookmarkEnd w:id="1"/>
    </w:p>
    <w:p w:rsidR="006A0E0D" w:rsidRDefault="006A0E0D" w:rsidP="006A0E0D">
      <w:pPr>
        <w:ind w:firstLine="708"/>
      </w:pPr>
      <w:r>
        <w:t xml:space="preserve">Práce se zabývá účastí veřejnosti na ochraně životního prostředí v právu Evropské unie, konkrétně na úrovni orgánů Evropské unie v rámci přímého výkonu evropské správy. Hlavním cílem </w:t>
      </w:r>
      <w:r w:rsidR="00CD3813">
        <w:t xml:space="preserve">této </w:t>
      </w:r>
      <w:r>
        <w:t>práce je zjistit, jestli evropské právo zaručuje takovou úroveň účasti veřejnosti, jakou požaduje Aarhuská úmluva</w:t>
      </w:r>
      <w:r w:rsidR="00CD3813">
        <w:t>,</w:t>
      </w:r>
      <w:r>
        <w:t xml:space="preserve"> jejíž je Evropská unie signatářem. </w:t>
      </w:r>
    </w:p>
    <w:p w:rsidR="006A0E0D" w:rsidRDefault="006A0E0D" w:rsidP="006A0E0D">
      <w:pPr>
        <w:ind w:firstLine="708"/>
      </w:pPr>
      <w:r>
        <w:t>V práci jsou systematicky zkoumány tři pilíře účasti veřejnosti a jejich ukotvení v evropském právu. Pomocí metody komparace je nejdřív</w:t>
      </w:r>
      <w:r w:rsidR="00CD3813">
        <w:t>e</w:t>
      </w:r>
      <w:r>
        <w:t xml:space="preserve"> porovnána úprava institutu dle Aarhuské úmluvy a dle evropského práva. Sporné instituty jsou zkoumány metodou analýzy rozhodnutí Soudního dvora a Výboru pro dodržování Aarhuské úmluvy. Následně je metodou abstrakce hledáno řešení. </w:t>
      </w:r>
    </w:p>
    <w:p w:rsidR="006A0E0D" w:rsidRDefault="006A0E0D" w:rsidP="006A0E0D">
      <w:pPr>
        <w:ind w:firstLine="708"/>
      </w:pPr>
      <w:r>
        <w:t>Závěrem práce je, že s výjimkou přístupu k</w:t>
      </w:r>
      <w:r w:rsidR="007508DA">
        <w:t> soudní ochraně</w:t>
      </w:r>
      <w:r>
        <w:t xml:space="preserve"> odpovídá evropské právo požadavkům Aarhuské úmluvy. Existují oblasti, kde evropská právní úprava výrazně překračuje tyto požadavky. Zároveň je možno pozorovat trend rozšiřování možností pro účast veřejnosti. V tomto ohledu je výjimkou přístup k soudní ochraně, kde zatím nelze pozorovat posun směrem k zajištění ochrany práv dle požadavků Aarhuské úmluvy. </w:t>
      </w:r>
    </w:p>
    <w:p w:rsidR="00B15876" w:rsidRDefault="00B15876" w:rsidP="00D6027B">
      <w:pPr>
        <w:rPr>
          <w:b/>
          <w:sz w:val="32"/>
          <w:szCs w:val="32"/>
          <w:lang w:val="en-US"/>
        </w:rPr>
      </w:pPr>
    </w:p>
    <w:p w:rsidR="00D6027B" w:rsidRPr="00D6027B" w:rsidRDefault="00D6027B" w:rsidP="00D6027B">
      <w:pPr>
        <w:rPr>
          <w:b/>
          <w:sz w:val="32"/>
          <w:szCs w:val="32"/>
          <w:lang w:val="en-US"/>
        </w:rPr>
      </w:pPr>
      <w:r w:rsidRPr="00D6027B">
        <w:rPr>
          <w:b/>
          <w:sz w:val="32"/>
          <w:szCs w:val="32"/>
          <w:lang w:val="en-US"/>
        </w:rPr>
        <w:t xml:space="preserve">Summary </w:t>
      </w:r>
    </w:p>
    <w:p w:rsidR="00032840" w:rsidRPr="00DE1F57" w:rsidRDefault="00423F13" w:rsidP="006A0E0D">
      <w:pPr>
        <w:ind w:firstLine="708"/>
        <w:rPr>
          <w:lang w:val="en-US"/>
        </w:rPr>
      </w:pPr>
      <w:r w:rsidRPr="00DE1F57">
        <w:rPr>
          <w:lang w:val="en-US"/>
        </w:rPr>
        <w:t xml:space="preserve">The thesis deals with </w:t>
      </w:r>
      <w:r w:rsidR="00CD3813">
        <w:rPr>
          <w:lang w:val="en-US"/>
        </w:rPr>
        <w:t xml:space="preserve">a </w:t>
      </w:r>
      <w:r w:rsidRPr="00DE1F57">
        <w:rPr>
          <w:lang w:val="en-US"/>
        </w:rPr>
        <w:t>public participation in</w:t>
      </w:r>
      <w:r w:rsidR="00CD3813">
        <w:rPr>
          <w:lang w:val="en-US"/>
        </w:rPr>
        <w:t xml:space="preserve"> an</w:t>
      </w:r>
      <w:r w:rsidRPr="00DE1F57">
        <w:rPr>
          <w:lang w:val="en-US"/>
        </w:rPr>
        <w:t xml:space="preserve"> environme</w:t>
      </w:r>
      <w:r w:rsidR="00DE1F57">
        <w:rPr>
          <w:lang w:val="en-US"/>
        </w:rPr>
        <w:t>n</w:t>
      </w:r>
      <w:r w:rsidRPr="00DE1F57">
        <w:rPr>
          <w:lang w:val="en-US"/>
        </w:rPr>
        <w:t xml:space="preserve">tal protection in </w:t>
      </w:r>
      <w:r w:rsidR="002E0D9A">
        <w:rPr>
          <w:lang w:val="en-US"/>
        </w:rPr>
        <w:t xml:space="preserve">the </w:t>
      </w:r>
      <w:r w:rsidRPr="00DE1F57">
        <w:rPr>
          <w:lang w:val="en-US"/>
        </w:rPr>
        <w:t xml:space="preserve">EU law, in particular on </w:t>
      </w:r>
      <w:r w:rsidR="002E0D9A">
        <w:rPr>
          <w:lang w:val="en-US"/>
        </w:rPr>
        <w:t xml:space="preserve">the </w:t>
      </w:r>
      <w:r w:rsidRPr="00DE1F57">
        <w:rPr>
          <w:lang w:val="en-US"/>
        </w:rPr>
        <w:t xml:space="preserve">level of EU </w:t>
      </w:r>
      <w:r w:rsidR="00DE1F57">
        <w:rPr>
          <w:lang w:val="en-US"/>
        </w:rPr>
        <w:t xml:space="preserve">bodies in </w:t>
      </w:r>
      <w:r w:rsidR="00493303">
        <w:rPr>
          <w:lang w:val="en-US"/>
        </w:rPr>
        <w:t>direct</w:t>
      </w:r>
      <w:r w:rsidR="00DE1F57">
        <w:rPr>
          <w:lang w:val="en-US"/>
        </w:rPr>
        <w:t xml:space="preserve"> execution of E</w:t>
      </w:r>
      <w:r w:rsidRPr="00DE1F57">
        <w:rPr>
          <w:lang w:val="en-US"/>
        </w:rPr>
        <w:t>urope</w:t>
      </w:r>
      <w:r w:rsidR="00DE1F57">
        <w:rPr>
          <w:lang w:val="en-US"/>
        </w:rPr>
        <w:t>a</w:t>
      </w:r>
      <w:r w:rsidRPr="00DE1F57">
        <w:rPr>
          <w:lang w:val="en-US"/>
        </w:rPr>
        <w:t xml:space="preserve">n governance. The main task of </w:t>
      </w:r>
      <w:r w:rsidR="00DE1F57">
        <w:rPr>
          <w:lang w:val="en-US"/>
        </w:rPr>
        <w:t>this thesis is to find whether E</w:t>
      </w:r>
      <w:r w:rsidRPr="00DE1F57">
        <w:rPr>
          <w:lang w:val="en-US"/>
        </w:rPr>
        <w:t xml:space="preserve">uropean law </w:t>
      </w:r>
      <w:r w:rsidR="00032840" w:rsidRPr="00DE1F57">
        <w:rPr>
          <w:lang w:val="en-US"/>
        </w:rPr>
        <w:t>ensures such level of pub</w:t>
      </w:r>
      <w:r w:rsidR="00DE1F57">
        <w:rPr>
          <w:lang w:val="en-US"/>
        </w:rPr>
        <w:t>lic participation which is forese</w:t>
      </w:r>
      <w:r w:rsidR="00032840" w:rsidRPr="00DE1F57">
        <w:rPr>
          <w:lang w:val="en-US"/>
        </w:rPr>
        <w:t>en by Aarhus convention, to which Europe</w:t>
      </w:r>
      <w:r w:rsidR="00DE1F57">
        <w:rPr>
          <w:lang w:val="en-US"/>
        </w:rPr>
        <w:t>a</w:t>
      </w:r>
      <w:r w:rsidR="00EC72BA">
        <w:rPr>
          <w:lang w:val="en-US"/>
        </w:rPr>
        <w:t>n U</w:t>
      </w:r>
      <w:r w:rsidR="00032840" w:rsidRPr="00DE1F57">
        <w:rPr>
          <w:lang w:val="en-US"/>
        </w:rPr>
        <w:t>nion is</w:t>
      </w:r>
      <w:r w:rsidR="001C00D5">
        <w:rPr>
          <w:lang w:val="en-US"/>
        </w:rPr>
        <w:t xml:space="preserve"> a</w:t>
      </w:r>
      <w:r w:rsidR="00032840" w:rsidRPr="00DE1F57">
        <w:rPr>
          <w:lang w:val="en-US"/>
        </w:rPr>
        <w:t xml:space="preserve"> signatory party. </w:t>
      </w:r>
    </w:p>
    <w:p w:rsidR="000D482A" w:rsidRDefault="00032840" w:rsidP="006A0E0D">
      <w:pPr>
        <w:ind w:firstLine="708"/>
        <w:rPr>
          <w:lang w:val="en-US"/>
        </w:rPr>
      </w:pPr>
      <w:r w:rsidRPr="00DE1F57">
        <w:rPr>
          <w:lang w:val="en-US"/>
        </w:rPr>
        <w:t>In the thesis</w:t>
      </w:r>
      <w:r w:rsidR="004E5616" w:rsidRPr="00DE1F57">
        <w:rPr>
          <w:lang w:val="en-US"/>
        </w:rPr>
        <w:t xml:space="preserve"> the</w:t>
      </w:r>
      <w:r w:rsidRPr="00DE1F57">
        <w:rPr>
          <w:lang w:val="en-US"/>
        </w:rPr>
        <w:t xml:space="preserve"> three pilla</w:t>
      </w:r>
      <w:r w:rsidR="00DE1F57">
        <w:rPr>
          <w:lang w:val="en-US"/>
        </w:rPr>
        <w:t>rs</w:t>
      </w:r>
      <w:r w:rsidRPr="00DE1F57">
        <w:rPr>
          <w:lang w:val="en-US"/>
        </w:rPr>
        <w:t xml:space="preserve"> of </w:t>
      </w:r>
      <w:r w:rsidR="002E0D9A">
        <w:rPr>
          <w:lang w:val="en-US"/>
        </w:rPr>
        <w:t xml:space="preserve">the </w:t>
      </w:r>
      <w:r w:rsidRPr="00DE1F57">
        <w:rPr>
          <w:lang w:val="en-US"/>
        </w:rPr>
        <w:t xml:space="preserve">public participation </w:t>
      </w:r>
      <w:r w:rsidR="00C5174A">
        <w:rPr>
          <w:lang w:val="en-US"/>
        </w:rPr>
        <w:t xml:space="preserve">and their codification in </w:t>
      </w:r>
      <w:r w:rsidR="002E0D9A">
        <w:rPr>
          <w:lang w:val="en-US"/>
        </w:rPr>
        <w:t xml:space="preserve">the </w:t>
      </w:r>
      <w:r w:rsidR="00C5174A">
        <w:rPr>
          <w:lang w:val="en-US"/>
        </w:rPr>
        <w:t xml:space="preserve">European law </w:t>
      </w:r>
      <w:r w:rsidRPr="00DE1F57">
        <w:rPr>
          <w:lang w:val="en-US"/>
        </w:rPr>
        <w:t xml:space="preserve">are </w:t>
      </w:r>
      <w:r w:rsidR="00DE1F57" w:rsidRPr="00DE1F57">
        <w:rPr>
          <w:lang w:val="en-US"/>
        </w:rPr>
        <w:t>systematically</w:t>
      </w:r>
      <w:r w:rsidR="00C5174A">
        <w:rPr>
          <w:lang w:val="en-US"/>
        </w:rPr>
        <w:t xml:space="preserve"> reviewed. </w:t>
      </w:r>
      <w:r w:rsidR="002E0D9A">
        <w:rPr>
          <w:lang w:val="en-US"/>
        </w:rPr>
        <w:t>Using</w:t>
      </w:r>
      <w:r w:rsidR="00C5174A">
        <w:rPr>
          <w:lang w:val="en-US"/>
        </w:rPr>
        <w:t xml:space="preserve"> meth</w:t>
      </w:r>
      <w:r w:rsidR="002E0D9A">
        <w:rPr>
          <w:lang w:val="en-US"/>
        </w:rPr>
        <w:t>od of comparis</w:t>
      </w:r>
      <w:r w:rsidR="00C5174A">
        <w:rPr>
          <w:lang w:val="en-US"/>
        </w:rPr>
        <w:t>on</w:t>
      </w:r>
      <w:r w:rsidR="002E0D9A">
        <w:rPr>
          <w:lang w:val="en-US"/>
        </w:rPr>
        <w:t xml:space="preserve"> the</w:t>
      </w:r>
      <w:r w:rsidR="007A6390">
        <w:rPr>
          <w:lang w:val="en-US"/>
        </w:rPr>
        <w:t xml:space="preserve"> legal regulation in Aarhus convention </w:t>
      </w:r>
      <w:r w:rsidR="00F84541">
        <w:rPr>
          <w:lang w:val="en-US"/>
        </w:rPr>
        <w:t>and</w:t>
      </w:r>
      <w:r w:rsidR="007A6390">
        <w:rPr>
          <w:lang w:val="en-US"/>
        </w:rPr>
        <w:t xml:space="preserve"> European law is compared</w:t>
      </w:r>
      <w:r w:rsidR="00110F5C">
        <w:rPr>
          <w:lang w:val="en-US"/>
        </w:rPr>
        <w:t xml:space="preserve">. </w:t>
      </w:r>
      <w:r w:rsidR="002E0D9A">
        <w:rPr>
          <w:lang w:val="en-US"/>
        </w:rPr>
        <w:t xml:space="preserve">The </w:t>
      </w:r>
      <w:r w:rsidR="00110F5C">
        <w:rPr>
          <w:lang w:val="en-US"/>
        </w:rPr>
        <w:t xml:space="preserve">problematic parts are reviewed by method of analysis of </w:t>
      </w:r>
      <w:r w:rsidR="002E0D9A">
        <w:rPr>
          <w:lang w:val="en-US"/>
        </w:rPr>
        <w:t xml:space="preserve">the </w:t>
      </w:r>
      <w:r w:rsidR="00110F5C">
        <w:rPr>
          <w:lang w:val="en-US"/>
        </w:rPr>
        <w:t>Court of justice and Aarhus compliance committee</w:t>
      </w:r>
      <w:r w:rsidR="008D3452">
        <w:rPr>
          <w:lang w:val="en-US"/>
        </w:rPr>
        <w:t xml:space="preserve"> rulings. </w:t>
      </w:r>
      <w:r w:rsidR="00B713D4">
        <w:rPr>
          <w:lang w:val="en-US"/>
        </w:rPr>
        <w:t xml:space="preserve">Afterwards </w:t>
      </w:r>
      <w:r w:rsidR="002E0D9A">
        <w:rPr>
          <w:lang w:val="en-US"/>
        </w:rPr>
        <w:t>using the</w:t>
      </w:r>
      <w:r w:rsidR="00B713D4">
        <w:rPr>
          <w:lang w:val="en-US"/>
        </w:rPr>
        <w:t xml:space="preserve"> method of abstraction the general conclusion is sought.</w:t>
      </w:r>
    </w:p>
    <w:p w:rsidR="006A0E0D" w:rsidRDefault="000D482A" w:rsidP="006A0E0D">
      <w:pPr>
        <w:ind w:firstLine="708"/>
      </w:pPr>
      <w:r>
        <w:rPr>
          <w:lang w:val="en-US"/>
        </w:rPr>
        <w:t xml:space="preserve">The conclusion of the thesis is that </w:t>
      </w:r>
      <w:r w:rsidR="007508DA">
        <w:rPr>
          <w:lang w:val="en-US"/>
        </w:rPr>
        <w:t xml:space="preserve">European law is in compliance with Aarhus convention </w:t>
      </w:r>
      <w:r>
        <w:rPr>
          <w:lang w:val="en-US"/>
        </w:rPr>
        <w:t xml:space="preserve">with exception of </w:t>
      </w:r>
      <w:r w:rsidR="007508DA">
        <w:rPr>
          <w:lang w:val="en-US"/>
        </w:rPr>
        <w:t xml:space="preserve">access to court. There are </w:t>
      </w:r>
      <w:r w:rsidR="00B15876">
        <w:rPr>
          <w:lang w:val="en-US"/>
        </w:rPr>
        <w:t>parts</w:t>
      </w:r>
      <w:r w:rsidR="007508DA">
        <w:rPr>
          <w:lang w:val="en-US"/>
        </w:rPr>
        <w:t xml:space="preserve"> where the European legal </w:t>
      </w:r>
      <w:r w:rsidR="002A2921">
        <w:rPr>
          <w:lang w:val="en-US"/>
        </w:rPr>
        <w:lastRenderedPageBreak/>
        <w:t>regulation</w:t>
      </w:r>
      <w:r w:rsidR="007508DA">
        <w:rPr>
          <w:lang w:val="en-US"/>
        </w:rPr>
        <w:t xml:space="preserve"> </w:t>
      </w:r>
      <w:r w:rsidR="002A2921">
        <w:rPr>
          <w:lang w:val="en-US"/>
        </w:rPr>
        <w:t>of public participation exceeds the Aarhus convention. Also there is</w:t>
      </w:r>
      <w:r w:rsidR="00B15876">
        <w:rPr>
          <w:lang w:val="en-US"/>
        </w:rPr>
        <w:t xml:space="preserve"> a</w:t>
      </w:r>
      <w:r w:rsidR="002A2921">
        <w:rPr>
          <w:lang w:val="en-US"/>
        </w:rPr>
        <w:t xml:space="preserve"> trend to extend </w:t>
      </w:r>
      <w:r w:rsidR="00B15876">
        <w:rPr>
          <w:lang w:val="en-US"/>
        </w:rPr>
        <w:t xml:space="preserve">the </w:t>
      </w:r>
      <w:r w:rsidR="002A2921">
        <w:rPr>
          <w:lang w:val="en-US"/>
        </w:rPr>
        <w:t>possibilities for public participation.</w:t>
      </w:r>
      <w:r w:rsidR="0068413E">
        <w:rPr>
          <w:lang w:val="en-US"/>
        </w:rPr>
        <w:t xml:space="preserve"> The only exception is </w:t>
      </w:r>
      <w:r w:rsidR="00B15876">
        <w:rPr>
          <w:lang w:val="en-US"/>
        </w:rPr>
        <w:t xml:space="preserve">an </w:t>
      </w:r>
      <w:r w:rsidR="0068413E">
        <w:rPr>
          <w:lang w:val="en-US"/>
        </w:rPr>
        <w:t xml:space="preserve">access to court where </w:t>
      </w:r>
      <w:r w:rsidR="00B15876">
        <w:rPr>
          <w:lang w:val="en-US"/>
        </w:rPr>
        <w:t>there is no</w:t>
      </w:r>
      <w:r w:rsidR="0068413E">
        <w:rPr>
          <w:lang w:val="en-US"/>
        </w:rPr>
        <w:t xml:space="preserve"> movement towards ensuring the protection of rights according to Aarhus convention.</w:t>
      </w:r>
      <w:r w:rsidR="00B713D4">
        <w:rPr>
          <w:lang w:val="en-US"/>
        </w:rPr>
        <w:t xml:space="preserve"> </w:t>
      </w:r>
      <w:r w:rsidR="00110F5C">
        <w:rPr>
          <w:lang w:val="en-US"/>
        </w:rPr>
        <w:t xml:space="preserve">   </w:t>
      </w:r>
      <w:r w:rsidR="003810D0">
        <w:rPr>
          <w:lang w:val="en-US"/>
        </w:rPr>
        <w:t xml:space="preserve"> </w:t>
      </w:r>
      <w:r w:rsidR="006A0E0D">
        <w:br w:type="page"/>
      </w:r>
    </w:p>
    <w:p w:rsidR="006A0E0D" w:rsidRPr="00073EBF" w:rsidRDefault="006A0E0D" w:rsidP="006A0E0D">
      <w:pPr>
        <w:pStyle w:val="Nadpis1"/>
      </w:pPr>
      <w:bookmarkStart w:id="2" w:name="_Toc446336394"/>
      <w:r>
        <w:lastRenderedPageBreak/>
        <w:t>Klíčová slova</w:t>
      </w:r>
      <w:bookmarkEnd w:id="2"/>
    </w:p>
    <w:p w:rsidR="006A0E0D" w:rsidRDefault="006A0E0D" w:rsidP="006A0E0D">
      <w:r>
        <w:t>Účast veřejnosti, Aarhuská úmluva, Evropské právo, právo na informace, účast na rozhodování, přístup k právní ochraně, Soudní dvůr, Výbor pro dodržování Aarhuské úmluvy, právo životního prostředí</w:t>
      </w:r>
    </w:p>
    <w:p w:rsidR="006A0E0D" w:rsidRDefault="006A0E0D" w:rsidP="006A0E0D">
      <w:pPr>
        <w:spacing w:line="276" w:lineRule="auto"/>
      </w:pPr>
    </w:p>
    <w:p w:rsidR="006A0E0D" w:rsidRPr="006D4255" w:rsidRDefault="006A0E0D" w:rsidP="006A0E0D">
      <w:pPr>
        <w:spacing w:line="276" w:lineRule="auto"/>
        <w:rPr>
          <w:b/>
          <w:sz w:val="32"/>
          <w:szCs w:val="32"/>
          <w:lang w:val="en-US"/>
        </w:rPr>
      </w:pPr>
      <w:r w:rsidRPr="006D4255">
        <w:rPr>
          <w:b/>
          <w:sz w:val="32"/>
          <w:szCs w:val="32"/>
          <w:lang w:val="en-US"/>
        </w:rPr>
        <w:t>Key words</w:t>
      </w:r>
    </w:p>
    <w:p w:rsidR="006A0E0D" w:rsidRPr="006D4255" w:rsidRDefault="006A0E0D" w:rsidP="006A0E0D">
      <w:pPr>
        <w:rPr>
          <w:lang w:val="en-US"/>
        </w:rPr>
      </w:pPr>
      <w:r w:rsidRPr="006D4255">
        <w:rPr>
          <w:lang w:val="en-US"/>
        </w:rPr>
        <w:t>Public par</w:t>
      </w:r>
      <w:r>
        <w:rPr>
          <w:lang w:val="en-US"/>
        </w:rPr>
        <w:t>ticipation, Aarhus convention, E</w:t>
      </w:r>
      <w:r w:rsidRPr="006D4255">
        <w:rPr>
          <w:lang w:val="en-US"/>
        </w:rPr>
        <w:t>uropean law, right for inf</w:t>
      </w:r>
      <w:r>
        <w:rPr>
          <w:lang w:val="en-US"/>
        </w:rPr>
        <w:t>ormation, participation on decis</w:t>
      </w:r>
      <w:r w:rsidRPr="006D4255">
        <w:rPr>
          <w:lang w:val="en-US"/>
        </w:rPr>
        <w:t>ion procedures, access to justice</w:t>
      </w:r>
      <w:r>
        <w:rPr>
          <w:lang w:val="en-US"/>
        </w:rPr>
        <w:t xml:space="preserve">, Court of justice, Aarhus compliance committee, environmental law  </w:t>
      </w:r>
    </w:p>
    <w:p w:rsidR="00C50649" w:rsidRDefault="00C50649" w:rsidP="00C50649">
      <w:pPr>
        <w:spacing w:line="276" w:lineRule="auto"/>
        <w:rPr>
          <w:rFonts w:ascii="Garamond" w:hAnsi="Garamond" w:cs="Garamond"/>
          <w:szCs w:val="24"/>
        </w:rPr>
      </w:pPr>
    </w:p>
    <w:p w:rsidR="00C50649" w:rsidRDefault="00C50649">
      <w:pPr>
        <w:spacing w:line="276" w:lineRule="auto"/>
        <w:jc w:val="left"/>
        <w:rPr>
          <w:rFonts w:ascii="Garamond" w:hAnsi="Garamond" w:cs="Garamond"/>
          <w:szCs w:val="24"/>
        </w:rPr>
      </w:pPr>
      <w:r>
        <w:rPr>
          <w:rFonts w:ascii="Garamond" w:hAnsi="Garamond" w:cs="Garamond"/>
          <w:szCs w:val="24"/>
        </w:rPr>
        <w:br w:type="page"/>
      </w:r>
    </w:p>
    <w:p w:rsidR="00C50649" w:rsidRDefault="00C50649" w:rsidP="00C50649">
      <w:pPr>
        <w:spacing w:line="276" w:lineRule="auto"/>
        <w:rPr>
          <w:rFonts w:ascii="Garamond" w:hAnsi="Garamond" w:cs="Garamond"/>
          <w:szCs w:val="24"/>
        </w:rPr>
      </w:pPr>
    </w:p>
    <w:p w:rsidR="00C50649" w:rsidRDefault="00C50649" w:rsidP="00C50649">
      <w:pPr>
        <w:spacing w:line="276" w:lineRule="auto"/>
        <w:rPr>
          <w:rFonts w:ascii="Garamond" w:hAnsi="Garamond" w:cs="Garamond"/>
          <w:szCs w:val="24"/>
        </w:rPr>
      </w:pPr>
    </w:p>
    <w:p w:rsidR="00C50649" w:rsidRDefault="00C50649" w:rsidP="00C50649">
      <w:pPr>
        <w:spacing w:line="276" w:lineRule="auto"/>
        <w:rPr>
          <w:rFonts w:ascii="Garamond" w:hAnsi="Garamond" w:cs="Garamond"/>
          <w:szCs w:val="24"/>
        </w:rPr>
      </w:pPr>
    </w:p>
    <w:p w:rsidR="00C50649" w:rsidRDefault="00C50649" w:rsidP="00C50649">
      <w:pPr>
        <w:spacing w:line="276" w:lineRule="auto"/>
        <w:rPr>
          <w:rFonts w:ascii="Garamond" w:hAnsi="Garamond" w:cs="Garamond"/>
          <w:szCs w:val="24"/>
        </w:rPr>
      </w:pPr>
    </w:p>
    <w:p w:rsidR="00C50649" w:rsidRDefault="00C50649" w:rsidP="00C50649">
      <w:pPr>
        <w:spacing w:line="276" w:lineRule="auto"/>
        <w:rPr>
          <w:rFonts w:ascii="Garamond" w:hAnsi="Garamond" w:cs="Garamond"/>
          <w:szCs w:val="24"/>
        </w:rPr>
      </w:pPr>
    </w:p>
    <w:p w:rsidR="00C50649" w:rsidRDefault="00C50649" w:rsidP="00C50649">
      <w:pPr>
        <w:spacing w:line="276" w:lineRule="auto"/>
        <w:rPr>
          <w:rFonts w:ascii="Garamond" w:hAnsi="Garamond" w:cs="Garamond"/>
          <w:szCs w:val="24"/>
        </w:rPr>
      </w:pPr>
    </w:p>
    <w:p w:rsidR="00C50649" w:rsidRDefault="00C50649" w:rsidP="00C50649">
      <w:pPr>
        <w:spacing w:line="276" w:lineRule="auto"/>
        <w:rPr>
          <w:rFonts w:ascii="Garamond" w:hAnsi="Garamond" w:cs="Garamond"/>
          <w:szCs w:val="24"/>
        </w:rPr>
      </w:pPr>
    </w:p>
    <w:p w:rsidR="00C50649" w:rsidRDefault="00C50649" w:rsidP="00C50649">
      <w:pPr>
        <w:spacing w:line="276" w:lineRule="auto"/>
        <w:rPr>
          <w:rFonts w:ascii="Garamond" w:hAnsi="Garamond" w:cs="Garamond"/>
          <w:szCs w:val="24"/>
        </w:rPr>
      </w:pPr>
    </w:p>
    <w:p w:rsidR="00C50649" w:rsidRDefault="00C50649" w:rsidP="00C50649">
      <w:pPr>
        <w:spacing w:line="276" w:lineRule="auto"/>
        <w:rPr>
          <w:rFonts w:ascii="Garamond" w:hAnsi="Garamond" w:cs="Garamond"/>
          <w:szCs w:val="24"/>
        </w:rPr>
      </w:pPr>
    </w:p>
    <w:p w:rsidR="00C50649" w:rsidRDefault="00C50649" w:rsidP="00C50649">
      <w:pPr>
        <w:spacing w:line="276" w:lineRule="auto"/>
        <w:rPr>
          <w:rFonts w:ascii="Garamond" w:hAnsi="Garamond" w:cs="Garamond"/>
          <w:szCs w:val="24"/>
        </w:rPr>
      </w:pPr>
    </w:p>
    <w:p w:rsidR="00C50649" w:rsidRDefault="00C50649" w:rsidP="00C50649">
      <w:pPr>
        <w:spacing w:line="276" w:lineRule="auto"/>
        <w:rPr>
          <w:rFonts w:ascii="Garamond" w:hAnsi="Garamond" w:cs="Garamond"/>
          <w:szCs w:val="24"/>
        </w:rPr>
      </w:pPr>
    </w:p>
    <w:p w:rsidR="00C50649" w:rsidRDefault="00C50649" w:rsidP="00C50649">
      <w:pPr>
        <w:spacing w:line="276" w:lineRule="auto"/>
        <w:rPr>
          <w:rFonts w:ascii="Garamond" w:hAnsi="Garamond" w:cs="Garamond"/>
          <w:szCs w:val="24"/>
        </w:rPr>
      </w:pPr>
    </w:p>
    <w:p w:rsidR="00C50649" w:rsidRDefault="00C50649" w:rsidP="00C50649">
      <w:pPr>
        <w:spacing w:line="276" w:lineRule="auto"/>
        <w:rPr>
          <w:rFonts w:ascii="Garamond" w:hAnsi="Garamond" w:cs="Garamond"/>
          <w:szCs w:val="24"/>
        </w:rPr>
      </w:pPr>
    </w:p>
    <w:p w:rsidR="00C50649" w:rsidRDefault="00C50649" w:rsidP="00C50649">
      <w:pPr>
        <w:spacing w:line="276" w:lineRule="auto"/>
        <w:rPr>
          <w:rFonts w:ascii="Garamond" w:hAnsi="Garamond" w:cs="Garamond"/>
          <w:szCs w:val="24"/>
        </w:rPr>
      </w:pPr>
    </w:p>
    <w:p w:rsidR="00C50649" w:rsidRDefault="00C50649" w:rsidP="00C50649">
      <w:pPr>
        <w:spacing w:line="276" w:lineRule="auto"/>
        <w:rPr>
          <w:rFonts w:ascii="Garamond" w:hAnsi="Garamond" w:cs="Garamond"/>
          <w:szCs w:val="24"/>
        </w:rPr>
      </w:pPr>
    </w:p>
    <w:p w:rsidR="00C50649" w:rsidRDefault="00C50649" w:rsidP="00C50649">
      <w:pPr>
        <w:spacing w:line="276" w:lineRule="auto"/>
        <w:rPr>
          <w:rFonts w:ascii="Garamond" w:hAnsi="Garamond" w:cs="Garamond"/>
          <w:szCs w:val="24"/>
        </w:rPr>
      </w:pPr>
    </w:p>
    <w:p w:rsidR="00C50649" w:rsidRDefault="00C50649" w:rsidP="00C50649">
      <w:pPr>
        <w:spacing w:line="276" w:lineRule="auto"/>
        <w:rPr>
          <w:rFonts w:ascii="Garamond" w:hAnsi="Garamond" w:cs="Garamond"/>
          <w:szCs w:val="24"/>
        </w:rPr>
      </w:pPr>
    </w:p>
    <w:p w:rsidR="00C50649" w:rsidRDefault="00C50649">
      <w:pPr>
        <w:spacing w:line="276" w:lineRule="auto"/>
        <w:jc w:val="left"/>
        <w:rPr>
          <w:rFonts w:ascii="Garamond" w:hAnsi="Garamond" w:cs="Garamond"/>
          <w:szCs w:val="24"/>
        </w:rPr>
      </w:pPr>
    </w:p>
    <w:p w:rsidR="00C50649" w:rsidRDefault="00C50649">
      <w:pPr>
        <w:spacing w:line="276" w:lineRule="auto"/>
        <w:jc w:val="left"/>
        <w:rPr>
          <w:rFonts w:ascii="Garamond" w:hAnsi="Garamond" w:cs="Garamond"/>
          <w:szCs w:val="24"/>
        </w:rPr>
      </w:pPr>
    </w:p>
    <w:p w:rsidR="00C50649" w:rsidRDefault="00C50649">
      <w:pPr>
        <w:spacing w:line="276" w:lineRule="auto"/>
        <w:jc w:val="left"/>
        <w:rPr>
          <w:rFonts w:ascii="Garamond" w:hAnsi="Garamond" w:cs="Garamond"/>
          <w:szCs w:val="24"/>
        </w:rPr>
      </w:pPr>
    </w:p>
    <w:p w:rsidR="00C50649" w:rsidRDefault="00C50649">
      <w:pPr>
        <w:spacing w:line="276" w:lineRule="auto"/>
        <w:jc w:val="left"/>
        <w:rPr>
          <w:rFonts w:ascii="Garamond" w:hAnsi="Garamond" w:cs="Garamond"/>
          <w:szCs w:val="24"/>
        </w:rPr>
      </w:pPr>
    </w:p>
    <w:p w:rsidR="00C50649" w:rsidRDefault="00C50649">
      <w:pPr>
        <w:spacing w:line="276" w:lineRule="auto"/>
        <w:jc w:val="left"/>
        <w:rPr>
          <w:rFonts w:ascii="Garamond" w:hAnsi="Garamond" w:cs="Garamond"/>
          <w:szCs w:val="24"/>
        </w:rPr>
      </w:pPr>
    </w:p>
    <w:p w:rsidR="00C50649" w:rsidRDefault="00C50649">
      <w:pPr>
        <w:spacing w:line="276" w:lineRule="auto"/>
        <w:jc w:val="left"/>
        <w:rPr>
          <w:rFonts w:ascii="Garamond" w:hAnsi="Garamond" w:cs="Garamond"/>
          <w:szCs w:val="24"/>
        </w:rPr>
      </w:pPr>
    </w:p>
    <w:p w:rsidR="00C50649" w:rsidRDefault="00C50649">
      <w:pPr>
        <w:spacing w:line="276" w:lineRule="auto"/>
        <w:jc w:val="left"/>
        <w:rPr>
          <w:rFonts w:ascii="Garamond" w:hAnsi="Garamond" w:cs="Garamond"/>
          <w:b/>
          <w:szCs w:val="24"/>
        </w:rPr>
      </w:pPr>
      <w:r w:rsidRPr="00C50649">
        <w:rPr>
          <w:rFonts w:ascii="Garamond" w:hAnsi="Garamond" w:cs="Garamond"/>
          <w:b/>
          <w:szCs w:val="24"/>
        </w:rPr>
        <w:t>Poděkování:</w:t>
      </w:r>
    </w:p>
    <w:p w:rsidR="00C50649" w:rsidRPr="00C428A3" w:rsidRDefault="00C428A3">
      <w:pPr>
        <w:spacing w:line="276" w:lineRule="auto"/>
        <w:jc w:val="left"/>
        <w:rPr>
          <w:rFonts w:ascii="Garamond" w:hAnsi="Garamond" w:cs="Garamond"/>
          <w:szCs w:val="24"/>
        </w:rPr>
      </w:pPr>
      <w:r>
        <w:rPr>
          <w:rFonts w:ascii="Garamond" w:hAnsi="Garamond" w:cs="Garamond"/>
          <w:szCs w:val="24"/>
        </w:rPr>
        <w:t>Chtěl bych na t</w:t>
      </w:r>
      <w:r w:rsidR="007026E7">
        <w:rPr>
          <w:rFonts w:ascii="Garamond" w:hAnsi="Garamond" w:cs="Garamond"/>
          <w:szCs w:val="24"/>
        </w:rPr>
        <w:t>omto místě poděkovat JUDr. Magdale</w:t>
      </w:r>
      <w:r>
        <w:rPr>
          <w:rFonts w:ascii="Garamond" w:hAnsi="Garamond" w:cs="Garamond"/>
          <w:szCs w:val="24"/>
        </w:rPr>
        <w:t>ně Peterk</w:t>
      </w:r>
      <w:r w:rsidR="007026E7">
        <w:rPr>
          <w:rFonts w:ascii="Garamond" w:hAnsi="Garamond" w:cs="Garamond"/>
          <w:szCs w:val="24"/>
        </w:rPr>
        <w:t xml:space="preserve">ové Ph.D. za to, že mi </w:t>
      </w:r>
      <w:r w:rsidR="00C638E2">
        <w:rPr>
          <w:rFonts w:ascii="Garamond" w:hAnsi="Garamond" w:cs="Garamond"/>
          <w:szCs w:val="24"/>
        </w:rPr>
        <w:t xml:space="preserve">na úplném začátku </w:t>
      </w:r>
      <w:r w:rsidR="007026E7">
        <w:rPr>
          <w:rFonts w:ascii="Garamond" w:hAnsi="Garamond" w:cs="Garamond"/>
          <w:szCs w:val="24"/>
        </w:rPr>
        <w:t xml:space="preserve">ukázala krásu práva </w:t>
      </w:r>
      <w:r w:rsidR="00D644CE">
        <w:rPr>
          <w:rFonts w:ascii="Garamond" w:hAnsi="Garamond" w:cs="Garamond"/>
          <w:szCs w:val="24"/>
        </w:rPr>
        <w:t>životního prostředí.</w:t>
      </w:r>
    </w:p>
    <w:p w:rsidR="00C50649" w:rsidRDefault="00C50649">
      <w:pPr>
        <w:spacing w:line="276" w:lineRule="auto"/>
        <w:jc w:val="left"/>
        <w:rPr>
          <w:rFonts w:ascii="Garamond" w:hAnsi="Garamond" w:cs="Garamond"/>
          <w:b/>
          <w:szCs w:val="24"/>
        </w:rPr>
      </w:pPr>
    </w:p>
    <w:p w:rsidR="00C50649" w:rsidRDefault="00C50649">
      <w:pPr>
        <w:spacing w:line="276" w:lineRule="auto"/>
        <w:jc w:val="left"/>
        <w:rPr>
          <w:rFonts w:ascii="Garamond" w:hAnsi="Garamond" w:cs="Garamond"/>
          <w:b/>
          <w:szCs w:val="24"/>
        </w:rPr>
      </w:pPr>
    </w:p>
    <w:sdt>
      <w:sdtPr>
        <w:rPr>
          <w:rFonts w:ascii="Times New Roman" w:eastAsiaTheme="minorHAnsi" w:hAnsi="Times New Roman" w:cstheme="minorBidi"/>
          <w:color w:val="auto"/>
          <w:sz w:val="24"/>
          <w:szCs w:val="22"/>
          <w:lang w:eastAsia="en-US"/>
        </w:rPr>
        <w:id w:val="-763291509"/>
        <w:docPartObj>
          <w:docPartGallery w:val="Table of Contents"/>
          <w:docPartUnique/>
        </w:docPartObj>
      </w:sdtPr>
      <w:sdtEndPr>
        <w:rPr>
          <w:b/>
          <w:bCs/>
        </w:rPr>
      </w:sdtEndPr>
      <w:sdtContent>
        <w:p w:rsidR="0059025A" w:rsidRDefault="0059025A" w:rsidP="00AF1316">
          <w:pPr>
            <w:pStyle w:val="Nadpisobsahu"/>
            <w:rPr>
              <w:rFonts w:ascii="Times New Roman" w:hAnsi="Times New Roman" w:cs="Times New Roman"/>
              <w:b/>
              <w:color w:val="auto"/>
            </w:rPr>
          </w:pPr>
          <w:r w:rsidRPr="0059025A">
            <w:rPr>
              <w:rFonts w:ascii="Times New Roman" w:hAnsi="Times New Roman" w:cs="Times New Roman"/>
              <w:b/>
              <w:color w:val="auto"/>
            </w:rPr>
            <w:t>Obsah</w:t>
          </w:r>
        </w:p>
        <w:p w:rsidR="00AF1316" w:rsidRPr="0059025A" w:rsidRDefault="00AF1316" w:rsidP="00AF1316">
          <w:pPr>
            <w:pStyle w:val="Nadpisobsahu"/>
            <w:rPr>
              <w:color w:val="auto"/>
            </w:rPr>
          </w:pPr>
          <w:r>
            <w:rPr>
              <w:color w:val="auto"/>
            </w:rPr>
            <w:fldChar w:fldCharType="begin"/>
          </w:r>
          <w:r w:rsidRPr="0059025A">
            <w:rPr>
              <w:color w:val="auto"/>
            </w:rPr>
            <w:instrText xml:space="preserve"> TOC \o "1-3" \h \z \u </w:instrText>
          </w:r>
          <w:r>
            <w:rPr>
              <w:color w:val="auto"/>
            </w:rPr>
            <w:fldChar w:fldCharType="separate"/>
          </w:r>
          <w:hyperlink w:anchor="_Toc446336392" w:history="1"/>
        </w:p>
        <w:p w:rsidR="00AF1316" w:rsidRDefault="000D18AA">
          <w:pPr>
            <w:pStyle w:val="Obsah1"/>
            <w:tabs>
              <w:tab w:val="right" w:leader="dot" w:pos="9061"/>
            </w:tabs>
            <w:rPr>
              <w:rFonts w:asciiTheme="minorHAnsi" w:eastAsiaTheme="minorEastAsia" w:hAnsiTheme="minorHAnsi"/>
              <w:noProof/>
              <w:sz w:val="22"/>
              <w:lang w:eastAsia="cs-CZ"/>
            </w:rPr>
          </w:pPr>
          <w:hyperlink w:anchor="_Toc446336393" w:history="1">
            <w:r w:rsidR="00AF1316" w:rsidRPr="009F318B">
              <w:rPr>
                <w:rStyle w:val="Hypertextovodkaz"/>
                <w:noProof/>
              </w:rPr>
              <w:t>Abstrakt</w:t>
            </w:r>
            <w:r w:rsidR="00AF1316">
              <w:rPr>
                <w:noProof/>
                <w:webHidden/>
              </w:rPr>
              <w:tab/>
            </w:r>
            <w:r w:rsidR="00AF1316">
              <w:rPr>
                <w:noProof/>
                <w:webHidden/>
              </w:rPr>
              <w:fldChar w:fldCharType="begin"/>
            </w:r>
            <w:r w:rsidR="00AF1316">
              <w:rPr>
                <w:noProof/>
                <w:webHidden/>
              </w:rPr>
              <w:instrText xml:space="preserve"> PAGEREF _Toc446336393 \h </w:instrText>
            </w:r>
            <w:r w:rsidR="00AF1316">
              <w:rPr>
                <w:noProof/>
                <w:webHidden/>
              </w:rPr>
            </w:r>
            <w:r w:rsidR="00AF1316">
              <w:rPr>
                <w:noProof/>
                <w:webHidden/>
              </w:rPr>
              <w:fldChar w:fldCharType="separate"/>
            </w:r>
            <w:r w:rsidR="00AF1316">
              <w:rPr>
                <w:noProof/>
                <w:webHidden/>
              </w:rPr>
              <w:t>2</w:t>
            </w:r>
            <w:r w:rsidR="00AF1316">
              <w:rPr>
                <w:noProof/>
                <w:webHidden/>
              </w:rPr>
              <w:fldChar w:fldCharType="end"/>
            </w:r>
          </w:hyperlink>
        </w:p>
        <w:p w:rsidR="00AF1316" w:rsidRDefault="000D18AA">
          <w:pPr>
            <w:pStyle w:val="Obsah1"/>
            <w:tabs>
              <w:tab w:val="right" w:leader="dot" w:pos="9061"/>
            </w:tabs>
            <w:rPr>
              <w:rFonts w:asciiTheme="minorHAnsi" w:eastAsiaTheme="minorEastAsia" w:hAnsiTheme="minorHAnsi"/>
              <w:noProof/>
              <w:sz w:val="22"/>
              <w:lang w:eastAsia="cs-CZ"/>
            </w:rPr>
          </w:pPr>
          <w:hyperlink w:anchor="_Toc446336394" w:history="1">
            <w:r w:rsidR="00AF1316" w:rsidRPr="009F318B">
              <w:rPr>
                <w:rStyle w:val="Hypertextovodkaz"/>
                <w:noProof/>
              </w:rPr>
              <w:t>Klíčová slova</w:t>
            </w:r>
            <w:r w:rsidR="00AF1316">
              <w:rPr>
                <w:noProof/>
                <w:webHidden/>
              </w:rPr>
              <w:tab/>
            </w:r>
            <w:r w:rsidR="00AF1316">
              <w:rPr>
                <w:noProof/>
                <w:webHidden/>
              </w:rPr>
              <w:fldChar w:fldCharType="begin"/>
            </w:r>
            <w:r w:rsidR="00AF1316">
              <w:rPr>
                <w:noProof/>
                <w:webHidden/>
              </w:rPr>
              <w:instrText xml:space="preserve"> PAGEREF _Toc446336394 \h </w:instrText>
            </w:r>
            <w:r w:rsidR="00AF1316">
              <w:rPr>
                <w:noProof/>
                <w:webHidden/>
              </w:rPr>
            </w:r>
            <w:r w:rsidR="00AF1316">
              <w:rPr>
                <w:noProof/>
                <w:webHidden/>
              </w:rPr>
              <w:fldChar w:fldCharType="separate"/>
            </w:r>
            <w:r w:rsidR="00AF1316">
              <w:rPr>
                <w:noProof/>
                <w:webHidden/>
              </w:rPr>
              <w:t>4</w:t>
            </w:r>
            <w:r w:rsidR="00AF1316">
              <w:rPr>
                <w:noProof/>
                <w:webHidden/>
              </w:rPr>
              <w:fldChar w:fldCharType="end"/>
            </w:r>
          </w:hyperlink>
        </w:p>
        <w:p w:rsidR="00AF1316" w:rsidRDefault="000D18AA">
          <w:pPr>
            <w:pStyle w:val="Obsah1"/>
            <w:tabs>
              <w:tab w:val="right" w:leader="dot" w:pos="9061"/>
            </w:tabs>
            <w:rPr>
              <w:rFonts w:asciiTheme="minorHAnsi" w:eastAsiaTheme="minorEastAsia" w:hAnsiTheme="minorHAnsi"/>
              <w:noProof/>
              <w:sz w:val="22"/>
              <w:lang w:eastAsia="cs-CZ"/>
            </w:rPr>
          </w:pPr>
          <w:hyperlink w:anchor="_Toc446336395" w:history="1">
            <w:r w:rsidR="00AF1316" w:rsidRPr="009F318B">
              <w:rPr>
                <w:rStyle w:val="Hypertextovodkaz"/>
                <w:noProof/>
              </w:rPr>
              <w:t>Seznam použitých zkratek</w:t>
            </w:r>
            <w:r w:rsidR="00AF1316">
              <w:rPr>
                <w:noProof/>
                <w:webHidden/>
              </w:rPr>
              <w:tab/>
            </w:r>
            <w:r w:rsidR="00AF1316">
              <w:rPr>
                <w:noProof/>
                <w:webHidden/>
              </w:rPr>
              <w:fldChar w:fldCharType="begin"/>
            </w:r>
            <w:r w:rsidR="00AF1316">
              <w:rPr>
                <w:noProof/>
                <w:webHidden/>
              </w:rPr>
              <w:instrText xml:space="preserve"> PAGEREF _Toc446336395 \h </w:instrText>
            </w:r>
            <w:r w:rsidR="00AF1316">
              <w:rPr>
                <w:noProof/>
                <w:webHidden/>
              </w:rPr>
            </w:r>
            <w:r w:rsidR="00AF1316">
              <w:rPr>
                <w:noProof/>
                <w:webHidden/>
              </w:rPr>
              <w:fldChar w:fldCharType="separate"/>
            </w:r>
            <w:r w:rsidR="00AF1316">
              <w:rPr>
                <w:noProof/>
                <w:webHidden/>
              </w:rPr>
              <w:t>7</w:t>
            </w:r>
            <w:r w:rsidR="00AF1316">
              <w:rPr>
                <w:noProof/>
                <w:webHidden/>
              </w:rPr>
              <w:fldChar w:fldCharType="end"/>
            </w:r>
          </w:hyperlink>
        </w:p>
        <w:p w:rsidR="00AF1316" w:rsidRDefault="000D18AA">
          <w:pPr>
            <w:pStyle w:val="Obsah1"/>
            <w:tabs>
              <w:tab w:val="right" w:leader="dot" w:pos="9061"/>
            </w:tabs>
            <w:rPr>
              <w:rFonts w:asciiTheme="minorHAnsi" w:eastAsiaTheme="minorEastAsia" w:hAnsiTheme="minorHAnsi"/>
              <w:noProof/>
              <w:sz w:val="22"/>
              <w:lang w:eastAsia="cs-CZ"/>
            </w:rPr>
          </w:pPr>
          <w:hyperlink w:anchor="_Toc446336396" w:history="1">
            <w:r w:rsidR="00AF1316" w:rsidRPr="009F318B">
              <w:rPr>
                <w:rStyle w:val="Hypertextovodkaz"/>
                <w:noProof/>
              </w:rPr>
              <w:t>Úvod</w:t>
            </w:r>
            <w:r w:rsidR="00AF1316">
              <w:rPr>
                <w:noProof/>
                <w:webHidden/>
              </w:rPr>
              <w:tab/>
            </w:r>
            <w:r w:rsidR="00AF1316">
              <w:rPr>
                <w:noProof/>
                <w:webHidden/>
              </w:rPr>
              <w:fldChar w:fldCharType="begin"/>
            </w:r>
            <w:r w:rsidR="00AF1316">
              <w:rPr>
                <w:noProof/>
                <w:webHidden/>
              </w:rPr>
              <w:instrText xml:space="preserve"> PAGEREF _Toc446336396 \h </w:instrText>
            </w:r>
            <w:r w:rsidR="00AF1316">
              <w:rPr>
                <w:noProof/>
                <w:webHidden/>
              </w:rPr>
            </w:r>
            <w:r w:rsidR="00AF1316">
              <w:rPr>
                <w:noProof/>
                <w:webHidden/>
              </w:rPr>
              <w:fldChar w:fldCharType="separate"/>
            </w:r>
            <w:r w:rsidR="00AF1316">
              <w:rPr>
                <w:noProof/>
                <w:webHidden/>
              </w:rPr>
              <w:t>8</w:t>
            </w:r>
            <w:r w:rsidR="00AF1316">
              <w:rPr>
                <w:noProof/>
                <w:webHidden/>
              </w:rPr>
              <w:fldChar w:fldCharType="end"/>
            </w:r>
          </w:hyperlink>
        </w:p>
        <w:p w:rsidR="00AF1316" w:rsidRDefault="000D18AA">
          <w:pPr>
            <w:pStyle w:val="Obsah1"/>
            <w:tabs>
              <w:tab w:val="left" w:pos="480"/>
              <w:tab w:val="right" w:leader="dot" w:pos="9061"/>
            </w:tabs>
            <w:rPr>
              <w:rFonts w:asciiTheme="minorHAnsi" w:eastAsiaTheme="minorEastAsia" w:hAnsiTheme="minorHAnsi"/>
              <w:noProof/>
              <w:sz w:val="22"/>
              <w:lang w:eastAsia="cs-CZ"/>
            </w:rPr>
          </w:pPr>
          <w:hyperlink w:anchor="_Toc446336397" w:history="1">
            <w:r w:rsidR="00AF1316" w:rsidRPr="009F318B">
              <w:rPr>
                <w:rStyle w:val="Hypertextovodkaz"/>
                <w:noProof/>
              </w:rPr>
              <w:t>1.</w:t>
            </w:r>
            <w:r w:rsidR="00AF1316">
              <w:rPr>
                <w:rFonts w:asciiTheme="minorHAnsi" w:eastAsiaTheme="minorEastAsia" w:hAnsiTheme="minorHAnsi"/>
                <w:noProof/>
                <w:sz w:val="22"/>
                <w:lang w:eastAsia="cs-CZ"/>
              </w:rPr>
              <w:tab/>
            </w:r>
            <w:r w:rsidR="00AF1316" w:rsidRPr="009F318B">
              <w:rPr>
                <w:rStyle w:val="Hypertextovodkaz"/>
                <w:noProof/>
              </w:rPr>
              <w:t>Ochrana životního prostředí v právu evropské unie</w:t>
            </w:r>
            <w:r w:rsidR="00AF1316">
              <w:rPr>
                <w:noProof/>
                <w:webHidden/>
              </w:rPr>
              <w:tab/>
            </w:r>
            <w:r w:rsidR="00AF1316">
              <w:rPr>
                <w:noProof/>
                <w:webHidden/>
              </w:rPr>
              <w:fldChar w:fldCharType="begin"/>
            </w:r>
            <w:r w:rsidR="00AF1316">
              <w:rPr>
                <w:noProof/>
                <w:webHidden/>
              </w:rPr>
              <w:instrText xml:space="preserve"> PAGEREF _Toc446336397 \h </w:instrText>
            </w:r>
            <w:r w:rsidR="00AF1316">
              <w:rPr>
                <w:noProof/>
                <w:webHidden/>
              </w:rPr>
            </w:r>
            <w:r w:rsidR="00AF1316">
              <w:rPr>
                <w:noProof/>
                <w:webHidden/>
              </w:rPr>
              <w:fldChar w:fldCharType="separate"/>
            </w:r>
            <w:r w:rsidR="00AF1316">
              <w:rPr>
                <w:noProof/>
                <w:webHidden/>
              </w:rPr>
              <w:t>12</w:t>
            </w:r>
            <w:r w:rsidR="00AF1316">
              <w:rPr>
                <w:noProof/>
                <w:webHidden/>
              </w:rPr>
              <w:fldChar w:fldCharType="end"/>
            </w:r>
          </w:hyperlink>
        </w:p>
        <w:p w:rsidR="00AF1316" w:rsidRDefault="000D18AA">
          <w:pPr>
            <w:pStyle w:val="Obsah2"/>
            <w:tabs>
              <w:tab w:val="left" w:pos="880"/>
              <w:tab w:val="right" w:leader="dot" w:pos="9061"/>
            </w:tabs>
            <w:rPr>
              <w:rFonts w:asciiTheme="minorHAnsi" w:eastAsiaTheme="minorEastAsia" w:hAnsiTheme="minorHAnsi"/>
              <w:noProof/>
              <w:sz w:val="22"/>
              <w:lang w:eastAsia="cs-CZ"/>
            </w:rPr>
          </w:pPr>
          <w:hyperlink w:anchor="_Toc446336398" w:history="1">
            <w:r w:rsidR="00AF1316" w:rsidRPr="009F318B">
              <w:rPr>
                <w:rStyle w:val="Hypertextovodkaz"/>
                <w:noProof/>
              </w:rPr>
              <w:t>1.1.</w:t>
            </w:r>
            <w:r w:rsidR="00AF1316">
              <w:rPr>
                <w:rFonts w:asciiTheme="minorHAnsi" w:eastAsiaTheme="minorEastAsia" w:hAnsiTheme="minorHAnsi"/>
                <w:noProof/>
                <w:sz w:val="22"/>
                <w:lang w:eastAsia="cs-CZ"/>
              </w:rPr>
              <w:tab/>
            </w:r>
            <w:r w:rsidR="00AF1316" w:rsidRPr="009F318B">
              <w:rPr>
                <w:rStyle w:val="Hypertextovodkaz"/>
                <w:noProof/>
              </w:rPr>
              <w:t>Vývoj práva životního prostředí v Evropské unii</w:t>
            </w:r>
            <w:r w:rsidR="00AF1316">
              <w:rPr>
                <w:noProof/>
                <w:webHidden/>
              </w:rPr>
              <w:tab/>
            </w:r>
            <w:r w:rsidR="00AF1316">
              <w:rPr>
                <w:noProof/>
                <w:webHidden/>
              </w:rPr>
              <w:fldChar w:fldCharType="begin"/>
            </w:r>
            <w:r w:rsidR="00AF1316">
              <w:rPr>
                <w:noProof/>
                <w:webHidden/>
              </w:rPr>
              <w:instrText xml:space="preserve"> PAGEREF _Toc446336398 \h </w:instrText>
            </w:r>
            <w:r w:rsidR="00AF1316">
              <w:rPr>
                <w:noProof/>
                <w:webHidden/>
              </w:rPr>
            </w:r>
            <w:r w:rsidR="00AF1316">
              <w:rPr>
                <w:noProof/>
                <w:webHidden/>
              </w:rPr>
              <w:fldChar w:fldCharType="separate"/>
            </w:r>
            <w:r w:rsidR="00AF1316">
              <w:rPr>
                <w:noProof/>
                <w:webHidden/>
              </w:rPr>
              <w:t>12</w:t>
            </w:r>
            <w:r w:rsidR="00AF1316">
              <w:rPr>
                <w:noProof/>
                <w:webHidden/>
              </w:rPr>
              <w:fldChar w:fldCharType="end"/>
            </w:r>
          </w:hyperlink>
        </w:p>
        <w:p w:rsidR="00AF1316" w:rsidRDefault="000D18AA">
          <w:pPr>
            <w:pStyle w:val="Obsah2"/>
            <w:tabs>
              <w:tab w:val="left" w:pos="880"/>
              <w:tab w:val="right" w:leader="dot" w:pos="9061"/>
            </w:tabs>
            <w:rPr>
              <w:rFonts w:asciiTheme="minorHAnsi" w:eastAsiaTheme="minorEastAsia" w:hAnsiTheme="minorHAnsi"/>
              <w:noProof/>
              <w:sz w:val="22"/>
              <w:lang w:eastAsia="cs-CZ"/>
            </w:rPr>
          </w:pPr>
          <w:hyperlink w:anchor="_Toc446336401" w:history="1">
            <w:r w:rsidR="00AF1316" w:rsidRPr="009F318B">
              <w:rPr>
                <w:rStyle w:val="Hypertextovodkaz"/>
                <w:noProof/>
              </w:rPr>
              <w:t>1.2.</w:t>
            </w:r>
            <w:r w:rsidR="00AF1316">
              <w:rPr>
                <w:rFonts w:asciiTheme="minorHAnsi" w:eastAsiaTheme="minorEastAsia" w:hAnsiTheme="minorHAnsi"/>
                <w:noProof/>
                <w:sz w:val="22"/>
                <w:lang w:eastAsia="cs-CZ"/>
              </w:rPr>
              <w:tab/>
            </w:r>
            <w:r w:rsidR="00AF1316" w:rsidRPr="009F318B">
              <w:rPr>
                <w:rStyle w:val="Hypertextovodkaz"/>
                <w:noProof/>
              </w:rPr>
              <w:t>Vývoj účasti veřejnosti</w:t>
            </w:r>
            <w:r w:rsidR="00AF1316">
              <w:rPr>
                <w:noProof/>
                <w:webHidden/>
              </w:rPr>
              <w:tab/>
            </w:r>
            <w:r w:rsidR="00AF1316">
              <w:rPr>
                <w:noProof/>
                <w:webHidden/>
              </w:rPr>
              <w:fldChar w:fldCharType="begin"/>
            </w:r>
            <w:r w:rsidR="00AF1316">
              <w:rPr>
                <w:noProof/>
                <w:webHidden/>
              </w:rPr>
              <w:instrText xml:space="preserve"> PAGEREF _Toc446336401 \h </w:instrText>
            </w:r>
            <w:r w:rsidR="00AF1316">
              <w:rPr>
                <w:noProof/>
                <w:webHidden/>
              </w:rPr>
            </w:r>
            <w:r w:rsidR="00AF1316">
              <w:rPr>
                <w:noProof/>
                <w:webHidden/>
              </w:rPr>
              <w:fldChar w:fldCharType="separate"/>
            </w:r>
            <w:r w:rsidR="00AF1316">
              <w:rPr>
                <w:noProof/>
                <w:webHidden/>
              </w:rPr>
              <w:t>14</w:t>
            </w:r>
            <w:r w:rsidR="00AF1316">
              <w:rPr>
                <w:noProof/>
                <w:webHidden/>
              </w:rPr>
              <w:fldChar w:fldCharType="end"/>
            </w:r>
          </w:hyperlink>
        </w:p>
        <w:p w:rsidR="00AF1316" w:rsidRDefault="000D18AA">
          <w:pPr>
            <w:pStyle w:val="Obsah1"/>
            <w:tabs>
              <w:tab w:val="left" w:pos="480"/>
              <w:tab w:val="right" w:leader="dot" w:pos="9061"/>
            </w:tabs>
            <w:rPr>
              <w:rFonts w:asciiTheme="minorHAnsi" w:eastAsiaTheme="minorEastAsia" w:hAnsiTheme="minorHAnsi"/>
              <w:noProof/>
              <w:sz w:val="22"/>
              <w:lang w:eastAsia="cs-CZ"/>
            </w:rPr>
          </w:pPr>
          <w:hyperlink w:anchor="_Toc446336402" w:history="1">
            <w:r w:rsidR="00AF1316" w:rsidRPr="009F318B">
              <w:rPr>
                <w:rStyle w:val="Hypertextovodkaz"/>
                <w:noProof/>
              </w:rPr>
              <w:t>2.</w:t>
            </w:r>
            <w:r w:rsidR="00AF1316">
              <w:rPr>
                <w:rFonts w:asciiTheme="minorHAnsi" w:eastAsiaTheme="minorEastAsia" w:hAnsiTheme="minorHAnsi"/>
                <w:noProof/>
                <w:sz w:val="22"/>
                <w:lang w:eastAsia="cs-CZ"/>
              </w:rPr>
              <w:tab/>
            </w:r>
            <w:r w:rsidR="00AF1316" w:rsidRPr="009F318B">
              <w:rPr>
                <w:rStyle w:val="Hypertextovodkaz"/>
                <w:noProof/>
              </w:rPr>
              <w:t>Právo na informace o životním prostředí</w:t>
            </w:r>
            <w:r w:rsidR="00AF1316">
              <w:rPr>
                <w:noProof/>
                <w:webHidden/>
              </w:rPr>
              <w:tab/>
            </w:r>
            <w:r w:rsidR="00AF1316">
              <w:rPr>
                <w:noProof/>
                <w:webHidden/>
              </w:rPr>
              <w:fldChar w:fldCharType="begin"/>
            </w:r>
            <w:r w:rsidR="00AF1316">
              <w:rPr>
                <w:noProof/>
                <w:webHidden/>
              </w:rPr>
              <w:instrText xml:space="preserve"> PAGEREF _Toc446336402 \h </w:instrText>
            </w:r>
            <w:r w:rsidR="00AF1316">
              <w:rPr>
                <w:noProof/>
                <w:webHidden/>
              </w:rPr>
            </w:r>
            <w:r w:rsidR="00AF1316">
              <w:rPr>
                <w:noProof/>
                <w:webHidden/>
              </w:rPr>
              <w:fldChar w:fldCharType="separate"/>
            </w:r>
            <w:r w:rsidR="00AF1316">
              <w:rPr>
                <w:noProof/>
                <w:webHidden/>
              </w:rPr>
              <w:t>18</w:t>
            </w:r>
            <w:r w:rsidR="00AF1316">
              <w:rPr>
                <w:noProof/>
                <w:webHidden/>
              </w:rPr>
              <w:fldChar w:fldCharType="end"/>
            </w:r>
          </w:hyperlink>
        </w:p>
        <w:p w:rsidR="00AF1316" w:rsidRDefault="000D18AA">
          <w:pPr>
            <w:pStyle w:val="Obsah2"/>
            <w:tabs>
              <w:tab w:val="left" w:pos="880"/>
              <w:tab w:val="right" w:leader="dot" w:pos="9061"/>
            </w:tabs>
            <w:rPr>
              <w:rFonts w:asciiTheme="minorHAnsi" w:eastAsiaTheme="minorEastAsia" w:hAnsiTheme="minorHAnsi"/>
              <w:noProof/>
              <w:sz w:val="22"/>
              <w:lang w:eastAsia="cs-CZ"/>
            </w:rPr>
          </w:pPr>
          <w:hyperlink w:anchor="_Toc446336403" w:history="1">
            <w:r w:rsidR="00AF1316" w:rsidRPr="009F318B">
              <w:rPr>
                <w:rStyle w:val="Hypertextovodkaz"/>
                <w:noProof/>
              </w:rPr>
              <w:t>2.1.</w:t>
            </w:r>
            <w:r w:rsidR="00AF1316">
              <w:rPr>
                <w:rFonts w:asciiTheme="minorHAnsi" w:eastAsiaTheme="minorEastAsia" w:hAnsiTheme="minorHAnsi"/>
                <w:noProof/>
                <w:sz w:val="22"/>
                <w:lang w:eastAsia="cs-CZ"/>
              </w:rPr>
              <w:tab/>
            </w:r>
            <w:r w:rsidR="00AF1316" w:rsidRPr="009F318B">
              <w:rPr>
                <w:rStyle w:val="Hypertextovodkaz"/>
                <w:noProof/>
              </w:rPr>
              <w:t>Pasivní poskytování informací</w:t>
            </w:r>
            <w:r w:rsidR="00AF1316">
              <w:rPr>
                <w:noProof/>
                <w:webHidden/>
              </w:rPr>
              <w:tab/>
            </w:r>
            <w:r w:rsidR="00AF1316">
              <w:rPr>
                <w:noProof/>
                <w:webHidden/>
              </w:rPr>
              <w:fldChar w:fldCharType="begin"/>
            </w:r>
            <w:r w:rsidR="00AF1316">
              <w:rPr>
                <w:noProof/>
                <w:webHidden/>
              </w:rPr>
              <w:instrText xml:space="preserve"> PAGEREF _Toc446336403 \h </w:instrText>
            </w:r>
            <w:r w:rsidR="00AF1316">
              <w:rPr>
                <w:noProof/>
                <w:webHidden/>
              </w:rPr>
            </w:r>
            <w:r w:rsidR="00AF1316">
              <w:rPr>
                <w:noProof/>
                <w:webHidden/>
              </w:rPr>
              <w:fldChar w:fldCharType="separate"/>
            </w:r>
            <w:r w:rsidR="00AF1316">
              <w:rPr>
                <w:noProof/>
                <w:webHidden/>
              </w:rPr>
              <w:t>18</w:t>
            </w:r>
            <w:r w:rsidR="00AF1316">
              <w:rPr>
                <w:noProof/>
                <w:webHidden/>
              </w:rPr>
              <w:fldChar w:fldCharType="end"/>
            </w:r>
          </w:hyperlink>
        </w:p>
        <w:p w:rsidR="00AF1316" w:rsidRDefault="000D18AA">
          <w:pPr>
            <w:pStyle w:val="Obsah3"/>
            <w:tabs>
              <w:tab w:val="left" w:pos="1320"/>
              <w:tab w:val="right" w:leader="dot" w:pos="9061"/>
            </w:tabs>
            <w:rPr>
              <w:rFonts w:asciiTheme="minorHAnsi" w:eastAsiaTheme="minorEastAsia" w:hAnsiTheme="minorHAnsi"/>
              <w:noProof/>
              <w:sz w:val="22"/>
              <w:lang w:eastAsia="cs-CZ"/>
            </w:rPr>
          </w:pPr>
          <w:hyperlink w:anchor="_Toc446336404" w:history="1">
            <w:r w:rsidR="00AF1316" w:rsidRPr="009F318B">
              <w:rPr>
                <w:rStyle w:val="Hypertextovodkaz"/>
                <w:noProof/>
              </w:rPr>
              <w:t>2.1.1.</w:t>
            </w:r>
            <w:r w:rsidR="00AF1316">
              <w:rPr>
                <w:rFonts w:asciiTheme="minorHAnsi" w:eastAsiaTheme="minorEastAsia" w:hAnsiTheme="minorHAnsi"/>
                <w:noProof/>
                <w:sz w:val="22"/>
                <w:lang w:eastAsia="cs-CZ"/>
              </w:rPr>
              <w:tab/>
            </w:r>
            <w:r w:rsidR="00AF1316" w:rsidRPr="009F318B">
              <w:rPr>
                <w:rStyle w:val="Hypertextovodkaz"/>
                <w:noProof/>
              </w:rPr>
              <w:t>Požadavky Aarhuské úmluvy</w:t>
            </w:r>
            <w:r w:rsidR="00AF1316">
              <w:rPr>
                <w:noProof/>
                <w:webHidden/>
              </w:rPr>
              <w:tab/>
            </w:r>
            <w:r w:rsidR="00AF1316">
              <w:rPr>
                <w:noProof/>
                <w:webHidden/>
              </w:rPr>
              <w:fldChar w:fldCharType="begin"/>
            </w:r>
            <w:r w:rsidR="00AF1316">
              <w:rPr>
                <w:noProof/>
                <w:webHidden/>
              </w:rPr>
              <w:instrText xml:space="preserve"> PAGEREF _Toc446336404 \h </w:instrText>
            </w:r>
            <w:r w:rsidR="00AF1316">
              <w:rPr>
                <w:noProof/>
                <w:webHidden/>
              </w:rPr>
            </w:r>
            <w:r w:rsidR="00AF1316">
              <w:rPr>
                <w:noProof/>
                <w:webHidden/>
              </w:rPr>
              <w:fldChar w:fldCharType="separate"/>
            </w:r>
            <w:r w:rsidR="00AF1316">
              <w:rPr>
                <w:noProof/>
                <w:webHidden/>
              </w:rPr>
              <w:t>18</w:t>
            </w:r>
            <w:r w:rsidR="00AF1316">
              <w:rPr>
                <w:noProof/>
                <w:webHidden/>
              </w:rPr>
              <w:fldChar w:fldCharType="end"/>
            </w:r>
          </w:hyperlink>
        </w:p>
        <w:p w:rsidR="00AF1316" w:rsidRDefault="000D18AA">
          <w:pPr>
            <w:pStyle w:val="Obsah3"/>
            <w:tabs>
              <w:tab w:val="left" w:pos="1320"/>
              <w:tab w:val="right" w:leader="dot" w:pos="9061"/>
            </w:tabs>
            <w:rPr>
              <w:rFonts w:asciiTheme="minorHAnsi" w:eastAsiaTheme="minorEastAsia" w:hAnsiTheme="minorHAnsi"/>
              <w:noProof/>
              <w:sz w:val="22"/>
              <w:lang w:eastAsia="cs-CZ"/>
            </w:rPr>
          </w:pPr>
          <w:hyperlink w:anchor="_Toc446336405" w:history="1">
            <w:r w:rsidR="00AF1316" w:rsidRPr="009F318B">
              <w:rPr>
                <w:rStyle w:val="Hypertextovodkaz"/>
                <w:noProof/>
              </w:rPr>
              <w:t>2.1.2.</w:t>
            </w:r>
            <w:r w:rsidR="00AF1316">
              <w:rPr>
                <w:rFonts w:asciiTheme="minorHAnsi" w:eastAsiaTheme="minorEastAsia" w:hAnsiTheme="minorHAnsi"/>
                <w:noProof/>
                <w:sz w:val="22"/>
                <w:lang w:eastAsia="cs-CZ"/>
              </w:rPr>
              <w:tab/>
            </w:r>
            <w:r w:rsidR="00AF1316" w:rsidRPr="009F318B">
              <w:rPr>
                <w:rStyle w:val="Hypertextovodkaz"/>
                <w:noProof/>
              </w:rPr>
              <w:t>Unijní právní úprava</w:t>
            </w:r>
            <w:r w:rsidR="00AF1316">
              <w:rPr>
                <w:noProof/>
                <w:webHidden/>
              </w:rPr>
              <w:tab/>
            </w:r>
            <w:r w:rsidR="00AF1316">
              <w:rPr>
                <w:noProof/>
                <w:webHidden/>
              </w:rPr>
              <w:fldChar w:fldCharType="begin"/>
            </w:r>
            <w:r w:rsidR="00AF1316">
              <w:rPr>
                <w:noProof/>
                <w:webHidden/>
              </w:rPr>
              <w:instrText xml:space="preserve"> PAGEREF _Toc446336405 \h </w:instrText>
            </w:r>
            <w:r w:rsidR="00AF1316">
              <w:rPr>
                <w:noProof/>
                <w:webHidden/>
              </w:rPr>
            </w:r>
            <w:r w:rsidR="00AF1316">
              <w:rPr>
                <w:noProof/>
                <w:webHidden/>
              </w:rPr>
              <w:fldChar w:fldCharType="separate"/>
            </w:r>
            <w:r w:rsidR="00AF1316">
              <w:rPr>
                <w:noProof/>
                <w:webHidden/>
              </w:rPr>
              <w:t>20</w:t>
            </w:r>
            <w:r w:rsidR="00AF1316">
              <w:rPr>
                <w:noProof/>
                <w:webHidden/>
              </w:rPr>
              <w:fldChar w:fldCharType="end"/>
            </w:r>
          </w:hyperlink>
        </w:p>
        <w:p w:rsidR="00AF1316" w:rsidRDefault="000D18AA">
          <w:pPr>
            <w:pStyle w:val="Obsah3"/>
            <w:tabs>
              <w:tab w:val="left" w:pos="1320"/>
              <w:tab w:val="right" w:leader="dot" w:pos="9061"/>
            </w:tabs>
            <w:rPr>
              <w:rFonts w:asciiTheme="minorHAnsi" w:eastAsiaTheme="minorEastAsia" w:hAnsiTheme="minorHAnsi"/>
              <w:noProof/>
              <w:sz w:val="22"/>
              <w:lang w:eastAsia="cs-CZ"/>
            </w:rPr>
          </w:pPr>
          <w:hyperlink w:anchor="_Toc446336406" w:history="1">
            <w:r w:rsidR="00AF1316" w:rsidRPr="009F318B">
              <w:rPr>
                <w:rStyle w:val="Hypertextovodkaz"/>
                <w:noProof/>
              </w:rPr>
              <w:t>2.1.3.</w:t>
            </w:r>
            <w:r w:rsidR="00AF1316">
              <w:rPr>
                <w:rFonts w:asciiTheme="minorHAnsi" w:eastAsiaTheme="minorEastAsia" w:hAnsiTheme="minorHAnsi"/>
                <w:noProof/>
                <w:sz w:val="22"/>
                <w:lang w:eastAsia="cs-CZ"/>
              </w:rPr>
              <w:tab/>
            </w:r>
            <w:r w:rsidR="00AF1316" w:rsidRPr="009F318B">
              <w:rPr>
                <w:rStyle w:val="Hypertextovodkaz"/>
                <w:noProof/>
              </w:rPr>
              <w:t>Proces poskytnutí informací</w:t>
            </w:r>
            <w:r w:rsidR="00AF1316">
              <w:rPr>
                <w:noProof/>
                <w:webHidden/>
              </w:rPr>
              <w:tab/>
            </w:r>
            <w:r w:rsidR="00AF1316">
              <w:rPr>
                <w:noProof/>
                <w:webHidden/>
              </w:rPr>
              <w:fldChar w:fldCharType="begin"/>
            </w:r>
            <w:r w:rsidR="00AF1316">
              <w:rPr>
                <w:noProof/>
                <w:webHidden/>
              </w:rPr>
              <w:instrText xml:space="preserve"> PAGEREF _Toc446336406 \h </w:instrText>
            </w:r>
            <w:r w:rsidR="00AF1316">
              <w:rPr>
                <w:noProof/>
                <w:webHidden/>
              </w:rPr>
            </w:r>
            <w:r w:rsidR="00AF1316">
              <w:rPr>
                <w:noProof/>
                <w:webHidden/>
              </w:rPr>
              <w:fldChar w:fldCharType="separate"/>
            </w:r>
            <w:r w:rsidR="00AF1316">
              <w:rPr>
                <w:noProof/>
                <w:webHidden/>
              </w:rPr>
              <w:t>22</w:t>
            </w:r>
            <w:r w:rsidR="00AF1316">
              <w:rPr>
                <w:noProof/>
                <w:webHidden/>
              </w:rPr>
              <w:fldChar w:fldCharType="end"/>
            </w:r>
          </w:hyperlink>
        </w:p>
        <w:p w:rsidR="00AF1316" w:rsidRDefault="000D18AA">
          <w:pPr>
            <w:pStyle w:val="Obsah3"/>
            <w:tabs>
              <w:tab w:val="left" w:pos="1320"/>
              <w:tab w:val="right" w:leader="dot" w:pos="9061"/>
            </w:tabs>
            <w:rPr>
              <w:rFonts w:asciiTheme="minorHAnsi" w:eastAsiaTheme="minorEastAsia" w:hAnsiTheme="minorHAnsi"/>
              <w:noProof/>
              <w:sz w:val="22"/>
              <w:lang w:eastAsia="cs-CZ"/>
            </w:rPr>
          </w:pPr>
          <w:hyperlink w:anchor="_Toc446336407" w:history="1">
            <w:r w:rsidR="00AF1316" w:rsidRPr="009F318B">
              <w:rPr>
                <w:rStyle w:val="Hypertextovodkaz"/>
                <w:noProof/>
              </w:rPr>
              <w:t>2.1.4.</w:t>
            </w:r>
            <w:r w:rsidR="00AF1316">
              <w:rPr>
                <w:rFonts w:asciiTheme="minorHAnsi" w:eastAsiaTheme="minorEastAsia" w:hAnsiTheme="minorHAnsi"/>
                <w:noProof/>
                <w:sz w:val="22"/>
                <w:lang w:eastAsia="cs-CZ"/>
              </w:rPr>
              <w:tab/>
            </w:r>
            <w:r w:rsidR="00AF1316" w:rsidRPr="009F318B">
              <w:rPr>
                <w:rStyle w:val="Hypertextovodkaz"/>
                <w:noProof/>
              </w:rPr>
              <w:t>Důvody pro zamítnutí poskytnutí informace</w:t>
            </w:r>
            <w:r w:rsidR="00AF1316">
              <w:rPr>
                <w:noProof/>
                <w:webHidden/>
              </w:rPr>
              <w:tab/>
            </w:r>
            <w:r w:rsidR="00AF1316">
              <w:rPr>
                <w:noProof/>
                <w:webHidden/>
              </w:rPr>
              <w:fldChar w:fldCharType="begin"/>
            </w:r>
            <w:r w:rsidR="00AF1316">
              <w:rPr>
                <w:noProof/>
                <w:webHidden/>
              </w:rPr>
              <w:instrText xml:space="preserve"> PAGEREF _Toc446336407 \h </w:instrText>
            </w:r>
            <w:r w:rsidR="00AF1316">
              <w:rPr>
                <w:noProof/>
                <w:webHidden/>
              </w:rPr>
            </w:r>
            <w:r w:rsidR="00AF1316">
              <w:rPr>
                <w:noProof/>
                <w:webHidden/>
              </w:rPr>
              <w:fldChar w:fldCharType="separate"/>
            </w:r>
            <w:r w:rsidR="00AF1316">
              <w:rPr>
                <w:noProof/>
                <w:webHidden/>
              </w:rPr>
              <w:t>24</w:t>
            </w:r>
            <w:r w:rsidR="00AF1316">
              <w:rPr>
                <w:noProof/>
                <w:webHidden/>
              </w:rPr>
              <w:fldChar w:fldCharType="end"/>
            </w:r>
          </w:hyperlink>
        </w:p>
        <w:p w:rsidR="00AF1316" w:rsidRDefault="000D18AA">
          <w:pPr>
            <w:pStyle w:val="Obsah2"/>
            <w:tabs>
              <w:tab w:val="left" w:pos="880"/>
              <w:tab w:val="right" w:leader="dot" w:pos="9061"/>
            </w:tabs>
            <w:rPr>
              <w:rFonts w:asciiTheme="minorHAnsi" w:eastAsiaTheme="minorEastAsia" w:hAnsiTheme="minorHAnsi"/>
              <w:noProof/>
              <w:sz w:val="22"/>
              <w:lang w:eastAsia="cs-CZ"/>
            </w:rPr>
          </w:pPr>
          <w:hyperlink w:anchor="_Toc446336408" w:history="1">
            <w:r w:rsidR="00AF1316" w:rsidRPr="009F318B">
              <w:rPr>
                <w:rStyle w:val="Hypertextovodkaz"/>
                <w:noProof/>
              </w:rPr>
              <w:t>2.2.</w:t>
            </w:r>
            <w:r w:rsidR="00AF1316">
              <w:rPr>
                <w:rFonts w:asciiTheme="minorHAnsi" w:eastAsiaTheme="minorEastAsia" w:hAnsiTheme="minorHAnsi"/>
                <w:noProof/>
                <w:sz w:val="22"/>
                <w:lang w:eastAsia="cs-CZ"/>
              </w:rPr>
              <w:tab/>
            </w:r>
            <w:r w:rsidR="00AF1316" w:rsidRPr="009F318B">
              <w:rPr>
                <w:rStyle w:val="Hypertextovodkaz"/>
                <w:noProof/>
              </w:rPr>
              <w:t>Povinnost shromažďovat informace a aktivně je poskytovat</w:t>
            </w:r>
            <w:r w:rsidR="00AF1316">
              <w:rPr>
                <w:noProof/>
                <w:webHidden/>
              </w:rPr>
              <w:tab/>
            </w:r>
            <w:r w:rsidR="00AF1316">
              <w:rPr>
                <w:noProof/>
                <w:webHidden/>
              </w:rPr>
              <w:fldChar w:fldCharType="begin"/>
            </w:r>
            <w:r w:rsidR="00AF1316">
              <w:rPr>
                <w:noProof/>
                <w:webHidden/>
              </w:rPr>
              <w:instrText xml:space="preserve"> PAGEREF _Toc446336408 \h </w:instrText>
            </w:r>
            <w:r w:rsidR="00AF1316">
              <w:rPr>
                <w:noProof/>
                <w:webHidden/>
              </w:rPr>
            </w:r>
            <w:r w:rsidR="00AF1316">
              <w:rPr>
                <w:noProof/>
                <w:webHidden/>
              </w:rPr>
              <w:fldChar w:fldCharType="separate"/>
            </w:r>
            <w:r w:rsidR="00AF1316">
              <w:rPr>
                <w:noProof/>
                <w:webHidden/>
              </w:rPr>
              <w:t>32</w:t>
            </w:r>
            <w:r w:rsidR="00AF1316">
              <w:rPr>
                <w:noProof/>
                <w:webHidden/>
              </w:rPr>
              <w:fldChar w:fldCharType="end"/>
            </w:r>
          </w:hyperlink>
        </w:p>
        <w:p w:rsidR="00AF1316" w:rsidRDefault="000D18AA">
          <w:pPr>
            <w:pStyle w:val="Obsah3"/>
            <w:tabs>
              <w:tab w:val="left" w:pos="1320"/>
              <w:tab w:val="right" w:leader="dot" w:pos="9061"/>
            </w:tabs>
            <w:rPr>
              <w:rFonts w:asciiTheme="minorHAnsi" w:eastAsiaTheme="minorEastAsia" w:hAnsiTheme="minorHAnsi"/>
              <w:noProof/>
              <w:sz w:val="22"/>
              <w:lang w:eastAsia="cs-CZ"/>
            </w:rPr>
          </w:pPr>
          <w:hyperlink w:anchor="_Toc446336409" w:history="1">
            <w:r w:rsidR="00AF1316" w:rsidRPr="009F318B">
              <w:rPr>
                <w:rStyle w:val="Hypertextovodkaz"/>
                <w:noProof/>
              </w:rPr>
              <w:t>2.2.1.</w:t>
            </w:r>
            <w:r w:rsidR="00AF1316">
              <w:rPr>
                <w:rFonts w:asciiTheme="minorHAnsi" w:eastAsiaTheme="minorEastAsia" w:hAnsiTheme="minorHAnsi"/>
                <w:noProof/>
                <w:sz w:val="22"/>
                <w:lang w:eastAsia="cs-CZ"/>
              </w:rPr>
              <w:tab/>
            </w:r>
            <w:r w:rsidR="00AF1316" w:rsidRPr="009F318B">
              <w:rPr>
                <w:rStyle w:val="Hypertextovodkaz"/>
                <w:noProof/>
              </w:rPr>
              <w:t>Požadavky Aarhuské úmluvy</w:t>
            </w:r>
            <w:r w:rsidR="00AF1316">
              <w:rPr>
                <w:noProof/>
                <w:webHidden/>
              </w:rPr>
              <w:tab/>
            </w:r>
            <w:r w:rsidR="00AF1316">
              <w:rPr>
                <w:noProof/>
                <w:webHidden/>
              </w:rPr>
              <w:fldChar w:fldCharType="begin"/>
            </w:r>
            <w:r w:rsidR="00AF1316">
              <w:rPr>
                <w:noProof/>
                <w:webHidden/>
              </w:rPr>
              <w:instrText xml:space="preserve"> PAGEREF _Toc446336409 \h </w:instrText>
            </w:r>
            <w:r w:rsidR="00AF1316">
              <w:rPr>
                <w:noProof/>
                <w:webHidden/>
              </w:rPr>
            </w:r>
            <w:r w:rsidR="00AF1316">
              <w:rPr>
                <w:noProof/>
                <w:webHidden/>
              </w:rPr>
              <w:fldChar w:fldCharType="separate"/>
            </w:r>
            <w:r w:rsidR="00AF1316">
              <w:rPr>
                <w:noProof/>
                <w:webHidden/>
              </w:rPr>
              <w:t>32</w:t>
            </w:r>
            <w:r w:rsidR="00AF1316">
              <w:rPr>
                <w:noProof/>
                <w:webHidden/>
              </w:rPr>
              <w:fldChar w:fldCharType="end"/>
            </w:r>
          </w:hyperlink>
        </w:p>
        <w:p w:rsidR="00AF1316" w:rsidRDefault="000D18AA">
          <w:pPr>
            <w:pStyle w:val="Obsah3"/>
            <w:tabs>
              <w:tab w:val="left" w:pos="1320"/>
              <w:tab w:val="right" w:leader="dot" w:pos="9061"/>
            </w:tabs>
            <w:rPr>
              <w:rFonts w:asciiTheme="minorHAnsi" w:eastAsiaTheme="minorEastAsia" w:hAnsiTheme="minorHAnsi"/>
              <w:noProof/>
              <w:sz w:val="22"/>
              <w:lang w:eastAsia="cs-CZ"/>
            </w:rPr>
          </w:pPr>
          <w:hyperlink w:anchor="_Toc446336410" w:history="1">
            <w:r w:rsidR="00AF1316" w:rsidRPr="009F318B">
              <w:rPr>
                <w:rStyle w:val="Hypertextovodkaz"/>
                <w:noProof/>
              </w:rPr>
              <w:t>2.2.2.</w:t>
            </w:r>
            <w:r w:rsidR="00AF1316">
              <w:rPr>
                <w:rFonts w:asciiTheme="minorHAnsi" w:eastAsiaTheme="minorEastAsia" w:hAnsiTheme="minorHAnsi"/>
                <w:noProof/>
                <w:sz w:val="22"/>
                <w:lang w:eastAsia="cs-CZ"/>
              </w:rPr>
              <w:tab/>
            </w:r>
            <w:r w:rsidR="00AF1316" w:rsidRPr="009F318B">
              <w:rPr>
                <w:rStyle w:val="Hypertextovodkaz"/>
                <w:noProof/>
              </w:rPr>
              <w:t>Unijní právní úprava</w:t>
            </w:r>
            <w:r w:rsidR="00AF1316">
              <w:rPr>
                <w:noProof/>
                <w:webHidden/>
              </w:rPr>
              <w:tab/>
            </w:r>
            <w:r w:rsidR="00AF1316">
              <w:rPr>
                <w:noProof/>
                <w:webHidden/>
              </w:rPr>
              <w:fldChar w:fldCharType="begin"/>
            </w:r>
            <w:r w:rsidR="00AF1316">
              <w:rPr>
                <w:noProof/>
                <w:webHidden/>
              </w:rPr>
              <w:instrText xml:space="preserve"> PAGEREF _Toc446336410 \h </w:instrText>
            </w:r>
            <w:r w:rsidR="00AF1316">
              <w:rPr>
                <w:noProof/>
                <w:webHidden/>
              </w:rPr>
            </w:r>
            <w:r w:rsidR="00AF1316">
              <w:rPr>
                <w:noProof/>
                <w:webHidden/>
              </w:rPr>
              <w:fldChar w:fldCharType="separate"/>
            </w:r>
            <w:r w:rsidR="00AF1316">
              <w:rPr>
                <w:noProof/>
                <w:webHidden/>
              </w:rPr>
              <w:t>34</w:t>
            </w:r>
            <w:r w:rsidR="00AF1316">
              <w:rPr>
                <w:noProof/>
                <w:webHidden/>
              </w:rPr>
              <w:fldChar w:fldCharType="end"/>
            </w:r>
          </w:hyperlink>
        </w:p>
        <w:p w:rsidR="00AF1316" w:rsidRDefault="000D18AA">
          <w:pPr>
            <w:pStyle w:val="Obsah3"/>
            <w:tabs>
              <w:tab w:val="left" w:pos="1320"/>
              <w:tab w:val="right" w:leader="dot" w:pos="9061"/>
            </w:tabs>
            <w:rPr>
              <w:rFonts w:asciiTheme="minorHAnsi" w:eastAsiaTheme="minorEastAsia" w:hAnsiTheme="minorHAnsi"/>
              <w:noProof/>
              <w:sz w:val="22"/>
              <w:lang w:eastAsia="cs-CZ"/>
            </w:rPr>
          </w:pPr>
          <w:hyperlink w:anchor="_Toc446336411" w:history="1">
            <w:r w:rsidR="00AF1316" w:rsidRPr="009F318B">
              <w:rPr>
                <w:rStyle w:val="Hypertextovodkaz"/>
                <w:noProof/>
              </w:rPr>
              <w:t>2.2.3.</w:t>
            </w:r>
            <w:r w:rsidR="00AF1316">
              <w:rPr>
                <w:rFonts w:asciiTheme="minorHAnsi" w:eastAsiaTheme="minorEastAsia" w:hAnsiTheme="minorHAnsi"/>
                <w:noProof/>
                <w:sz w:val="22"/>
                <w:lang w:eastAsia="cs-CZ"/>
              </w:rPr>
              <w:tab/>
            </w:r>
            <w:r w:rsidR="00AF1316" w:rsidRPr="009F318B">
              <w:rPr>
                <w:rStyle w:val="Hypertextovodkaz"/>
                <w:noProof/>
              </w:rPr>
              <w:t>Systém informačních toků a poskytování informací</w:t>
            </w:r>
            <w:r w:rsidR="00AF1316">
              <w:rPr>
                <w:noProof/>
                <w:webHidden/>
              </w:rPr>
              <w:tab/>
            </w:r>
            <w:r w:rsidR="00AF1316">
              <w:rPr>
                <w:noProof/>
                <w:webHidden/>
              </w:rPr>
              <w:fldChar w:fldCharType="begin"/>
            </w:r>
            <w:r w:rsidR="00AF1316">
              <w:rPr>
                <w:noProof/>
                <w:webHidden/>
              </w:rPr>
              <w:instrText xml:space="preserve"> PAGEREF _Toc446336411 \h </w:instrText>
            </w:r>
            <w:r w:rsidR="00AF1316">
              <w:rPr>
                <w:noProof/>
                <w:webHidden/>
              </w:rPr>
            </w:r>
            <w:r w:rsidR="00AF1316">
              <w:rPr>
                <w:noProof/>
                <w:webHidden/>
              </w:rPr>
              <w:fldChar w:fldCharType="separate"/>
            </w:r>
            <w:r w:rsidR="00AF1316">
              <w:rPr>
                <w:noProof/>
                <w:webHidden/>
              </w:rPr>
              <w:t>35</w:t>
            </w:r>
            <w:r w:rsidR="00AF1316">
              <w:rPr>
                <w:noProof/>
                <w:webHidden/>
              </w:rPr>
              <w:fldChar w:fldCharType="end"/>
            </w:r>
          </w:hyperlink>
        </w:p>
        <w:p w:rsidR="00AF1316" w:rsidRDefault="000D18AA">
          <w:pPr>
            <w:pStyle w:val="Obsah1"/>
            <w:tabs>
              <w:tab w:val="left" w:pos="480"/>
              <w:tab w:val="right" w:leader="dot" w:pos="9061"/>
            </w:tabs>
            <w:rPr>
              <w:rFonts w:asciiTheme="minorHAnsi" w:eastAsiaTheme="minorEastAsia" w:hAnsiTheme="minorHAnsi"/>
              <w:noProof/>
              <w:sz w:val="22"/>
              <w:lang w:eastAsia="cs-CZ"/>
            </w:rPr>
          </w:pPr>
          <w:hyperlink w:anchor="_Toc446336412" w:history="1">
            <w:r w:rsidR="00AF1316" w:rsidRPr="009F318B">
              <w:rPr>
                <w:rStyle w:val="Hypertextovodkaz"/>
                <w:noProof/>
              </w:rPr>
              <w:t>3.</w:t>
            </w:r>
            <w:r w:rsidR="00AF1316">
              <w:rPr>
                <w:rFonts w:asciiTheme="minorHAnsi" w:eastAsiaTheme="minorEastAsia" w:hAnsiTheme="minorHAnsi"/>
                <w:noProof/>
                <w:sz w:val="22"/>
                <w:lang w:eastAsia="cs-CZ"/>
              </w:rPr>
              <w:tab/>
            </w:r>
            <w:r w:rsidR="00AF1316" w:rsidRPr="009F318B">
              <w:rPr>
                <w:rStyle w:val="Hypertextovodkaz"/>
                <w:noProof/>
              </w:rPr>
              <w:t>Účast veřejnosti na rozhodování o životním prostředí</w:t>
            </w:r>
            <w:r w:rsidR="00AF1316">
              <w:rPr>
                <w:noProof/>
                <w:webHidden/>
              </w:rPr>
              <w:tab/>
            </w:r>
            <w:r w:rsidR="00AF1316">
              <w:rPr>
                <w:noProof/>
                <w:webHidden/>
              </w:rPr>
              <w:fldChar w:fldCharType="begin"/>
            </w:r>
            <w:r w:rsidR="00AF1316">
              <w:rPr>
                <w:noProof/>
                <w:webHidden/>
              </w:rPr>
              <w:instrText xml:space="preserve"> PAGEREF _Toc446336412 \h </w:instrText>
            </w:r>
            <w:r w:rsidR="00AF1316">
              <w:rPr>
                <w:noProof/>
                <w:webHidden/>
              </w:rPr>
            </w:r>
            <w:r w:rsidR="00AF1316">
              <w:rPr>
                <w:noProof/>
                <w:webHidden/>
              </w:rPr>
              <w:fldChar w:fldCharType="separate"/>
            </w:r>
            <w:r w:rsidR="00AF1316">
              <w:rPr>
                <w:noProof/>
                <w:webHidden/>
              </w:rPr>
              <w:t>38</w:t>
            </w:r>
            <w:r w:rsidR="00AF1316">
              <w:rPr>
                <w:noProof/>
                <w:webHidden/>
              </w:rPr>
              <w:fldChar w:fldCharType="end"/>
            </w:r>
          </w:hyperlink>
        </w:p>
        <w:p w:rsidR="00AF1316" w:rsidRDefault="000D18AA">
          <w:pPr>
            <w:pStyle w:val="Obsah2"/>
            <w:tabs>
              <w:tab w:val="left" w:pos="880"/>
              <w:tab w:val="right" w:leader="dot" w:pos="9061"/>
            </w:tabs>
            <w:rPr>
              <w:rFonts w:asciiTheme="minorHAnsi" w:eastAsiaTheme="minorEastAsia" w:hAnsiTheme="minorHAnsi"/>
              <w:noProof/>
              <w:sz w:val="22"/>
              <w:lang w:eastAsia="cs-CZ"/>
            </w:rPr>
          </w:pPr>
          <w:hyperlink w:anchor="_Toc446336413" w:history="1">
            <w:r w:rsidR="00AF1316" w:rsidRPr="009F318B">
              <w:rPr>
                <w:rStyle w:val="Hypertextovodkaz"/>
                <w:noProof/>
              </w:rPr>
              <w:t>3.1.</w:t>
            </w:r>
            <w:r w:rsidR="00AF1316">
              <w:rPr>
                <w:rFonts w:asciiTheme="minorHAnsi" w:eastAsiaTheme="minorEastAsia" w:hAnsiTheme="minorHAnsi"/>
                <w:noProof/>
                <w:sz w:val="22"/>
                <w:lang w:eastAsia="cs-CZ"/>
              </w:rPr>
              <w:tab/>
            </w:r>
            <w:r w:rsidR="00AF1316" w:rsidRPr="009F318B">
              <w:rPr>
                <w:rStyle w:val="Hypertextovodkaz"/>
                <w:noProof/>
              </w:rPr>
              <w:t>Požadavky Aarhuské Úmluvy</w:t>
            </w:r>
            <w:r w:rsidR="00AF1316">
              <w:rPr>
                <w:noProof/>
                <w:webHidden/>
              </w:rPr>
              <w:tab/>
            </w:r>
            <w:r w:rsidR="00AF1316">
              <w:rPr>
                <w:noProof/>
                <w:webHidden/>
              </w:rPr>
              <w:fldChar w:fldCharType="begin"/>
            </w:r>
            <w:r w:rsidR="00AF1316">
              <w:rPr>
                <w:noProof/>
                <w:webHidden/>
              </w:rPr>
              <w:instrText xml:space="preserve"> PAGEREF _Toc446336413 \h </w:instrText>
            </w:r>
            <w:r w:rsidR="00AF1316">
              <w:rPr>
                <w:noProof/>
                <w:webHidden/>
              </w:rPr>
            </w:r>
            <w:r w:rsidR="00AF1316">
              <w:rPr>
                <w:noProof/>
                <w:webHidden/>
              </w:rPr>
              <w:fldChar w:fldCharType="separate"/>
            </w:r>
            <w:r w:rsidR="00AF1316">
              <w:rPr>
                <w:noProof/>
                <w:webHidden/>
              </w:rPr>
              <w:t>38</w:t>
            </w:r>
            <w:r w:rsidR="00AF1316">
              <w:rPr>
                <w:noProof/>
                <w:webHidden/>
              </w:rPr>
              <w:fldChar w:fldCharType="end"/>
            </w:r>
          </w:hyperlink>
        </w:p>
        <w:p w:rsidR="00AF1316" w:rsidRDefault="000D18AA">
          <w:pPr>
            <w:pStyle w:val="Obsah2"/>
            <w:tabs>
              <w:tab w:val="left" w:pos="880"/>
              <w:tab w:val="right" w:leader="dot" w:pos="9061"/>
            </w:tabs>
            <w:rPr>
              <w:rFonts w:asciiTheme="minorHAnsi" w:eastAsiaTheme="minorEastAsia" w:hAnsiTheme="minorHAnsi"/>
              <w:noProof/>
              <w:sz w:val="22"/>
              <w:lang w:eastAsia="cs-CZ"/>
            </w:rPr>
          </w:pPr>
          <w:hyperlink w:anchor="_Toc446336414" w:history="1">
            <w:r w:rsidR="00AF1316" w:rsidRPr="009F318B">
              <w:rPr>
                <w:rStyle w:val="Hypertextovodkaz"/>
                <w:noProof/>
              </w:rPr>
              <w:t>3.2.</w:t>
            </w:r>
            <w:r w:rsidR="00AF1316">
              <w:rPr>
                <w:rFonts w:asciiTheme="minorHAnsi" w:eastAsiaTheme="minorEastAsia" w:hAnsiTheme="minorHAnsi"/>
                <w:noProof/>
                <w:sz w:val="22"/>
                <w:lang w:eastAsia="cs-CZ"/>
              </w:rPr>
              <w:tab/>
            </w:r>
            <w:r w:rsidR="00AF1316" w:rsidRPr="009F318B">
              <w:rPr>
                <w:rStyle w:val="Hypertextovodkaz"/>
                <w:noProof/>
              </w:rPr>
              <w:t>Unijní právní úprava</w:t>
            </w:r>
            <w:r w:rsidR="00AF1316">
              <w:rPr>
                <w:noProof/>
                <w:webHidden/>
              </w:rPr>
              <w:tab/>
            </w:r>
            <w:r w:rsidR="00AF1316">
              <w:rPr>
                <w:noProof/>
                <w:webHidden/>
              </w:rPr>
              <w:fldChar w:fldCharType="begin"/>
            </w:r>
            <w:r w:rsidR="00AF1316">
              <w:rPr>
                <w:noProof/>
                <w:webHidden/>
              </w:rPr>
              <w:instrText xml:space="preserve"> PAGEREF _Toc446336414 \h </w:instrText>
            </w:r>
            <w:r w:rsidR="00AF1316">
              <w:rPr>
                <w:noProof/>
                <w:webHidden/>
              </w:rPr>
            </w:r>
            <w:r w:rsidR="00AF1316">
              <w:rPr>
                <w:noProof/>
                <w:webHidden/>
              </w:rPr>
              <w:fldChar w:fldCharType="separate"/>
            </w:r>
            <w:r w:rsidR="00AF1316">
              <w:rPr>
                <w:noProof/>
                <w:webHidden/>
              </w:rPr>
              <w:t>39</w:t>
            </w:r>
            <w:r w:rsidR="00AF1316">
              <w:rPr>
                <w:noProof/>
                <w:webHidden/>
              </w:rPr>
              <w:fldChar w:fldCharType="end"/>
            </w:r>
          </w:hyperlink>
        </w:p>
        <w:p w:rsidR="00AF1316" w:rsidRDefault="000D18AA">
          <w:pPr>
            <w:pStyle w:val="Obsah3"/>
            <w:tabs>
              <w:tab w:val="left" w:pos="1320"/>
              <w:tab w:val="right" w:leader="dot" w:pos="9061"/>
            </w:tabs>
            <w:rPr>
              <w:rFonts w:asciiTheme="minorHAnsi" w:eastAsiaTheme="minorEastAsia" w:hAnsiTheme="minorHAnsi"/>
              <w:noProof/>
              <w:sz w:val="22"/>
              <w:lang w:eastAsia="cs-CZ"/>
            </w:rPr>
          </w:pPr>
          <w:hyperlink w:anchor="_Toc446336415" w:history="1">
            <w:r w:rsidR="00AF1316" w:rsidRPr="009F318B">
              <w:rPr>
                <w:rStyle w:val="Hypertextovodkaz"/>
                <w:noProof/>
              </w:rPr>
              <w:t>3.2.1.</w:t>
            </w:r>
            <w:r w:rsidR="00AF1316">
              <w:rPr>
                <w:rFonts w:asciiTheme="minorHAnsi" w:eastAsiaTheme="minorEastAsia" w:hAnsiTheme="minorHAnsi"/>
                <w:noProof/>
                <w:sz w:val="22"/>
                <w:lang w:eastAsia="cs-CZ"/>
              </w:rPr>
              <w:tab/>
            </w:r>
            <w:r w:rsidR="00AF1316" w:rsidRPr="009F318B">
              <w:rPr>
                <w:rStyle w:val="Hypertextovodkaz"/>
                <w:noProof/>
              </w:rPr>
              <w:t>Evropská občanská iniciativa</w:t>
            </w:r>
            <w:r w:rsidR="00AF1316">
              <w:rPr>
                <w:noProof/>
                <w:webHidden/>
              </w:rPr>
              <w:tab/>
            </w:r>
            <w:r w:rsidR="00AF1316">
              <w:rPr>
                <w:noProof/>
                <w:webHidden/>
              </w:rPr>
              <w:fldChar w:fldCharType="begin"/>
            </w:r>
            <w:r w:rsidR="00AF1316">
              <w:rPr>
                <w:noProof/>
                <w:webHidden/>
              </w:rPr>
              <w:instrText xml:space="preserve"> PAGEREF _Toc446336415 \h </w:instrText>
            </w:r>
            <w:r w:rsidR="00AF1316">
              <w:rPr>
                <w:noProof/>
                <w:webHidden/>
              </w:rPr>
            </w:r>
            <w:r w:rsidR="00AF1316">
              <w:rPr>
                <w:noProof/>
                <w:webHidden/>
              </w:rPr>
              <w:fldChar w:fldCharType="separate"/>
            </w:r>
            <w:r w:rsidR="00AF1316">
              <w:rPr>
                <w:noProof/>
                <w:webHidden/>
              </w:rPr>
              <w:t>42</w:t>
            </w:r>
            <w:r w:rsidR="00AF1316">
              <w:rPr>
                <w:noProof/>
                <w:webHidden/>
              </w:rPr>
              <w:fldChar w:fldCharType="end"/>
            </w:r>
          </w:hyperlink>
        </w:p>
        <w:p w:rsidR="00AF1316" w:rsidRDefault="000D18AA">
          <w:pPr>
            <w:pStyle w:val="Obsah3"/>
            <w:tabs>
              <w:tab w:val="left" w:pos="1320"/>
              <w:tab w:val="right" w:leader="dot" w:pos="9061"/>
            </w:tabs>
            <w:rPr>
              <w:rFonts w:asciiTheme="minorHAnsi" w:eastAsiaTheme="minorEastAsia" w:hAnsiTheme="minorHAnsi"/>
              <w:noProof/>
              <w:sz w:val="22"/>
              <w:lang w:eastAsia="cs-CZ"/>
            </w:rPr>
          </w:pPr>
          <w:hyperlink w:anchor="_Toc446336416" w:history="1">
            <w:r w:rsidR="00AF1316" w:rsidRPr="009F318B">
              <w:rPr>
                <w:rStyle w:val="Hypertextovodkaz"/>
                <w:noProof/>
              </w:rPr>
              <w:t>3.2.2.</w:t>
            </w:r>
            <w:r w:rsidR="00AF1316">
              <w:rPr>
                <w:rFonts w:asciiTheme="minorHAnsi" w:eastAsiaTheme="minorEastAsia" w:hAnsiTheme="minorHAnsi"/>
                <w:noProof/>
                <w:sz w:val="22"/>
                <w:lang w:eastAsia="cs-CZ"/>
              </w:rPr>
              <w:tab/>
            </w:r>
            <w:r w:rsidR="00AF1316" w:rsidRPr="009F318B">
              <w:rPr>
                <w:rStyle w:val="Hypertextovodkaz"/>
                <w:noProof/>
              </w:rPr>
              <w:t>Your voice in Europe</w:t>
            </w:r>
            <w:r w:rsidR="00AF1316">
              <w:rPr>
                <w:noProof/>
                <w:webHidden/>
              </w:rPr>
              <w:tab/>
            </w:r>
            <w:r w:rsidR="00AF1316">
              <w:rPr>
                <w:noProof/>
                <w:webHidden/>
              </w:rPr>
              <w:fldChar w:fldCharType="begin"/>
            </w:r>
            <w:r w:rsidR="00AF1316">
              <w:rPr>
                <w:noProof/>
                <w:webHidden/>
              </w:rPr>
              <w:instrText xml:space="preserve"> PAGEREF _Toc446336416 \h </w:instrText>
            </w:r>
            <w:r w:rsidR="00AF1316">
              <w:rPr>
                <w:noProof/>
                <w:webHidden/>
              </w:rPr>
            </w:r>
            <w:r w:rsidR="00AF1316">
              <w:rPr>
                <w:noProof/>
                <w:webHidden/>
              </w:rPr>
              <w:fldChar w:fldCharType="separate"/>
            </w:r>
            <w:r w:rsidR="00AF1316">
              <w:rPr>
                <w:noProof/>
                <w:webHidden/>
              </w:rPr>
              <w:t>44</w:t>
            </w:r>
            <w:r w:rsidR="00AF1316">
              <w:rPr>
                <w:noProof/>
                <w:webHidden/>
              </w:rPr>
              <w:fldChar w:fldCharType="end"/>
            </w:r>
          </w:hyperlink>
        </w:p>
        <w:p w:rsidR="00AF1316" w:rsidRDefault="000D18AA">
          <w:pPr>
            <w:pStyle w:val="Obsah2"/>
            <w:tabs>
              <w:tab w:val="left" w:pos="880"/>
              <w:tab w:val="right" w:leader="dot" w:pos="9061"/>
            </w:tabs>
            <w:rPr>
              <w:rFonts w:asciiTheme="minorHAnsi" w:eastAsiaTheme="minorEastAsia" w:hAnsiTheme="minorHAnsi"/>
              <w:noProof/>
              <w:sz w:val="22"/>
              <w:lang w:eastAsia="cs-CZ"/>
            </w:rPr>
          </w:pPr>
          <w:hyperlink w:anchor="_Toc446336417" w:history="1">
            <w:r w:rsidR="00AF1316" w:rsidRPr="009F318B">
              <w:rPr>
                <w:rStyle w:val="Hypertextovodkaz"/>
                <w:noProof/>
              </w:rPr>
              <w:t>3.3.</w:t>
            </w:r>
            <w:r w:rsidR="00AF1316">
              <w:rPr>
                <w:rFonts w:asciiTheme="minorHAnsi" w:eastAsiaTheme="minorEastAsia" w:hAnsiTheme="minorHAnsi"/>
                <w:noProof/>
                <w:sz w:val="22"/>
                <w:lang w:eastAsia="cs-CZ"/>
              </w:rPr>
              <w:tab/>
            </w:r>
            <w:r w:rsidR="00AF1316" w:rsidRPr="009F318B">
              <w:rPr>
                <w:rStyle w:val="Hypertextovodkaz"/>
                <w:noProof/>
              </w:rPr>
              <w:t>Analýza: Right2Water</w:t>
            </w:r>
            <w:r w:rsidR="00AF1316">
              <w:rPr>
                <w:noProof/>
                <w:webHidden/>
              </w:rPr>
              <w:tab/>
            </w:r>
            <w:r w:rsidR="00AF1316">
              <w:rPr>
                <w:noProof/>
                <w:webHidden/>
              </w:rPr>
              <w:fldChar w:fldCharType="begin"/>
            </w:r>
            <w:r w:rsidR="00AF1316">
              <w:rPr>
                <w:noProof/>
                <w:webHidden/>
              </w:rPr>
              <w:instrText xml:space="preserve"> PAGEREF _Toc446336417 \h </w:instrText>
            </w:r>
            <w:r w:rsidR="00AF1316">
              <w:rPr>
                <w:noProof/>
                <w:webHidden/>
              </w:rPr>
            </w:r>
            <w:r w:rsidR="00AF1316">
              <w:rPr>
                <w:noProof/>
                <w:webHidden/>
              </w:rPr>
              <w:fldChar w:fldCharType="separate"/>
            </w:r>
            <w:r w:rsidR="00AF1316">
              <w:rPr>
                <w:noProof/>
                <w:webHidden/>
              </w:rPr>
              <w:t>45</w:t>
            </w:r>
            <w:r w:rsidR="00AF1316">
              <w:rPr>
                <w:noProof/>
                <w:webHidden/>
              </w:rPr>
              <w:fldChar w:fldCharType="end"/>
            </w:r>
          </w:hyperlink>
        </w:p>
        <w:p w:rsidR="00AF1316" w:rsidRDefault="000D18AA">
          <w:pPr>
            <w:pStyle w:val="Obsah3"/>
            <w:tabs>
              <w:tab w:val="left" w:pos="1320"/>
              <w:tab w:val="right" w:leader="dot" w:pos="9061"/>
            </w:tabs>
            <w:rPr>
              <w:rFonts w:asciiTheme="minorHAnsi" w:eastAsiaTheme="minorEastAsia" w:hAnsiTheme="minorHAnsi"/>
              <w:noProof/>
              <w:sz w:val="22"/>
              <w:lang w:eastAsia="cs-CZ"/>
            </w:rPr>
          </w:pPr>
          <w:hyperlink w:anchor="_Toc446336418" w:history="1">
            <w:r w:rsidR="00AF1316" w:rsidRPr="009F318B">
              <w:rPr>
                <w:rStyle w:val="Hypertextovodkaz"/>
                <w:noProof/>
              </w:rPr>
              <w:t>3.3.1.</w:t>
            </w:r>
            <w:r w:rsidR="00AF1316">
              <w:rPr>
                <w:rFonts w:asciiTheme="minorHAnsi" w:eastAsiaTheme="minorEastAsia" w:hAnsiTheme="minorHAnsi"/>
                <w:noProof/>
                <w:sz w:val="22"/>
                <w:lang w:eastAsia="cs-CZ"/>
              </w:rPr>
              <w:tab/>
            </w:r>
            <w:r w:rsidR="00AF1316" w:rsidRPr="009F318B">
              <w:rPr>
                <w:rStyle w:val="Hypertextovodkaz"/>
                <w:noProof/>
              </w:rPr>
              <w:t>Průběh iniciativy Right2Water</w:t>
            </w:r>
            <w:r w:rsidR="00AF1316">
              <w:rPr>
                <w:noProof/>
                <w:webHidden/>
              </w:rPr>
              <w:tab/>
            </w:r>
            <w:r w:rsidR="00AF1316">
              <w:rPr>
                <w:noProof/>
                <w:webHidden/>
              </w:rPr>
              <w:fldChar w:fldCharType="begin"/>
            </w:r>
            <w:r w:rsidR="00AF1316">
              <w:rPr>
                <w:noProof/>
                <w:webHidden/>
              </w:rPr>
              <w:instrText xml:space="preserve"> PAGEREF _Toc446336418 \h </w:instrText>
            </w:r>
            <w:r w:rsidR="00AF1316">
              <w:rPr>
                <w:noProof/>
                <w:webHidden/>
              </w:rPr>
            </w:r>
            <w:r w:rsidR="00AF1316">
              <w:rPr>
                <w:noProof/>
                <w:webHidden/>
              </w:rPr>
              <w:fldChar w:fldCharType="separate"/>
            </w:r>
            <w:r w:rsidR="00AF1316">
              <w:rPr>
                <w:noProof/>
                <w:webHidden/>
              </w:rPr>
              <w:t>45</w:t>
            </w:r>
            <w:r w:rsidR="00AF1316">
              <w:rPr>
                <w:noProof/>
                <w:webHidden/>
              </w:rPr>
              <w:fldChar w:fldCharType="end"/>
            </w:r>
          </w:hyperlink>
        </w:p>
        <w:p w:rsidR="00AF1316" w:rsidRDefault="000D18AA">
          <w:pPr>
            <w:pStyle w:val="Obsah3"/>
            <w:tabs>
              <w:tab w:val="left" w:pos="1320"/>
              <w:tab w:val="right" w:leader="dot" w:pos="9061"/>
            </w:tabs>
            <w:rPr>
              <w:rFonts w:asciiTheme="minorHAnsi" w:eastAsiaTheme="minorEastAsia" w:hAnsiTheme="minorHAnsi"/>
              <w:noProof/>
              <w:sz w:val="22"/>
              <w:lang w:eastAsia="cs-CZ"/>
            </w:rPr>
          </w:pPr>
          <w:hyperlink w:anchor="_Toc446336419" w:history="1">
            <w:r w:rsidR="00AF1316" w:rsidRPr="009F318B">
              <w:rPr>
                <w:rStyle w:val="Hypertextovodkaz"/>
                <w:noProof/>
              </w:rPr>
              <w:t>3.3.2.</w:t>
            </w:r>
            <w:r w:rsidR="00AF1316">
              <w:rPr>
                <w:rFonts w:asciiTheme="minorHAnsi" w:eastAsiaTheme="minorEastAsia" w:hAnsiTheme="minorHAnsi"/>
                <w:noProof/>
                <w:sz w:val="22"/>
                <w:lang w:eastAsia="cs-CZ"/>
              </w:rPr>
              <w:tab/>
            </w:r>
            <w:r w:rsidR="00AF1316" w:rsidRPr="009F318B">
              <w:rPr>
                <w:rStyle w:val="Hypertextovodkaz"/>
                <w:noProof/>
              </w:rPr>
              <w:t>Zhodnocení</w:t>
            </w:r>
            <w:r w:rsidR="00AF1316">
              <w:rPr>
                <w:noProof/>
                <w:webHidden/>
              </w:rPr>
              <w:tab/>
            </w:r>
            <w:r w:rsidR="00AF1316">
              <w:rPr>
                <w:noProof/>
                <w:webHidden/>
              </w:rPr>
              <w:fldChar w:fldCharType="begin"/>
            </w:r>
            <w:r w:rsidR="00AF1316">
              <w:rPr>
                <w:noProof/>
                <w:webHidden/>
              </w:rPr>
              <w:instrText xml:space="preserve"> PAGEREF _Toc446336419 \h </w:instrText>
            </w:r>
            <w:r w:rsidR="00AF1316">
              <w:rPr>
                <w:noProof/>
                <w:webHidden/>
              </w:rPr>
            </w:r>
            <w:r w:rsidR="00AF1316">
              <w:rPr>
                <w:noProof/>
                <w:webHidden/>
              </w:rPr>
              <w:fldChar w:fldCharType="separate"/>
            </w:r>
            <w:r w:rsidR="00AF1316">
              <w:rPr>
                <w:noProof/>
                <w:webHidden/>
              </w:rPr>
              <w:t>47</w:t>
            </w:r>
            <w:r w:rsidR="00AF1316">
              <w:rPr>
                <w:noProof/>
                <w:webHidden/>
              </w:rPr>
              <w:fldChar w:fldCharType="end"/>
            </w:r>
          </w:hyperlink>
        </w:p>
        <w:p w:rsidR="00AF1316" w:rsidRDefault="000D18AA">
          <w:pPr>
            <w:pStyle w:val="Obsah1"/>
            <w:tabs>
              <w:tab w:val="left" w:pos="480"/>
              <w:tab w:val="right" w:leader="dot" w:pos="9061"/>
            </w:tabs>
            <w:rPr>
              <w:rFonts w:asciiTheme="minorHAnsi" w:eastAsiaTheme="minorEastAsia" w:hAnsiTheme="minorHAnsi"/>
              <w:noProof/>
              <w:sz w:val="22"/>
              <w:lang w:eastAsia="cs-CZ"/>
            </w:rPr>
          </w:pPr>
          <w:hyperlink w:anchor="_Toc446336420" w:history="1">
            <w:r w:rsidR="00AF1316" w:rsidRPr="009F318B">
              <w:rPr>
                <w:rStyle w:val="Hypertextovodkaz"/>
                <w:noProof/>
              </w:rPr>
              <w:t>4.</w:t>
            </w:r>
            <w:r w:rsidR="00AF1316">
              <w:rPr>
                <w:rFonts w:asciiTheme="minorHAnsi" w:eastAsiaTheme="minorEastAsia" w:hAnsiTheme="minorHAnsi"/>
                <w:noProof/>
                <w:sz w:val="22"/>
                <w:lang w:eastAsia="cs-CZ"/>
              </w:rPr>
              <w:tab/>
            </w:r>
            <w:r w:rsidR="00AF1316" w:rsidRPr="009F318B">
              <w:rPr>
                <w:rStyle w:val="Hypertextovodkaz"/>
                <w:noProof/>
              </w:rPr>
              <w:t>Přístup k právní ochraně</w:t>
            </w:r>
            <w:r w:rsidR="00AF1316">
              <w:rPr>
                <w:noProof/>
                <w:webHidden/>
              </w:rPr>
              <w:tab/>
            </w:r>
            <w:r w:rsidR="00AF1316">
              <w:rPr>
                <w:noProof/>
                <w:webHidden/>
              </w:rPr>
              <w:fldChar w:fldCharType="begin"/>
            </w:r>
            <w:r w:rsidR="00AF1316">
              <w:rPr>
                <w:noProof/>
                <w:webHidden/>
              </w:rPr>
              <w:instrText xml:space="preserve"> PAGEREF _Toc446336420 \h </w:instrText>
            </w:r>
            <w:r w:rsidR="00AF1316">
              <w:rPr>
                <w:noProof/>
                <w:webHidden/>
              </w:rPr>
            </w:r>
            <w:r w:rsidR="00AF1316">
              <w:rPr>
                <w:noProof/>
                <w:webHidden/>
              </w:rPr>
              <w:fldChar w:fldCharType="separate"/>
            </w:r>
            <w:r w:rsidR="00AF1316">
              <w:rPr>
                <w:noProof/>
                <w:webHidden/>
              </w:rPr>
              <w:t>49</w:t>
            </w:r>
            <w:r w:rsidR="00AF1316">
              <w:rPr>
                <w:noProof/>
                <w:webHidden/>
              </w:rPr>
              <w:fldChar w:fldCharType="end"/>
            </w:r>
          </w:hyperlink>
        </w:p>
        <w:p w:rsidR="00AF1316" w:rsidRDefault="000D18AA">
          <w:pPr>
            <w:pStyle w:val="Obsah2"/>
            <w:tabs>
              <w:tab w:val="left" w:pos="880"/>
              <w:tab w:val="right" w:leader="dot" w:pos="9061"/>
            </w:tabs>
            <w:rPr>
              <w:rFonts w:asciiTheme="minorHAnsi" w:eastAsiaTheme="minorEastAsia" w:hAnsiTheme="minorHAnsi"/>
              <w:noProof/>
              <w:sz w:val="22"/>
              <w:lang w:eastAsia="cs-CZ"/>
            </w:rPr>
          </w:pPr>
          <w:hyperlink w:anchor="_Toc446336421" w:history="1">
            <w:r w:rsidR="00AF1316" w:rsidRPr="009F318B">
              <w:rPr>
                <w:rStyle w:val="Hypertextovodkaz"/>
                <w:noProof/>
              </w:rPr>
              <w:t>4.1.</w:t>
            </w:r>
            <w:r w:rsidR="00AF1316">
              <w:rPr>
                <w:rFonts w:asciiTheme="minorHAnsi" w:eastAsiaTheme="minorEastAsia" w:hAnsiTheme="minorHAnsi"/>
                <w:noProof/>
                <w:sz w:val="22"/>
                <w:lang w:eastAsia="cs-CZ"/>
              </w:rPr>
              <w:tab/>
            </w:r>
            <w:r w:rsidR="00AF1316" w:rsidRPr="009F318B">
              <w:rPr>
                <w:rStyle w:val="Hypertextovodkaz"/>
                <w:noProof/>
              </w:rPr>
              <w:t>Požadavky Aarhuské úmluvy</w:t>
            </w:r>
            <w:r w:rsidR="00AF1316">
              <w:rPr>
                <w:noProof/>
                <w:webHidden/>
              </w:rPr>
              <w:tab/>
            </w:r>
            <w:r w:rsidR="00AF1316">
              <w:rPr>
                <w:noProof/>
                <w:webHidden/>
              </w:rPr>
              <w:fldChar w:fldCharType="begin"/>
            </w:r>
            <w:r w:rsidR="00AF1316">
              <w:rPr>
                <w:noProof/>
                <w:webHidden/>
              </w:rPr>
              <w:instrText xml:space="preserve"> PAGEREF _Toc446336421 \h </w:instrText>
            </w:r>
            <w:r w:rsidR="00AF1316">
              <w:rPr>
                <w:noProof/>
                <w:webHidden/>
              </w:rPr>
            </w:r>
            <w:r w:rsidR="00AF1316">
              <w:rPr>
                <w:noProof/>
                <w:webHidden/>
              </w:rPr>
              <w:fldChar w:fldCharType="separate"/>
            </w:r>
            <w:r w:rsidR="00AF1316">
              <w:rPr>
                <w:noProof/>
                <w:webHidden/>
              </w:rPr>
              <w:t>49</w:t>
            </w:r>
            <w:r w:rsidR="00AF1316">
              <w:rPr>
                <w:noProof/>
                <w:webHidden/>
              </w:rPr>
              <w:fldChar w:fldCharType="end"/>
            </w:r>
          </w:hyperlink>
        </w:p>
        <w:p w:rsidR="00AF1316" w:rsidRDefault="000D18AA">
          <w:pPr>
            <w:pStyle w:val="Obsah2"/>
            <w:tabs>
              <w:tab w:val="left" w:pos="880"/>
              <w:tab w:val="right" w:leader="dot" w:pos="9061"/>
            </w:tabs>
            <w:rPr>
              <w:rFonts w:asciiTheme="minorHAnsi" w:eastAsiaTheme="minorEastAsia" w:hAnsiTheme="minorHAnsi"/>
              <w:noProof/>
              <w:sz w:val="22"/>
              <w:lang w:eastAsia="cs-CZ"/>
            </w:rPr>
          </w:pPr>
          <w:hyperlink w:anchor="_Toc446336426" w:history="1">
            <w:r w:rsidR="00AF1316" w:rsidRPr="009F318B">
              <w:rPr>
                <w:rStyle w:val="Hypertextovodkaz"/>
                <w:noProof/>
              </w:rPr>
              <w:t>4.2.</w:t>
            </w:r>
            <w:r w:rsidR="00AF1316">
              <w:rPr>
                <w:rFonts w:asciiTheme="minorHAnsi" w:eastAsiaTheme="minorEastAsia" w:hAnsiTheme="minorHAnsi"/>
                <w:noProof/>
                <w:sz w:val="22"/>
                <w:lang w:eastAsia="cs-CZ"/>
              </w:rPr>
              <w:tab/>
            </w:r>
            <w:r w:rsidR="00AF1316" w:rsidRPr="009F318B">
              <w:rPr>
                <w:rStyle w:val="Hypertextovodkaz"/>
                <w:noProof/>
              </w:rPr>
              <w:t>Unijní právní úprava</w:t>
            </w:r>
            <w:r w:rsidR="00AF1316">
              <w:rPr>
                <w:noProof/>
                <w:webHidden/>
              </w:rPr>
              <w:tab/>
            </w:r>
            <w:r w:rsidR="00AF1316">
              <w:rPr>
                <w:noProof/>
                <w:webHidden/>
              </w:rPr>
              <w:fldChar w:fldCharType="begin"/>
            </w:r>
            <w:r w:rsidR="00AF1316">
              <w:rPr>
                <w:noProof/>
                <w:webHidden/>
              </w:rPr>
              <w:instrText xml:space="preserve"> PAGEREF _Toc446336426 \h </w:instrText>
            </w:r>
            <w:r w:rsidR="00AF1316">
              <w:rPr>
                <w:noProof/>
                <w:webHidden/>
              </w:rPr>
            </w:r>
            <w:r w:rsidR="00AF1316">
              <w:rPr>
                <w:noProof/>
                <w:webHidden/>
              </w:rPr>
              <w:fldChar w:fldCharType="separate"/>
            </w:r>
            <w:r w:rsidR="00AF1316">
              <w:rPr>
                <w:noProof/>
                <w:webHidden/>
              </w:rPr>
              <w:t>50</w:t>
            </w:r>
            <w:r w:rsidR="00AF1316">
              <w:rPr>
                <w:noProof/>
                <w:webHidden/>
              </w:rPr>
              <w:fldChar w:fldCharType="end"/>
            </w:r>
          </w:hyperlink>
        </w:p>
        <w:p w:rsidR="00AF1316" w:rsidRDefault="000D18AA">
          <w:pPr>
            <w:pStyle w:val="Obsah3"/>
            <w:tabs>
              <w:tab w:val="left" w:pos="1320"/>
              <w:tab w:val="right" w:leader="dot" w:pos="9061"/>
            </w:tabs>
            <w:rPr>
              <w:rFonts w:asciiTheme="minorHAnsi" w:eastAsiaTheme="minorEastAsia" w:hAnsiTheme="minorHAnsi"/>
              <w:noProof/>
              <w:sz w:val="22"/>
              <w:lang w:eastAsia="cs-CZ"/>
            </w:rPr>
          </w:pPr>
          <w:hyperlink w:anchor="_Toc446336427" w:history="1">
            <w:r w:rsidR="00AF1316" w:rsidRPr="009F318B">
              <w:rPr>
                <w:rStyle w:val="Hypertextovodkaz"/>
                <w:noProof/>
              </w:rPr>
              <w:t>4.2.1.</w:t>
            </w:r>
            <w:r w:rsidR="00AF1316">
              <w:rPr>
                <w:rFonts w:asciiTheme="minorHAnsi" w:eastAsiaTheme="minorEastAsia" w:hAnsiTheme="minorHAnsi"/>
                <w:noProof/>
                <w:sz w:val="22"/>
                <w:lang w:eastAsia="cs-CZ"/>
              </w:rPr>
              <w:tab/>
            </w:r>
            <w:r w:rsidR="00AF1316" w:rsidRPr="009F318B">
              <w:rPr>
                <w:rStyle w:val="Hypertextovodkaz"/>
                <w:noProof/>
              </w:rPr>
              <w:t>Ochrana práva na informace</w:t>
            </w:r>
            <w:r w:rsidR="00AF1316">
              <w:rPr>
                <w:noProof/>
                <w:webHidden/>
              </w:rPr>
              <w:tab/>
            </w:r>
            <w:r w:rsidR="00AF1316">
              <w:rPr>
                <w:noProof/>
                <w:webHidden/>
              </w:rPr>
              <w:fldChar w:fldCharType="begin"/>
            </w:r>
            <w:r w:rsidR="00AF1316">
              <w:rPr>
                <w:noProof/>
                <w:webHidden/>
              </w:rPr>
              <w:instrText xml:space="preserve"> PAGEREF _Toc446336427 \h </w:instrText>
            </w:r>
            <w:r w:rsidR="00AF1316">
              <w:rPr>
                <w:noProof/>
                <w:webHidden/>
              </w:rPr>
            </w:r>
            <w:r w:rsidR="00AF1316">
              <w:rPr>
                <w:noProof/>
                <w:webHidden/>
              </w:rPr>
              <w:fldChar w:fldCharType="separate"/>
            </w:r>
            <w:r w:rsidR="00AF1316">
              <w:rPr>
                <w:noProof/>
                <w:webHidden/>
              </w:rPr>
              <w:t>50</w:t>
            </w:r>
            <w:r w:rsidR="00AF1316">
              <w:rPr>
                <w:noProof/>
                <w:webHidden/>
              </w:rPr>
              <w:fldChar w:fldCharType="end"/>
            </w:r>
          </w:hyperlink>
        </w:p>
        <w:p w:rsidR="00AF1316" w:rsidRDefault="000D18AA">
          <w:pPr>
            <w:pStyle w:val="Obsah3"/>
            <w:tabs>
              <w:tab w:val="left" w:pos="1320"/>
              <w:tab w:val="right" w:leader="dot" w:pos="9061"/>
            </w:tabs>
            <w:rPr>
              <w:rFonts w:asciiTheme="minorHAnsi" w:eastAsiaTheme="minorEastAsia" w:hAnsiTheme="minorHAnsi"/>
              <w:noProof/>
              <w:sz w:val="22"/>
              <w:lang w:eastAsia="cs-CZ"/>
            </w:rPr>
          </w:pPr>
          <w:hyperlink w:anchor="_Toc446336428" w:history="1">
            <w:r w:rsidR="00AF1316" w:rsidRPr="009F318B">
              <w:rPr>
                <w:rStyle w:val="Hypertextovodkaz"/>
                <w:noProof/>
              </w:rPr>
              <w:t>4.2.2.</w:t>
            </w:r>
            <w:r w:rsidR="00AF1316">
              <w:rPr>
                <w:rFonts w:asciiTheme="minorHAnsi" w:eastAsiaTheme="minorEastAsia" w:hAnsiTheme="minorHAnsi"/>
                <w:noProof/>
                <w:sz w:val="22"/>
                <w:lang w:eastAsia="cs-CZ"/>
              </w:rPr>
              <w:tab/>
            </w:r>
            <w:r w:rsidR="00AF1316" w:rsidRPr="009F318B">
              <w:rPr>
                <w:rStyle w:val="Hypertextovodkaz"/>
                <w:noProof/>
              </w:rPr>
              <w:t>Přístup ke správním a soudním řízením</w:t>
            </w:r>
            <w:r w:rsidR="00AF1316">
              <w:rPr>
                <w:noProof/>
                <w:webHidden/>
              </w:rPr>
              <w:tab/>
            </w:r>
            <w:r w:rsidR="00AF1316">
              <w:rPr>
                <w:noProof/>
                <w:webHidden/>
              </w:rPr>
              <w:fldChar w:fldCharType="begin"/>
            </w:r>
            <w:r w:rsidR="00AF1316">
              <w:rPr>
                <w:noProof/>
                <w:webHidden/>
              </w:rPr>
              <w:instrText xml:space="preserve"> PAGEREF _Toc446336428 \h </w:instrText>
            </w:r>
            <w:r w:rsidR="00AF1316">
              <w:rPr>
                <w:noProof/>
                <w:webHidden/>
              </w:rPr>
            </w:r>
            <w:r w:rsidR="00AF1316">
              <w:rPr>
                <w:noProof/>
                <w:webHidden/>
              </w:rPr>
              <w:fldChar w:fldCharType="separate"/>
            </w:r>
            <w:r w:rsidR="00AF1316">
              <w:rPr>
                <w:noProof/>
                <w:webHidden/>
              </w:rPr>
              <w:t>54</w:t>
            </w:r>
            <w:r w:rsidR="00AF1316">
              <w:rPr>
                <w:noProof/>
                <w:webHidden/>
              </w:rPr>
              <w:fldChar w:fldCharType="end"/>
            </w:r>
          </w:hyperlink>
        </w:p>
        <w:p w:rsidR="00AF1316" w:rsidRDefault="000D18AA">
          <w:pPr>
            <w:pStyle w:val="Obsah1"/>
            <w:tabs>
              <w:tab w:val="right" w:leader="dot" w:pos="9061"/>
            </w:tabs>
            <w:rPr>
              <w:rFonts w:asciiTheme="minorHAnsi" w:eastAsiaTheme="minorEastAsia" w:hAnsiTheme="minorHAnsi"/>
              <w:noProof/>
              <w:sz w:val="22"/>
              <w:lang w:eastAsia="cs-CZ"/>
            </w:rPr>
          </w:pPr>
          <w:hyperlink w:anchor="_Toc446336429" w:history="1">
            <w:r w:rsidR="00AF1316" w:rsidRPr="009F318B">
              <w:rPr>
                <w:rStyle w:val="Hypertextovodkaz"/>
                <w:noProof/>
              </w:rPr>
              <w:t>Závěr</w:t>
            </w:r>
            <w:r w:rsidR="00AF1316">
              <w:rPr>
                <w:noProof/>
                <w:webHidden/>
              </w:rPr>
              <w:tab/>
            </w:r>
            <w:r w:rsidR="00AF1316">
              <w:rPr>
                <w:noProof/>
                <w:webHidden/>
              </w:rPr>
              <w:fldChar w:fldCharType="begin"/>
            </w:r>
            <w:r w:rsidR="00AF1316">
              <w:rPr>
                <w:noProof/>
                <w:webHidden/>
              </w:rPr>
              <w:instrText xml:space="preserve"> PAGEREF _Toc446336429 \h </w:instrText>
            </w:r>
            <w:r w:rsidR="00AF1316">
              <w:rPr>
                <w:noProof/>
                <w:webHidden/>
              </w:rPr>
            </w:r>
            <w:r w:rsidR="00AF1316">
              <w:rPr>
                <w:noProof/>
                <w:webHidden/>
              </w:rPr>
              <w:fldChar w:fldCharType="separate"/>
            </w:r>
            <w:r w:rsidR="00AF1316">
              <w:rPr>
                <w:noProof/>
                <w:webHidden/>
              </w:rPr>
              <w:t>59</w:t>
            </w:r>
            <w:r w:rsidR="00AF1316">
              <w:rPr>
                <w:noProof/>
                <w:webHidden/>
              </w:rPr>
              <w:fldChar w:fldCharType="end"/>
            </w:r>
          </w:hyperlink>
        </w:p>
        <w:p w:rsidR="00AF1316" w:rsidRDefault="000D18AA">
          <w:pPr>
            <w:pStyle w:val="Obsah1"/>
            <w:tabs>
              <w:tab w:val="right" w:leader="dot" w:pos="9061"/>
            </w:tabs>
            <w:rPr>
              <w:rFonts w:asciiTheme="minorHAnsi" w:eastAsiaTheme="minorEastAsia" w:hAnsiTheme="minorHAnsi"/>
              <w:noProof/>
              <w:sz w:val="22"/>
              <w:lang w:eastAsia="cs-CZ"/>
            </w:rPr>
          </w:pPr>
          <w:hyperlink w:anchor="_Toc446336430" w:history="1">
            <w:r w:rsidR="00AF1316" w:rsidRPr="009F318B">
              <w:rPr>
                <w:rStyle w:val="Hypertextovodkaz"/>
                <w:noProof/>
              </w:rPr>
              <w:t>Seznam použitých zdrojů</w:t>
            </w:r>
            <w:r w:rsidR="00AF1316">
              <w:rPr>
                <w:noProof/>
                <w:webHidden/>
              </w:rPr>
              <w:tab/>
            </w:r>
            <w:r w:rsidR="00AF1316">
              <w:rPr>
                <w:noProof/>
                <w:webHidden/>
              </w:rPr>
              <w:fldChar w:fldCharType="begin"/>
            </w:r>
            <w:r w:rsidR="00AF1316">
              <w:rPr>
                <w:noProof/>
                <w:webHidden/>
              </w:rPr>
              <w:instrText xml:space="preserve"> PAGEREF _Toc446336430 \h </w:instrText>
            </w:r>
            <w:r w:rsidR="00AF1316">
              <w:rPr>
                <w:noProof/>
                <w:webHidden/>
              </w:rPr>
            </w:r>
            <w:r w:rsidR="00AF1316">
              <w:rPr>
                <w:noProof/>
                <w:webHidden/>
              </w:rPr>
              <w:fldChar w:fldCharType="separate"/>
            </w:r>
            <w:r w:rsidR="00AF1316">
              <w:rPr>
                <w:noProof/>
                <w:webHidden/>
              </w:rPr>
              <w:t>63</w:t>
            </w:r>
            <w:r w:rsidR="00AF1316">
              <w:rPr>
                <w:noProof/>
                <w:webHidden/>
              </w:rPr>
              <w:fldChar w:fldCharType="end"/>
            </w:r>
          </w:hyperlink>
        </w:p>
        <w:p w:rsidR="00AF1316" w:rsidRDefault="00AF1316">
          <w:r>
            <w:rPr>
              <w:b/>
              <w:bCs/>
            </w:rPr>
            <w:fldChar w:fldCharType="end"/>
          </w:r>
        </w:p>
      </w:sdtContent>
    </w:sdt>
    <w:p w:rsidR="00F939B4" w:rsidRDefault="00F939B4">
      <w:pPr>
        <w:spacing w:line="276" w:lineRule="auto"/>
        <w:jc w:val="left"/>
        <w:rPr>
          <w:rFonts w:eastAsiaTheme="majorEastAsia" w:cstheme="majorBidi"/>
          <w:b/>
          <w:bCs/>
          <w:color w:val="000000" w:themeColor="text1"/>
          <w:sz w:val="32"/>
          <w:szCs w:val="28"/>
        </w:rPr>
      </w:pPr>
      <w:r>
        <w:br w:type="page"/>
      </w:r>
    </w:p>
    <w:p w:rsidR="00092F2B" w:rsidRDefault="00092F2B" w:rsidP="00092F2B">
      <w:pPr>
        <w:pStyle w:val="Nadpis1"/>
      </w:pPr>
      <w:bookmarkStart w:id="3" w:name="_Toc446336395"/>
      <w:r>
        <w:lastRenderedPageBreak/>
        <w:t>Seznam použitých zkratek</w:t>
      </w:r>
      <w:bookmarkEnd w:id="3"/>
    </w:p>
    <w:p w:rsidR="00092F2B" w:rsidRDefault="00092F2B" w:rsidP="00092F2B">
      <w:pPr>
        <w:tabs>
          <w:tab w:val="left" w:pos="3686"/>
          <w:tab w:val="left" w:pos="4536"/>
        </w:tabs>
      </w:pPr>
      <w:r>
        <w:t>EU</w:t>
      </w:r>
      <w:r>
        <w:tab/>
        <w:t>- Evropská unie</w:t>
      </w:r>
    </w:p>
    <w:p w:rsidR="00092F2B" w:rsidRDefault="00092F2B" w:rsidP="00092F2B">
      <w:pPr>
        <w:tabs>
          <w:tab w:val="left" w:pos="3686"/>
          <w:tab w:val="left" w:pos="4536"/>
        </w:tabs>
      </w:pPr>
      <w:r>
        <w:t>Společenství</w:t>
      </w:r>
      <w:r>
        <w:tab/>
        <w:t>- Evropská společenství</w:t>
      </w:r>
    </w:p>
    <w:p w:rsidR="00092F2B" w:rsidRDefault="00092F2B" w:rsidP="00092F2B">
      <w:pPr>
        <w:tabs>
          <w:tab w:val="left" w:pos="3686"/>
          <w:tab w:val="left" w:pos="4536"/>
        </w:tabs>
      </w:pPr>
      <w:r>
        <w:t>Úmluva</w:t>
      </w:r>
      <w:r>
        <w:tab/>
        <w:t>- Aarhuská úmluva</w:t>
      </w:r>
    </w:p>
    <w:p w:rsidR="00092F2B" w:rsidRDefault="00092F2B" w:rsidP="00092F2B">
      <w:pPr>
        <w:tabs>
          <w:tab w:val="left" w:pos="3686"/>
          <w:tab w:val="left" w:pos="4536"/>
        </w:tabs>
      </w:pPr>
      <w:r>
        <w:t>Komise</w:t>
      </w:r>
      <w:r>
        <w:tab/>
        <w:t>- Evropská komise</w:t>
      </w:r>
    </w:p>
    <w:p w:rsidR="00092F2B" w:rsidRDefault="00092F2B" w:rsidP="00092F2B">
      <w:pPr>
        <w:tabs>
          <w:tab w:val="left" w:pos="3686"/>
          <w:tab w:val="left" w:pos="4536"/>
        </w:tabs>
      </w:pPr>
      <w:r>
        <w:t>Rada</w:t>
      </w:r>
      <w:r>
        <w:tab/>
        <w:t>- Rada ministrů EU</w:t>
      </w:r>
    </w:p>
    <w:p w:rsidR="00092F2B" w:rsidRDefault="00092F2B" w:rsidP="00092F2B">
      <w:pPr>
        <w:tabs>
          <w:tab w:val="left" w:pos="3686"/>
          <w:tab w:val="left" w:pos="4536"/>
        </w:tabs>
      </w:pPr>
      <w:r>
        <w:t>Parlament</w:t>
      </w:r>
      <w:r>
        <w:tab/>
        <w:t>- Evropský parlament</w:t>
      </w:r>
    </w:p>
    <w:p w:rsidR="00092F2B" w:rsidRDefault="004413F5" w:rsidP="00092F2B">
      <w:pPr>
        <w:tabs>
          <w:tab w:val="left" w:pos="3686"/>
          <w:tab w:val="left" w:pos="4536"/>
        </w:tabs>
        <w:ind w:left="3686" w:hanging="3686"/>
      </w:pPr>
      <w:r>
        <w:t>Nařízení č. 1049/2001</w:t>
      </w:r>
      <w:r>
        <w:tab/>
        <w:t xml:space="preserve">- </w:t>
      </w:r>
      <w:r w:rsidR="00092F2B">
        <w:t xml:space="preserve">Nařízení Evropského parlamentu a Rady (ES) </w:t>
      </w:r>
      <w:r w:rsidR="00092F2B">
        <w:rPr>
          <w:rFonts w:hint="eastAsia"/>
        </w:rPr>
        <w:t>č</w:t>
      </w:r>
      <w:r w:rsidR="00092F2B">
        <w:t>. 1049/2001 ze dne 30. kv</w:t>
      </w:r>
      <w:r w:rsidR="00092F2B">
        <w:rPr>
          <w:rFonts w:hint="eastAsia"/>
        </w:rPr>
        <w:t>ě</w:t>
      </w:r>
      <w:r w:rsidR="00092F2B">
        <w:t>tna 2001, o p</w:t>
      </w:r>
      <w:r w:rsidR="00092F2B">
        <w:rPr>
          <w:rFonts w:hint="eastAsia"/>
        </w:rPr>
        <w:t>ří</w:t>
      </w:r>
      <w:r w:rsidR="00092F2B">
        <w:t>stupu ve</w:t>
      </w:r>
      <w:r w:rsidR="00092F2B">
        <w:rPr>
          <w:rFonts w:hint="eastAsia"/>
        </w:rPr>
        <w:t>ř</w:t>
      </w:r>
      <w:r w:rsidR="00092F2B">
        <w:t>ejnosti k dokument</w:t>
      </w:r>
      <w:r w:rsidR="00092F2B">
        <w:rPr>
          <w:rFonts w:hint="eastAsia"/>
        </w:rPr>
        <w:t>ů</w:t>
      </w:r>
      <w:r w:rsidR="00092F2B">
        <w:t>m Evropsk</w:t>
      </w:r>
      <w:r w:rsidR="00092F2B">
        <w:rPr>
          <w:rFonts w:hint="eastAsia"/>
        </w:rPr>
        <w:t>é</w:t>
      </w:r>
      <w:r w:rsidR="00092F2B">
        <w:t>ho parlamentu, Rady a Komise</w:t>
      </w:r>
    </w:p>
    <w:p w:rsidR="00092F2B" w:rsidRDefault="00092F2B" w:rsidP="00092F2B">
      <w:pPr>
        <w:tabs>
          <w:tab w:val="left" w:pos="3686"/>
        </w:tabs>
        <w:ind w:left="3686" w:hanging="3686"/>
      </w:pPr>
      <w:r>
        <w:t>Nařízení č. 1367/2006</w:t>
      </w:r>
      <w:r>
        <w:tab/>
        <w:t xml:space="preserve">- </w:t>
      </w:r>
      <w:r w:rsidRPr="00695022">
        <w:t>Nařízení Evropského parlamentu a Rady (ES) ze dne 6. září 2006 č. 1367/2006, o použití ustanovení Aarhuské úmluvy o přístupu k informacím, účasti veřejnosti na rozhodování a přístupu k právní ochraně v záležitostech životního prostředí na orgány a subjekty Společenství</w:t>
      </w:r>
    </w:p>
    <w:p w:rsidR="00092F2B" w:rsidRDefault="00092F2B" w:rsidP="00092F2B">
      <w:pPr>
        <w:tabs>
          <w:tab w:val="left" w:pos="3686"/>
        </w:tabs>
        <w:ind w:left="3540" w:hanging="3540"/>
      </w:pPr>
      <w:r>
        <w:t>Soudní dvůr</w:t>
      </w:r>
      <w:r>
        <w:tab/>
        <w:t>- Soudní dvůr Evropské unie</w:t>
      </w:r>
    </w:p>
    <w:p w:rsidR="00092F2B" w:rsidRDefault="00092F2B" w:rsidP="00092F2B">
      <w:pPr>
        <w:tabs>
          <w:tab w:val="left" w:pos="3686"/>
        </w:tabs>
        <w:ind w:left="3540" w:hanging="3540"/>
      </w:pPr>
      <w:r>
        <w:t>ACCC</w:t>
      </w:r>
      <w:r>
        <w:tab/>
        <w:t xml:space="preserve">- </w:t>
      </w:r>
      <w:r w:rsidR="00EE79B0">
        <w:t>Výbor pro dodržování Aarhuské úmluvy</w:t>
      </w:r>
      <w:r>
        <w:t xml:space="preserve"> </w:t>
      </w:r>
    </w:p>
    <w:p w:rsidR="00092F2B" w:rsidRDefault="00092F2B" w:rsidP="00092F2B">
      <w:pPr>
        <w:spacing w:line="276" w:lineRule="auto"/>
        <w:jc w:val="left"/>
        <w:rPr>
          <w:rFonts w:eastAsiaTheme="majorEastAsia" w:cstheme="majorBidi"/>
          <w:b/>
          <w:bCs/>
          <w:color w:val="000000" w:themeColor="text1"/>
          <w:sz w:val="32"/>
          <w:szCs w:val="28"/>
        </w:rPr>
      </w:pPr>
      <w:r>
        <w:t>Listina</w:t>
      </w:r>
      <w:r>
        <w:tab/>
      </w:r>
      <w:r w:rsidR="007356F7">
        <w:tab/>
      </w:r>
      <w:r w:rsidR="007356F7">
        <w:tab/>
      </w:r>
      <w:r w:rsidR="007356F7">
        <w:tab/>
      </w:r>
      <w:r w:rsidR="007356F7">
        <w:tab/>
      </w:r>
      <w:r>
        <w:t>- Listina základních práv Evropské unie</w:t>
      </w:r>
      <w:r>
        <w:br w:type="page"/>
      </w:r>
    </w:p>
    <w:p w:rsidR="00C50649" w:rsidRPr="00073EBF" w:rsidRDefault="00073EBF" w:rsidP="00A87F55">
      <w:pPr>
        <w:pStyle w:val="Nadpis1"/>
      </w:pPr>
      <w:bookmarkStart w:id="4" w:name="_Toc446336396"/>
      <w:r w:rsidRPr="00073EBF">
        <w:lastRenderedPageBreak/>
        <w:t>Úvod</w:t>
      </w:r>
      <w:bookmarkEnd w:id="4"/>
    </w:p>
    <w:p w:rsidR="002B46B3" w:rsidRDefault="002B46B3" w:rsidP="0008620D">
      <w:pPr>
        <w:jc w:val="center"/>
        <w:rPr>
          <w:i/>
        </w:rPr>
      </w:pPr>
      <w:r>
        <w:rPr>
          <w:i/>
        </w:rPr>
        <w:t xml:space="preserve">„The environment has no voice: </w:t>
      </w:r>
      <w:r w:rsidRPr="002B46B3">
        <w:rPr>
          <w:i/>
        </w:rPr>
        <w:t>eagles and fish, whales and foxes cannot defend their interests in discussions, and future generations of humans are in the same position</w:t>
      </w:r>
      <w:r>
        <w:rPr>
          <w:i/>
        </w:rPr>
        <w:t>“</w:t>
      </w:r>
    </w:p>
    <w:p w:rsidR="002B46B3" w:rsidRDefault="002B46B3" w:rsidP="0008620D">
      <w:pPr>
        <w:jc w:val="center"/>
      </w:pPr>
      <w:r>
        <w:rPr>
          <w:i/>
        </w:rPr>
        <w:t xml:space="preserve"> </w:t>
      </w:r>
      <w:r>
        <w:t>Ludwig Krämer</w:t>
      </w:r>
    </w:p>
    <w:p w:rsidR="002B46B3" w:rsidRPr="002B46B3" w:rsidRDefault="002B46B3" w:rsidP="0008620D">
      <w:pPr>
        <w:jc w:val="center"/>
      </w:pPr>
    </w:p>
    <w:p w:rsidR="00C4743A" w:rsidRDefault="007740B0" w:rsidP="00C4743A">
      <w:pPr>
        <w:ind w:firstLine="567"/>
      </w:pPr>
      <w:r>
        <w:t>Již</w:t>
      </w:r>
      <w:r w:rsidR="00C4743A">
        <w:t xml:space="preserve"> od konce 90. let minulého století je jedním ze stálých cílů Evropské unie zapojení veřejnosti do jejích rozhodovacích procesů. Jedná se o velmi diskutované téma, které úzce souvisí s demokratickým deficitem</w:t>
      </w:r>
      <w:r w:rsidR="00FB6303">
        <w:t xml:space="preserve"> tolik vyčítaným Evropské unii</w:t>
      </w:r>
      <w:r w:rsidR="00C4743A">
        <w:t xml:space="preserve">. Tato práce se bude zabývat účastí veřejnosti na stále se rozvíjející oblasti ochrany životního prostředí, která prošla z tohoto hlediska výrazným vývojem. </w:t>
      </w:r>
    </w:p>
    <w:p w:rsidR="00C95E89" w:rsidRDefault="00C4743A" w:rsidP="00C4743A">
      <w:pPr>
        <w:ind w:firstLine="567"/>
      </w:pPr>
      <w:r>
        <w:t>Procesy probíhající při environmentálním rozhodová</w:t>
      </w:r>
      <w:r w:rsidR="00A96224">
        <w:t xml:space="preserve">ní jsou mým dlouhodobým zájmem. </w:t>
      </w:r>
      <w:r>
        <w:t>V nedávné době přijala Česká republ</w:t>
      </w:r>
      <w:r w:rsidR="00292790">
        <w:t>ika</w:t>
      </w:r>
      <w:r>
        <w:t xml:space="preserve"> díky tlak</w:t>
      </w:r>
      <w:r w:rsidR="00292790">
        <w:t>u Evropské komise novelu</w:t>
      </w:r>
      <w:r>
        <w:t xml:space="preserve"> </w:t>
      </w:r>
      <w:r w:rsidR="00995768">
        <w:t>zákona o posuzování vlivů</w:t>
      </w:r>
      <w:r w:rsidR="00995768">
        <w:rPr>
          <w:rStyle w:val="Znakapoznpodarou"/>
        </w:rPr>
        <w:footnoteReference w:id="1"/>
      </w:r>
      <w:r>
        <w:t>, která výrazně zlepšila možnosti účasti veřejnosti na tomto procesu. Mohlo by se tedy zdát, že je pro Evropskou unii účast veřejnosti na environmentálním rozhodování důležitá. V</w:t>
      </w:r>
      <w:r w:rsidR="00FB6303">
        <w:t> této souvislosti</w:t>
      </w:r>
      <w:r w:rsidR="00EA699F">
        <w:t xml:space="preserve"> mě napadly otázky</w:t>
      </w:r>
      <w:r>
        <w:t xml:space="preserve">: </w:t>
      </w:r>
    </w:p>
    <w:p w:rsidR="00C4743A" w:rsidRDefault="00C4743A" w:rsidP="00C4743A">
      <w:pPr>
        <w:ind w:firstLine="567"/>
      </w:pPr>
      <w:r w:rsidRPr="00C95E89">
        <w:rPr>
          <w:i/>
        </w:rPr>
        <w:t xml:space="preserve">Jak se mohu já jako občan České republiky podílet na environmentálním rozhodování na úrovni Evropské unie? Je tato moje účast pouze formální, nebo </w:t>
      </w:r>
      <w:r w:rsidR="007740B0">
        <w:rPr>
          <w:i/>
        </w:rPr>
        <w:t>mohu svojí účastí na</w:t>
      </w:r>
      <w:r w:rsidRPr="00C95E89">
        <w:rPr>
          <w:i/>
        </w:rPr>
        <w:t xml:space="preserve"> procesu dosáhnout</w:t>
      </w:r>
      <w:r w:rsidR="00A96224">
        <w:rPr>
          <w:i/>
        </w:rPr>
        <w:t xml:space="preserve"> reálné</w:t>
      </w:r>
      <w:r w:rsidRPr="00C95E89">
        <w:rPr>
          <w:i/>
        </w:rPr>
        <w:t xml:space="preserve"> změny?</w:t>
      </w:r>
      <w:bookmarkStart w:id="5" w:name="_GoBack"/>
      <w:bookmarkEnd w:id="5"/>
    </w:p>
    <w:p w:rsidR="00C4743A" w:rsidRDefault="00C4743A" w:rsidP="00C4743A">
      <w:pPr>
        <w:ind w:firstLine="567"/>
      </w:pPr>
      <w:r>
        <w:t>Prvním krokem k zajištění účinného zapojení veřejnosti do rozhodovacích procesů Evropské unie bylo nařízení E</w:t>
      </w:r>
      <w:r w:rsidR="00F36567">
        <w:t>vropského parlamentu a Rady</w:t>
      </w:r>
      <w:r>
        <w:t xml:space="preserve"> </w:t>
      </w:r>
      <w:r w:rsidR="00F36567">
        <w:t xml:space="preserve">č. </w:t>
      </w:r>
      <w:r>
        <w:t>1049/2001</w:t>
      </w:r>
      <w:r w:rsidR="00F36567">
        <w:t>/ES</w:t>
      </w:r>
      <w:r>
        <w:t xml:space="preserve">, které zajišťovalo veřejnosti přístup k dokumentům Evropského parlamentu, Rady a Komise. Účelem tohoto nařízení bylo pomocí přístupu k informacím zvýšit průhlednost rozhodovacích procesů a taktéž jim dát větší legitimitu. </w:t>
      </w:r>
    </w:p>
    <w:p w:rsidR="00C4743A" w:rsidRDefault="00C4743A" w:rsidP="00C4743A">
      <w:pPr>
        <w:ind w:firstLine="567"/>
      </w:pPr>
      <w:r>
        <w:t>Dalším krokem bylo schválení šestého akčního plánu pro životní prostředí</w:t>
      </w:r>
      <w:r w:rsidR="00F05471">
        <w:rPr>
          <w:rStyle w:val="Znakapoznpodarou"/>
        </w:rPr>
        <w:footnoteReference w:id="2"/>
      </w:r>
      <w:r>
        <w:t xml:space="preserve"> pro období let 2002 </w:t>
      </w:r>
      <w:r w:rsidR="00C9117A">
        <w:t>–</w:t>
      </w:r>
      <w:r>
        <w:t xml:space="preserve"> 2012. Jedním z hlavních cílů bylo větší zapojení občanů do ochrany životního </w:t>
      </w:r>
      <w:r>
        <w:lastRenderedPageBreak/>
        <w:t>prostředí zejména pomocí jejich větší informovanosti o jeho stavu a přijetím právní úpravy umožňující větší zapojení do rozhodovacích procesů.</w:t>
      </w:r>
      <w:r w:rsidR="00E04DF9">
        <w:rPr>
          <w:rStyle w:val="Znakapoznpodarou"/>
        </w:rPr>
        <w:footnoteReference w:id="3"/>
      </w:r>
      <w:r>
        <w:t xml:space="preserve"> </w:t>
      </w:r>
    </w:p>
    <w:p w:rsidR="00C4743A" w:rsidRDefault="00C4743A" w:rsidP="00C4743A">
      <w:r>
        <w:tab/>
        <w:t xml:space="preserve">Z mého pohledu </w:t>
      </w:r>
      <w:r w:rsidR="00166ACD">
        <w:t xml:space="preserve">se zatím </w:t>
      </w:r>
      <w:r>
        <w:t>nejdůl</w:t>
      </w:r>
      <w:r w:rsidR="00912135">
        <w:t>ežitějším krokem stalo přistoupení</w:t>
      </w:r>
      <w:r w:rsidR="002316E4">
        <w:t xml:space="preserve"> Evropského Společenství</w:t>
      </w:r>
      <w:r w:rsidR="00912135">
        <w:t xml:space="preserve"> k Aarhuské úmluvě</w:t>
      </w:r>
      <w:r>
        <w:t xml:space="preserve"> v roce 2005</w:t>
      </w:r>
      <w:r w:rsidR="00B76679">
        <w:rPr>
          <w:rStyle w:val="Znakapoznpodarou"/>
        </w:rPr>
        <w:footnoteReference w:id="4"/>
      </w:r>
      <w:r>
        <w:t xml:space="preserve">. Tato úmluva je založena na třech pilířích. Zaručuje právo přístupu veřejnosti k informacím o životním prostředí, právo aktivní účasti na rozhodovacích procesech týkajících se životního prostředí a právo přístupu k soudní ochraně. </w:t>
      </w:r>
      <w:r w:rsidR="00912135">
        <w:t>Přistoupením k úmluvě</w:t>
      </w:r>
      <w:r>
        <w:t xml:space="preserve"> se Evropské společenství zavázalo sledovat dosažení jejích cílů. Jedním z</w:t>
      </w:r>
      <w:r w:rsidR="00040DA1">
        <w:t xml:space="preserve"> projevů </w:t>
      </w:r>
      <w:r w:rsidR="00004EFD">
        <w:t xml:space="preserve">schválení </w:t>
      </w:r>
      <w:r w:rsidR="00040DA1">
        <w:t>bylo přijetí nařízení Evropského parlamentu a R</w:t>
      </w:r>
      <w:r>
        <w:t xml:space="preserve">ady </w:t>
      </w:r>
      <w:r w:rsidRPr="002165FF">
        <w:t xml:space="preserve">(ES) </w:t>
      </w:r>
      <w:r w:rsidRPr="002165FF">
        <w:rPr>
          <w:rFonts w:hint="eastAsia"/>
        </w:rPr>
        <w:t>č</w:t>
      </w:r>
      <w:r w:rsidRPr="002165FF">
        <w:t>. 1367/2006</w:t>
      </w:r>
      <w:r>
        <w:t xml:space="preserve">, které upravovalo použitelnost Aarhuské úmluvy na orgány </w:t>
      </w:r>
      <w:r w:rsidR="00E37C83">
        <w:t>S</w:t>
      </w:r>
      <w:r>
        <w:t>polečenství.</w:t>
      </w:r>
    </w:p>
    <w:p w:rsidR="00C4743A" w:rsidRDefault="00C4743A" w:rsidP="008374A9">
      <w:r>
        <w:tab/>
      </w:r>
      <w:r w:rsidR="008374A9">
        <w:t>Desetiletý</w:t>
      </w:r>
      <w:r>
        <w:t xml:space="preserve"> časový odstup od přistoupení</w:t>
      </w:r>
      <w:r w:rsidR="00166ACD">
        <w:t xml:space="preserve"> Evropské unie</w:t>
      </w:r>
      <w:r>
        <w:t xml:space="preserve"> k Aarhuské úmluvě, </w:t>
      </w:r>
      <w:r w:rsidR="00166ACD">
        <w:t xml:space="preserve">nyní </w:t>
      </w:r>
      <w:r>
        <w:t xml:space="preserve">dává možnost zhodnotit </w:t>
      </w:r>
      <w:r w:rsidR="009D6656">
        <w:t>dosažení jejích cílů</w:t>
      </w:r>
      <w:r w:rsidR="008374A9">
        <w:t>.</w:t>
      </w:r>
      <w:r>
        <w:t xml:space="preserve"> Hlavní výzkumnou otázkou této práce je: </w:t>
      </w:r>
    </w:p>
    <w:p w:rsidR="00C4743A" w:rsidRDefault="00C4743A" w:rsidP="00C4743A">
      <w:pPr>
        <w:ind w:firstLine="567"/>
        <w:rPr>
          <w:i/>
        </w:rPr>
      </w:pPr>
      <w:r w:rsidRPr="009D6656">
        <w:rPr>
          <w:i/>
        </w:rPr>
        <w:t xml:space="preserve">„Poskytuje právo Evropské unie dostatečné možnosti pro účast veřejnosti na ochraně životního prostředí tak, jak ji definuje Aarhuská úmluva?“ </w:t>
      </w:r>
    </w:p>
    <w:p w:rsidR="00EF3EFC" w:rsidRDefault="002E5431" w:rsidP="00C4743A">
      <w:pPr>
        <w:ind w:firstLine="567"/>
      </w:pPr>
      <w:r>
        <w:t>Pro danou</w:t>
      </w:r>
      <w:r w:rsidR="00EF3EFC">
        <w:t xml:space="preserve"> otázku stanovuji následující hypotézy.</w:t>
      </w:r>
    </w:p>
    <w:p w:rsidR="00EF3EFC" w:rsidRPr="002F7230" w:rsidRDefault="00EF3EFC" w:rsidP="00F57525">
      <w:pPr>
        <w:pStyle w:val="Odstavecseseznamem"/>
        <w:numPr>
          <w:ilvl w:val="0"/>
          <w:numId w:val="4"/>
        </w:numPr>
        <w:spacing w:after="120"/>
        <w:rPr>
          <w:i/>
          <w:szCs w:val="24"/>
        </w:rPr>
      </w:pPr>
      <w:r w:rsidRPr="002F7230">
        <w:rPr>
          <w:i/>
          <w:szCs w:val="24"/>
        </w:rPr>
        <w:t xml:space="preserve">Existují oblasti, kde není účast veřejnosti z materiálního hlediska dostatečně zaručena. </w:t>
      </w:r>
    </w:p>
    <w:p w:rsidR="00EF3EFC" w:rsidRDefault="00EF3EFC" w:rsidP="00C4743A">
      <w:pPr>
        <w:ind w:firstLine="567"/>
      </w:pPr>
      <w:r>
        <w:t>Jak jsem</w:t>
      </w:r>
      <w:r w:rsidR="002316E4">
        <w:t xml:space="preserve"> již</w:t>
      </w:r>
      <w:r>
        <w:t xml:space="preserve"> výše popsal, Evropská unie se snaží dlouhodobě bojovat s demokratickým deficitem. Přesto však často zůstává v očích veřejnosti vzdálenou a ne zcela pochopenou institucí. Toto může pramenit jednak z nedostat</w:t>
      </w:r>
      <w:r w:rsidR="002316E4">
        <w:t>ečné informovanosti veřejnosti, ale</w:t>
      </w:r>
      <w:r>
        <w:t xml:space="preserve"> taktéž z jejího nedostatečného zapojení.</w:t>
      </w:r>
      <w:r w:rsidR="007E3B90">
        <w:t xml:space="preserve"> </w:t>
      </w:r>
    </w:p>
    <w:p w:rsidR="007E3B90" w:rsidRPr="007E3B90" w:rsidRDefault="00EF3EFC" w:rsidP="00F57525">
      <w:pPr>
        <w:pStyle w:val="Odstavecseseznamem"/>
        <w:numPr>
          <w:ilvl w:val="0"/>
          <w:numId w:val="4"/>
        </w:numPr>
        <w:spacing w:after="120"/>
        <w:rPr>
          <w:i/>
          <w:szCs w:val="24"/>
        </w:rPr>
      </w:pPr>
      <w:r w:rsidRPr="002F7230">
        <w:rPr>
          <w:i/>
          <w:szCs w:val="24"/>
        </w:rPr>
        <w:t>Možnosti účasti veřejnosti se rozšiřují.</w:t>
      </w:r>
    </w:p>
    <w:p w:rsidR="00EF3EFC" w:rsidRPr="002F7230" w:rsidRDefault="007E3B90" w:rsidP="00306F45">
      <w:pPr>
        <w:ind w:firstLine="567"/>
        <w:rPr>
          <w:i/>
          <w:szCs w:val="24"/>
        </w:rPr>
      </w:pPr>
      <w:r>
        <w:t xml:space="preserve">Vzhledem k činnosti </w:t>
      </w:r>
      <w:r w:rsidR="00306F45">
        <w:t>Komise, která dlouhodobě vyzývá členské státy k</w:t>
      </w:r>
      <w:r w:rsidR="007649A6">
        <w:t> vě</w:t>
      </w:r>
      <w:r w:rsidR="00306F45">
        <w:t>tšímu</w:t>
      </w:r>
      <w:r w:rsidR="007649A6">
        <w:t xml:space="preserve"> informování a</w:t>
      </w:r>
      <w:r w:rsidR="00306F45">
        <w:t xml:space="preserve"> zapojení veřejnosti </w:t>
      </w:r>
      <w:r w:rsidR="007649A6">
        <w:t xml:space="preserve">v ochraně životního prostředí, předpokládám, že stejná aktivita se vyvíjí </w:t>
      </w:r>
      <w:r w:rsidR="0035760D">
        <w:t>i na úrovni veřejnost –</w:t>
      </w:r>
      <w:r w:rsidR="00073117">
        <w:t xml:space="preserve"> orgány</w:t>
      </w:r>
      <w:r w:rsidR="0035760D">
        <w:t xml:space="preserve"> Evropské unie</w:t>
      </w:r>
      <w:r w:rsidR="007649A6">
        <w:t>.</w:t>
      </w:r>
      <w:r w:rsidR="00EF3EFC" w:rsidRPr="002F7230">
        <w:rPr>
          <w:i/>
          <w:szCs w:val="24"/>
        </w:rPr>
        <w:t xml:space="preserve"> </w:t>
      </w:r>
    </w:p>
    <w:p w:rsidR="002F7230" w:rsidRDefault="002E5431" w:rsidP="00EF3EFC">
      <w:pPr>
        <w:ind w:firstLine="567"/>
      </w:pPr>
      <w:r>
        <w:t>Danou výzkumnou otázku lze uchopit</w:t>
      </w:r>
      <w:r w:rsidR="00C4743A">
        <w:t xml:space="preserve"> z více úhlů. </w:t>
      </w:r>
      <w:r w:rsidR="008374A9">
        <w:t>V této práci si nekladu</w:t>
      </w:r>
      <w:r w:rsidR="00C4743A">
        <w:t xml:space="preserve"> za cíl komparaci právní úpravy účasti veřejnosti</w:t>
      </w:r>
      <w:r w:rsidR="00004EFD">
        <w:t xml:space="preserve"> na ochraně životního prostředí v jednotlivých členských státech Evropské unie</w:t>
      </w:r>
      <w:r w:rsidR="00C4743A">
        <w:t xml:space="preserve">, což by s ohledem na rozsah práce nebylo ani možné. </w:t>
      </w:r>
      <w:r w:rsidR="009D6656">
        <w:lastRenderedPageBreak/>
        <w:t>Namísto toho</w:t>
      </w:r>
      <w:r w:rsidR="00C4743A">
        <w:t xml:space="preserve"> se budu soustředit pouze na možnosti účasti veřejnosti na ochraně životního prostředí ve vz</w:t>
      </w:r>
      <w:r w:rsidR="00004EFD">
        <w:t>tahu „veřejnost - orgány</w:t>
      </w:r>
      <w:r w:rsidR="00C4743A">
        <w:t xml:space="preserve"> Evropské unie</w:t>
      </w:r>
      <w:r w:rsidR="00004EFD">
        <w:t>“</w:t>
      </w:r>
      <w:r w:rsidR="00FB67F9">
        <w:t xml:space="preserve"> v rámci přímého výkonu evropské správy</w:t>
      </w:r>
      <w:r w:rsidR="00C4743A">
        <w:t>. Nechci však zůstat pouze u formální analýzy jednotlivých právních nástrojů, ale pokusím se též na ně nahlédnout z hlediska materiálního dosažení předvídaných cílů. Kromě již zmíněné analýzy se budu, s ohledem na některá významná rozhodnutí Evropského soudního dvora</w:t>
      </w:r>
      <w:r w:rsidR="009F1727">
        <w:t xml:space="preserve"> a </w:t>
      </w:r>
      <w:r w:rsidR="00EE79B0">
        <w:t>Výboru pro dodržování Aarhuské úmluvy</w:t>
      </w:r>
      <w:r w:rsidR="007C6260">
        <w:t>, soustředit u každého pilíře</w:t>
      </w:r>
      <w:r w:rsidR="00C4743A">
        <w:t xml:space="preserve"> též na případové studie. </w:t>
      </w:r>
    </w:p>
    <w:p w:rsidR="00551E9F" w:rsidRDefault="00602EBF" w:rsidP="00B76679">
      <w:pPr>
        <w:ind w:firstLine="567"/>
      </w:pPr>
      <w:r>
        <w:t xml:space="preserve">Strukturně tuto práci rozdělím </w:t>
      </w:r>
      <w:r w:rsidR="00551E9F">
        <w:t xml:space="preserve">na čtyři kapitoly. </w:t>
      </w:r>
    </w:p>
    <w:p w:rsidR="00602EBF" w:rsidRDefault="00551E9F" w:rsidP="00B76679">
      <w:pPr>
        <w:ind w:firstLine="567"/>
      </w:pPr>
      <w:r>
        <w:t>V první kapitole se budu zabývat obecnými instituty evropského správního práva a evropského práva životního prostředí.</w:t>
      </w:r>
      <w:r w:rsidR="00DD12FE">
        <w:t xml:space="preserve"> </w:t>
      </w:r>
      <w:r w:rsidR="00B370CF">
        <w:t>Podkapitola Evropské právo životního prostře</w:t>
      </w:r>
      <w:r w:rsidR="00443C97">
        <w:t xml:space="preserve">dí, poskytne stručný pohled na vývoj ochrany životního prostředí v právu EU a dále shrne </w:t>
      </w:r>
      <w:r w:rsidR="001E4E66">
        <w:t>současný</w:t>
      </w:r>
      <w:r w:rsidR="00443C97">
        <w:t xml:space="preserve"> právní stav.</w:t>
      </w:r>
      <w:r w:rsidR="00C729BC">
        <w:t xml:space="preserve"> Cílem této kapitoly je vytvořit teoretický základ, ze kterého budu čerpat v následujících kapitolách</w:t>
      </w:r>
      <w:r w:rsidR="00C65FD6">
        <w:t>,</w:t>
      </w:r>
      <w:r w:rsidR="00C729BC">
        <w:t xml:space="preserve"> bez toho aniž bych musel objasňovat některé pojmy a souvislosti.</w:t>
      </w:r>
      <w:r w:rsidR="00D263C4">
        <w:t xml:space="preserve"> V rámci podkapitoly Vývoj účasti veřejnosti v Evropské unii nastíním přehledově hlavní milníky vývoje právní úpravy tohoto institutu. Podkapitola si nebere za cíl podat vyčerpávající </w:t>
      </w:r>
      <w:r w:rsidR="00391CFE">
        <w:t>výklad. Konkrétní aspekty účasti veřejnosti a jejich fungování jsou předmětem následujících kapitol.</w:t>
      </w:r>
      <w:r w:rsidR="00C729BC">
        <w:t xml:space="preserve"> </w:t>
      </w:r>
    </w:p>
    <w:p w:rsidR="00B02762" w:rsidRDefault="0093292C" w:rsidP="003A210C">
      <w:pPr>
        <w:ind w:firstLine="567"/>
      </w:pPr>
      <w:r>
        <w:t>Druhá kapitola se bude zabývat právem na informace o životním prostředí.</w:t>
      </w:r>
      <w:r w:rsidR="003F7031">
        <w:t xml:space="preserve"> Kapitolu tematicky rozdělím na dvě podkapitoly. První </w:t>
      </w:r>
      <w:r w:rsidR="00320C46">
        <w:t xml:space="preserve">se bude zabývat poskytováním informací o životním prostředí na žádost (pasivní poskytování) a druhá se pak </w:t>
      </w:r>
      <w:r w:rsidR="003F7031">
        <w:t>bude zabývat shromažďováním a šířením informací o životním prostře</w:t>
      </w:r>
      <w:r w:rsidR="00777D99">
        <w:t>dí (aktivní poskytování).</w:t>
      </w:r>
      <w:r w:rsidR="00320C46">
        <w:t xml:space="preserve"> N</w:t>
      </w:r>
      <w:r w:rsidR="00777D99">
        <w:t>ejdř</w:t>
      </w:r>
      <w:r w:rsidR="003A210C">
        <w:t>íve vždy vymezím</w:t>
      </w:r>
      <w:r w:rsidR="00777D99">
        <w:t xml:space="preserve"> cíle, které</w:t>
      </w:r>
      <w:r w:rsidR="00720905">
        <w:t xml:space="preserve"> dává Aarhuská úmluva a</w:t>
      </w:r>
      <w:r w:rsidR="00320C46">
        <w:t xml:space="preserve"> uvedu je v širších souvislostech i s ohledem na rozhodovací praxi </w:t>
      </w:r>
      <w:r w:rsidR="00EE79B0">
        <w:t>Výboru pro dodržování Aarhuské úmluvy</w:t>
      </w:r>
      <w:r w:rsidR="00720905">
        <w:t>.</w:t>
      </w:r>
      <w:r w:rsidR="00320C46">
        <w:t xml:space="preserve"> </w:t>
      </w:r>
      <w:r w:rsidR="00975FF2">
        <w:t>Následně budu</w:t>
      </w:r>
      <w:r w:rsidR="00720905">
        <w:t xml:space="preserve"> zkoumat Unijní úpravu daného institutu, provedu srovnání a vyjádřím názor</w:t>
      </w:r>
      <w:r w:rsidR="00975FF2">
        <w:t>,</w:t>
      </w:r>
      <w:r w:rsidR="00720905">
        <w:t xml:space="preserve"> nakolik unijní úprava odpoví</w:t>
      </w:r>
      <w:r w:rsidR="00127DAA">
        <w:t xml:space="preserve">dá požadavkům Aarhuské úmluvy, </w:t>
      </w:r>
      <w:r w:rsidR="00720905">
        <w:t>nakolik poskytuje efektivn</w:t>
      </w:r>
      <w:r w:rsidR="002546DC">
        <w:t xml:space="preserve">í možnosti pro účast </w:t>
      </w:r>
      <w:r w:rsidR="00127DAA">
        <w:t>veřejnosti</w:t>
      </w:r>
      <w:r w:rsidR="002546DC">
        <w:t>,</w:t>
      </w:r>
      <w:r w:rsidR="00127DAA">
        <w:t xml:space="preserve"> a zhodnotím případný vývoj.</w:t>
      </w:r>
    </w:p>
    <w:p w:rsidR="003A210C" w:rsidRDefault="003A210C" w:rsidP="003A210C">
      <w:pPr>
        <w:ind w:firstLine="567"/>
      </w:pPr>
      <w:r>
        <w:t>Ve třetí kapitole budu zko</w:t>
      </w:r>
      <w:r w:rsidR="00127DAA">
        <w:t>umat možnosti účasti veřejnosti na rozhodovacích procesech. Vzhledem k zaměření této práce se budu zabývat pouze rozhodovacími procesy ve smyslu tvorby politik a legislativních aktů. Kromě komparace právníc</w:t>
      </w:r>
      <w:r w:rsidR="001B1C7F">
        <w:t xml:space="preserve">h úprav se zaměřím na praktickou stránku věci, na jednotlivé platformy, v rámci kterých se může veřejnost účastnit rozhodovacích procesů, zejména pak na projekt Your voice in Europe. </w:t>
      </w:r>
      <w:r w:rsidR="0089659C">
        <w:t>Součástí kapitoly bude i případová studie.</w:t>
      </w:r>
    </w:p>
    <w:p w:rsidR="0089659C" w:rsidRDefault="0089659C" w:rsidP="00B76679">
      <w:pPr>
        <w:ind w:firstLine="567"/>
      </w:pPr>
      <w:r>
        <w:lastRenderedPageBreak/>
        <w:t>Poslední kapitola se zaměří na přístup k právní ochraně.</w:t>
      </w:r>
      <w:r w:rsidR="0050767A">
        <w:t xml:space="preserve"> V rámci ochrany práva na informace o životním prostředí se budu soustředit na efektivitu rozhodovací praxe. V rámci ochrany </w:t>
      </w:r>
      <w:r w:rsidR="00545E29">
        <w:t xml:space="preserve">environmentálních zájmů </w:t>
      </w:r>
      <w:r w:rsidR="0050767A">
        <w:t xml:space="preserve">u Evropského soudního dvora </w:t>
      </w:r>
      <w:r>
        <w:t xml:space="preserve">se </w:t>
      </w:r>
      <w:r w:rsidR="007C6260">
        <w:t>zaměřím</w:t>
      </w:r>
      <w:r>
        <w:t xml:space="preserve"> především na problematiku žaloby na neplatnost dle čl. 263 SFEU. </w:t>
      </w:r>
    </w:p>
    <w:p w:rsidR="002546DC" w:rsidRDefault="002546DC" w:rsidP="00B76679">
      <w:pPr>
        <w:ind w:firstLine="567"/>
      </w:pPr>
      <w:r>
        <w:t>Na závěr shrnu dosažené poznatky, odpovím na výzkumné otázky a vyjádřím se k pravdivosti hypotéz.</w:t>
      </w:r>
    </w:p>
    <w:p w:rsidR="00275DC8" w:rsidRDefault="009E2352" w:rsidP="009E2352">
      <w:r>
        <w:tab/>
      </w:r>
      <w:r w:rsidRPr="009E2352">
        <w:rPr>
          <w:b/>
        </w:rPr>
        <w:t>Z hlediska metodologie</w:t>
      </w:r>
      <w:r>
        <w:t xml:space="preserve"> budu </w:t>
      </w:r>
      <w:r w:rsidR="00521963">
        <w:t>j</w:t>
      </w:r>
      <w:r>
        <w:t>e</w:t>
      </w:r>
      <w:r w:rsidR="00521963">
        <w:t>dnotlivé kapitoly</w:t>
      </w:r>
      <w:r>
        <w:t xml:space="preserve"> zpr</w:t>
      </w:r>
      <w:r w:rsidR="00521963">
        <w:t>acovávat</w:t>
      </w:r>
      <w:r>
        <w:t xml:space="preserve"> </w:t>
      </w:r>
      <w:r w:rsidR="00521963">
        <w:t xml:space="preserve">pomocí </w:t>
      </w:r>
      <w:r>
        <w:t>met</w:t>
      </w:r>
      <w:r w:rsidR="00521963">
        <w:t>ody</w:t>
      </w:r>
      <w:r>
        <w:t xml:space="preserve"> </w:t>
      </w:r>
      <w:r w:rsidRPr="00521963">
        <w:rPr>
          <w:b/>
        </w:rPr>
        <w:t>komparace</w:t>
      </w:r>
      <w:r>
        <w:t xml:space="preserve"> Aarhuské úmluvy a unijní právní úpravy. U problematických oblastí použiji metody </w:t>
      </w:r>
      <w:r w:rsidRPr="009E2352">
        <w:rPr>
          <w:b/>
        </w:rPr>
        <w:t>analýzy</w:t>
      </w:r>
      <w:r>
        <w:t xml:space="preserve"> rozhodnutí </w:t>
      </w:r>
      <w:r w:rsidR="00EE79B0">
        <w:t xml:space="preserve">Výboru pro dodržování Aarhuské úmluvy </w:t>
      </w:r>
      <w:r>
        <w:t xml:space="preserve">a Soudního dvora. Z těchto rozhodnutí se pak budu metodou </w:t>
      </w:r>
      <w:r w:rsidRPr="009E2352">
        <w:rPr>
          <w:b/>
        </w:rPr>
        <w:t>abstrakce</w:t>
      </w:r>
      <w:r>
        <w:t xml:space="preserve"> snažit najít obecná řešení daného problému.</w:t>
      </w:r>
    </w:p>
    <w:p w:rsidR="0089631A" w:rsidRDefault="00275DC8" w:rsidP="009E2352">
      <w:r>
        <w:tab/>
        <w:t>V práci jsou k znázornění některých skutečností využívány tabulky. Pokud není uvedeno jinak</w:t>
      </w:r>
      <w:r w:rsidR="00EB635D">
        <w:t>,</w:t>
      </w:r>
      <w:r>
        <w:t xml:space="preserve"> jsou tyto tabulky </w:t>
      </w:r>
      <w:r w:rsidR="00EB635D">
        <w:t xml:space="preserve">výstupem vlastního výzkumu. </w:t>
      </w:r>
      <w:r w:rsidR="0008620D">
        <w:br w:type="page"/>
      </w:r>
    </w:p>
    <w:p w:rsidR="00A87F55" w:rsidRPr="00D5169C" w:rsidRDefault="0089631A" w:rsidP="00F57525">
      <w:pPr>
        <w:pStyle w:val="Nadpis1"/>
        <w:numPr>
          <w:ilvl w:val="0"/>
          <w:numId w:val="2"/>
        </w:numPr>
      </w:pPr>
      <w:bookmarkStart w:id="6" w:name="_Toc446336397"/>
      <w:r w:rsidRPr="00D5169C">
        <w:lastRenderedPageBreak/>
        <w:t>Ochrana životního prostředí v právu evropské unie</w:t>
      </w:r>
      <w:bookmarkEnd w:id="6"/>
      <w:r w:rsidRPr="00D5169C">
        <w:t xml:space="preserve"> </w:t>
      </w:r>
    </w:p>
    <w:p w:rsidR="0089631A" w:rsidRPr="00D5169C" w:rsidRDefault="00CA2097" w:rsidP="00F57525">
      <w:pPr>
        <w:pStyle w:val="Nadpis2"/>
        <w:numPr>
          <w:ilvl w:val="1"/>
          <w:numId w:val="3"/>
        </w:numPr>
      </w:pPr>
      <w:bookmarkStart w:id="7" w:name="_Toc446336398"/>
      <w:r>
        <w:t>Vývoj práva</w:t>
      </w:r>
      <w:r w:rsidR="00FD5DBC" w:rsidRPr="00D5169C">
        <w:t xml:space="preserve"> životního prostředí</w:t>
      </w:r>
      <w:r w:rsidR="00757187" w:rsidRPr="00D5169C">
        <w:t xml:space="preserve"> v Evropské unii</w:t>
      </w:r>
      <w:bookmarkEnd w:id="7"/>
    </w:p>
    <w:p w:rsidR="000F4BC1" w:rsidRDefault="00757187" w:rsidP="00927A92">
      <w:pPr>
        <w:ind w:firstLine="708"/>
      </w:pPr>
      <w:r>
        <w:t>Životní prostředí</w:t>
      </w:r>
      <w:r w:rsidR="006B3E59">
        <w:t xml:space="preserve"> je v rá</w:t>
      </w:r>
      <w:r w:rsidR="008B0325">
        <w:t>mci evropských politik</w:t>
      </w:r>
      <w:r w:rsidR="006B3E59">
        <w:t xml:space="preserve"> mladým odvětvím</w:t>
      </w:r>
      <w:r w:rsidR="00B37490">
        <w:t>. Toto dokládá i fakt, že ochrana životního prostředí nebyla v zakládajících smlouvách původních společenství nijak upravena. První</w:t>
      </w:r>
      <w:r w:rsidR="006B3E59">
        <w:t xml:space="preserve"> zmínky o něm se začaly objevovat</w:t>
      </w:r>
      <w:r w:rsidR="007E50EE">
        <w:t xml:space="preserve"> až</w:t>
      </w:r>
      <w:r w:rsidR="006B3E59">
        <w:t xml:space="preserve"> v průběhu 70. let minulého století v souvislosti s utvářením společného trhu</w:t>
      </w:r>
      <w:r w:rsidR="003815E6">
        <w:t>, jednalo se však pouze o dílčí úpravy</w:t>
      </w:r>
      <w:r w:rsidR="006B3E59">
        <w:t>.</w:t>
      </w:r>
      <w:r w:rsidR="00A00651">
        <w:t xml:space="preserve"> Pod vlivem Stockholmské konference</w:t>
      </w:r>
      <w:r w:rsidR="007E50EE">
        <w:t xml:space="preserve"> z roku</w:t>
      </w:r>
      <w:r w:rsidR="00A00651">
        <w:t xml:space="preserve"> 1972</w:t>
      </w:r>
      <w:r w:rsidR="00B92875">
        <w:t>, která byla svolána</w:t>
      </w:r>
      <w:r w:rsidR="007E50EE">
        <w:t xml:space="preserve"> OSN</w:t>
      </w:r>
      <w:r w:rsidR="00B92875">
        <w:t xml:space="preserve"> jako reakce na </w:t>
      </w:r>
      <w:r w:rsidR="00356F3A">
        <w:t>rostoucí</w:t>
      </w:r>
      <w:r w:rsidR="007A41F2">
        <w:t xml:space="preserve"> znečištění</w:t>
      </w:r>
      <w:r w:rsidR="00B92875">
        <w:t xml:space="preserve"> životního prostředí,</w:t>
      </w:r>
      <w:r w:rsidR="00A00651">
        <w:t xml:space="preserve"> s</w:t>
      </w:r>
      <w:r w:rsidR="00B92875">
        <w:t>e Komise rozhodla zaměřit na</w:t>
      </w:r>
      <w:r w:rsidR="00A00651">
        <w:t xml:space="preserve"> environmentální polit</w:t>
      </w:r>
      <w:r w:rsidR="00BB4468">
        <w:t>i</w:t>
      </w:r>
      <w:r w:rsidR="003B2B6C">
        <w:t>ku</w:t>
      </w:r>
      <w:r w:rsidR="00B92875">
        <w:t xml:space="preserve"> a provádět ji</w:t>
      </w:r>
      <w:r w:rsidR="003B2B6C">
        <w:t xml:space="preserve"> pomocí tzv. Akčních programů.</w:t>
      </w:r>
      <w:r w:rsidR="001620E2">
        <w:t xml:space="preserve"> Tato forma byla zvolena z důvodu, že tehdejší Evropské hospodářské společenství nemělo výslovnou pravomoc přijímat v oblasti ochrany životního prostředí sekundární právní akty.</w:t>
      </w:r>
      <w:r w:rsidR="0018004A">
        <w:t xml:space="preserve"> Nevýhodou akčních programů</w:t>
      </w:r>
      <w:r w:rsidR="007E50EE">
        <w:t xml:space="preserve"> tudíž</w:t>
      </w:r>
      <w:r w:rsidR="00742585">
        <w:t xml:space="preserve"> bylo, že měly pou</w:t>
      </w:r>
      <w:r w:rsidR="009F2006">
        <w:t>ze formu doporučení a nebyly tud</w:t>
      </w:r>
      <w:r w:rsidR="00742585">
        <w:t>íž právně závazné.</w:t>
      </w:r>
      <w:r w:rsidR="003B2B6C">
        <w:rPr>
          <w:rStyle w:val="Znakapoznpodarou"/>
        </w:rPr>
        <w:footnoteReference w:id="5"/>
      </w:r>
      <w:r w:rsidR="00927A92">
        <w:t xml:space="preserve"> V roce 1973 </w:t>
      </w:r>
      <w:r w:rsidR="007E50EE">
        <w:t>došlo k posunu díky judikatuře Evropského</w:t>
      </w:r>
      <w:r w:rsidR="00927A92">
        <w:t xml:space="preserve"> soudní</w:t>
      </w:r>
      <w:r w:rsidR="007E50EE">
        <w:t>ho dvora, který</w:t>
      </w:r>
      <w:r w:rsidR="00927A92">
        <w:t xml:space="preserve"> v případu C-240/73 </w:t>
      </w:r>
      <w:r w:rsidR="00927A92" w:rsidRPr="00307FA0">
        <w:rPr>
          <w:i/>
        </w:rPr>
        <w:t>„Franc</w:t>
      </w:r>
      <w:r w:rsidR="005E1C5C" w:rsidRPr="00307FA0">
        <w:rPr>
          <w:i/>
        </w:rPr>
        <w:t>e v</w:t>
      </w:r>
      <w:r w:rsidR="00927A92" w:rsidRPr="00307FA0">
        <w:rPr>
          <w:i/>
        </w:rPr>
        <w:t xml:space="preserve"> Association DBHU</w:t>
      </w:r>
      <w:r w:rsidR="00927A92">
        <w:t>“ (odpadní olej ve Francii)</w:t>
      </w:r>
      <w:r w:rsidR="007E50EE">
        <w:t xml:space="preserve"> označil</w:t>
      </w:r>
      <w:r w:rsidR="00927A92">
        <w:t xml:space="preserve"> ochranu životního prostřední jako jeden z hlavních cílů </w:t>
      </w:r>
      <w:r w:rsidR="000F4BC1">
        <w:t>S</w:t>
      </w:r>
      <w:r w:rsidR="00927A92">
        <w:t>polečenství</w:t>
      </w:r>
      <w:r w:rsidR="001367D1">
        <w:t>.</w:t>
      </w:r>
      <w:r w:rsidR="00927A92">
        <w:t xml:space="preserve"> „</w:t>
      </w:r>
      <w:r w:rsidR="00927A92" w:rsidRPr="00927A92">
        <w:rPr>
          <w:i/>
        </w:rPr>
        <w:t>The directive must be seen in the perspective of environmental protection, which is one of the Community's essential objectives.</w:t>
      </w:r>
      <w:r w:rsidR="00927A92">
        <w:t>“</w:t>
      </w:r>
      <w:r w:rsidR="005E1C5C">
        <w:rPr>
          <w:rStyle w:val="Znakapoznpodarou"/>
        </w:rPr>
        <w:footnoteReference w:id="6"/>
      </w:r>
    </w:p>
    <w:p w:rsidR="001620E2" w:rsidRDefault="000F4BC1" w:rsidP="00927A92">
      <w:pPr>
        <w:ind w:firstLine="708"/>
      </w:pPr>
      <w:r>
        <w:t>K</w:t>
      </w:r>
      <w:r w:rsidR="00792895">
        <w:t>e kvalitativnímu skoku v och</w:t>
      </w:r>
      <w:r w:rsidR="005B5BCF">
        <w:t>raně životního prostředí došlo</w:t>
      </w:r>
      <w:r w:rsidR="00792895">
        <w:t> přijetím Jednotného evropského aktu v roce 1987.</w:t>
      </w:r>
      <w:r w:rsidR="00C06B11">
        <w:t xml:space="preserve"> Ten reagoval na třetí akční plán, který požadoval op</w:t>
      </w:r>
      <w:r w:rsidR="0096215E">
        <w:t>ustit</w:t>
      </w:r>
      <w:r w:rsidR="00AC12C5">
        <w:t xml:space="preserve"> sektorovou úpravu a místo ní se soustředit na úpravu komplexní. </w:t>
      </w:r>
      <w:r w:rsidR="00C55642">
        <w:t>Do Smlouvy o Evropských společenství byla zařazena kapitola Životní prostředí</w:t>
      </w:r>
      <w:r w:rsidR="00891A8A">
        <w:rPr>
          <w:rStyle w:val="Znakapoznpodarou"/>
        </w:rPr>
        <w:footnoteReference w:id="7"/>
      </w:r>
      <w:r w:rsidR="00C55642">
        <w:t>, která zakotvovala základní cíle společenství v ochraně životního prostředí.</w:t>
      </w:r>
      <w:r w:rsidR="00F66C5A">
        <w:t xml:space="preserve"> </w:t>
      </w:r>
      <w:r w:rsidR="00071881">
        <w:t xml:space="preserve">V roce 1990 byla </w:t>
      </w:r>
      <w:r w:rsidR="001620E2">
        <w:t xml:space="preserve">také </w:t>
      </w:r>
      <w:r w:rsidR="00071881">
        <w:t>zřízena Evropská agentura pro životní prostředí se sídlem v Kodaňi</w:t>
      </w:r>
      <w:r w:rsidR="0001059B">
        <w:rPr>
          <w:rStyle w:val="Znakapoznpodarou"/>
        </w:rPr>
        <w:footnoteReference w:id="8"/>
      </w:r>
      <w:r w:rsidR="00071881">
        <w:t>, která měl</w:t>
      </w:r>
      <w:r w:rsidR="005B5BCF">
        <w:t>a</w:t>
      </w:r>
      <w:r w:rsidR="00071881">
        <w:t xml:space="preserve"> přispět k dosažení cílů ochrany životního pros</w:t>
      </w:r>
      <w:r w:rsidR="0001059B">
        <w:t>t</w:t>
      </w:r>
      <w:r w:rsidR="00071881">
        <w:t xml:space="preserve">ředí vymezených v primárním právu a akčních programech. </w:t>
      </w:r>
    </w:p>
    <w:p w:rsidR="007A41F2" w:rsidRDefault="00F66C5A" w:rsidP="00927A92">
      <w:pPr>
        <w:ind w:firstLine="708"/>
      </w:pPr>
      <w:r>
        <w:t xml:space="preserve">K dalšímu </w:t>
      </w:r>
      <w:r w:rsidR="00742585">
        <w:t xml:space="preserve">výraznému </w:t>
      </w:r>
      <w:r w:rsidR="005F23D8">
        <w:t>posunu došlo</w:t>
      </w:r>
      <w:r>
        <w:t xml:space="preserve"> přijetím </w:t>
      </w:r>
      <w:r w:rsidR="00174E2F">
        <w:t>Amsterodamské sml</w:t>
      </w:r>
      <w:r w:rsidR="00FE50A6">
        <w:t xml:space="preserve">ouvy, která zakotvila požadavek na respektování ochrany životního prostředí při provádění ostatních politik </w:t>
      </w:r>
      <w:r w:rsidR="00FE50A6">
        <w:lastRenderedPageBreak/>
        <w:t>Společenství.</w:t>
      </w:r>
      <w:r w:rsidR="00FE50A6">
        <w:rPr>
          <w:rStyle w:val="Znakapoznpodarou"/>
        </w:rPr>
        <w:footnoteReference w:id="9"/>
      </w:r>
      <w:r w:rsidR="00FE50A6">
        <w:t xml:space="preserve"> </w:t>
      </w:r>
      <w:r w:rsidR="007A41F2">
        <w:t>Posledním pokrokem bylo přijetí Šestého</w:t>
      </w:r>
      <w:r w:rsidR="004D26DA">
        <w:t xml:space="preserve"> akční</w:t>
      </w:r>
      <w:r w:rsidR="007A41F2">
        <w:t>ho</w:t>
      </w:r>
      <w:r w:rsidR="004D26DA">
        <w:t xml:space="preserve"> plán</w:t>
      </w:r>
      <w:r w:rsidR="007A41F2">
        <w:t>u na období</w:t>
      </w:r>
      <w:r>
        <w:t xml:space="preserve"> 2002</w:t>
      </w:r>
      <w:r w:rsidR="007A41F2">
        <w:t xml:space="preserve"> - 2012</w:t>
      </w:r>
      <w:r>
        <w:t>, který byl na rozdíl od všech předchozích</w:t>
      </w:r>
      <w:r w:rsidR="005F23D8">
        <w:t xml:space="preserve"> plánů</w:t>
      </w:r>
      <w:r>
        <w:t xml:space="preserve"> právně závazný</w:t>
      </w:r>
      <w:r w:rsidR="007A41F2">
        <w:rPr>
          <w:rStyle w:val="Znakapoznpodarou"/>
        </w:rPr>
        <w:footnoteReference w:id="10"/>
      </w:r>
      <w:r>
        <w:t>.</w:t>
      </w:r>
      <w:r w:rsidR="007A41F2">
        <w:t xml:space="preserve"> </w:t>
      </w:r>
    </w:p>
    <w:p w:rsidR="001828DE" w:rsidRDefault="001620E2" w:rsidP="001828DE">
      <w:pPr>
        <w:ind w:firstLine="708"/>
      </w:pPr>
      <w:r w:rsidRPr="00322002">
        <w:rPr>
          <w:b/>
        </w:rPr>
        <w:t>V současné době</w:t>
      </w:r>
      <w:r>
        <w:t xml:space="preserve"> je ochrana životního prostředí v rámci primárního práva zakotvena </w:t>
      </w:r>
      <w:r w:rsidR="001F222B">
        <w:t xml:space="preserve">především </w:t>
      </w:r>
      <w:r>
        <w:t>v</w:t>
      </w:r>
      <w:r w:rsidR="001F222B">
        <w:t>e Smlouvě o fungování Evropské unie</w:t>
      </w:r>
      <w:r w:rsidR="001828DE">
        <w:t>, Hlavě</w:t>
      </w:r>
      <w:r w:rsidR="001F222B">
        <w:t xml:space="preserve"> XX</w:t>
      </w:r>
      <w:r w:rsidR="008B0325">
        <w:t>, čl. 191-193.</w:t>
      </w:r>
      <w:r w:rsidR="004E286D">
        <w:rPr>
          <w:rStyle w:val="Znakapoznpodarou"/>
        </w:rPr>
        <w:footnoteReference w:id="11"/>
      </w:r>
    </w:p>
    <w:p w:rsidR="00164560" w:rsidRDefault="00164560" w:rsidP="001828DE">
      <w:pPr>
        <w:ind w:firstLine="708"/>
      </w:pPr>
      <w:r>
        <w:t xml:space="preserve">Ochrana životního prostředí je též zanesena v čl. 3 SEU, kde je stanoven vysoký stupeň ochrany a zlepšování kvality životního prostředí jako jeden z cílů Unie. </w:t>
      </w:r>
    </w:p>
    <w:p w:rsidR="00847E0D" w:rsidRDefault="00847E0D" w:rsidP="001828DE">
      <w:pPr>
        <w:ind w:firstLine="708"/>
      </w:pPr>
      <w:r>
        <w:t>Mimo to je Evropská unie signatářem celé řady mezinárodních smluv týkajících se životního prostředí. Z hlediska této práce je zásadní Aarhuská úmluva</w:t>
      </w:r>
      <w:r w:rsidR="007504BA">
        <w:t xml:space="preserve"> (dále jen Úmluva)</w:t>
      </w:r>
      <w:r>
        <w:t xml:space="preserve">, ke které tehdejší Evropské společenství přistoupilo 17. února 2005 rozhodnutím Rady č. 2005/370/ES.  </w:t>
      </w:r>
    </w:p>
    <w:p w:rsidR="007504BA" w:rsidRDefault="007504BA" w:rsidP="00EE415A">
      <w:pPr>
        <w:ind w:firstLine="708"/>
      </w:pPr>
      <w:r>
        <w:t>Pro práci je zásadní určit vztah Úmluvy a práva Evropské unie. Úmluva byla za Evropskou unii podepsána Komisí v roce 1998, k samotnému schválení však došlo až rozhodnutím Rady ze dne 17. února 2005 č. 2005/370/ES. Právní režim mezinárodních smluv se řídí čl. 216 odst. 2 SFEU. Podle něj jsou dohody uzavřené Unií závazné pro orgány Unie i pro členské státy. Předběžnou shodu mezinárodní smlouvy s primárním právem Evropské unie může posoudit na základě čl. 218 odst. 11 Soudní dvůr, jehož případné negativní stanovisko způsobí, že</w:t>
      </w:r>
      <w:r w:rsidR="003616BA">
        <w:t xml:space="preserve"> mezinárodní</w:t>
      </w:r>
      <w:r>
        <w:t xml:space="preserve"> smlouva nemůže vstoupit v platnost. V době účinnosti smlouvy je možný přezkum souladu mezinárodní smlouvy a primárního práva skrze čl. 263 SFEU. Lze shrnout, že mezinárodní smlouvy v hierarchii pramenů evropského práva stojí mezi primárním a sekundárním právem.</w:t>
      </w:r>
      <w:r>
        <w:rPr>
          <w:rStyle w:val="Znakapoznpodarou"/>
        </w:rPr>
        <w:footnoteReference w:id="12"/>
      </w:r>
      <w:r>
        <w:t xml:space="preserve"> </w:t>
      </w:r>
    </w:p>
    <w:p w:rsidR="007504BA" w:rsidRDefault="005F23D8" w:rsidP="00EE415A">
      <w:pPr>
        <w:ind w:firstLine="708"/>
      </w:pPr>
      <w:r>
        <w:t>Z toho vyplý</w:t>
      </w:r>
      <w:r w:rsidR="007504BA">
        <w:t>vá, že v případě Úmluvy a jednotlivých právních předpisů Evropské unie má v případě rozporu vyšší právní sílu Úmluva a lze se jejího porušení též dovolávat žalobou u Soudního dvora.</w:t>
      </w:r>
      <w:r w:rsidR="007504BA">
        <w:rPr>
          <w:rStyle w:val="Znakapoznpodarou"/>
        </w:rPr>
        <w:footnoteReference w:id="13"/>
      </w:r>
    </w:p>
    <w:p w:rsidR="007504BA" w:rsidRDefault="007504BA" w:rsidP="0013407D">
      <w:pPr>
        <w:ind w:firstLine="708"/>
      </w:pPr>
      <w:r w:rsidRPr="00D77C47">
        <w:t xml:space="preserve">Z hlediska aplikace Úmluvy členskými státy, Soudní dvůr v případu </w:t>
      </w:r>
      <w:r w:rsidRPr="00D77C47">
        <w:rPr>
          <w:i/>
        </w:rPr>
        <w:t xml:space="preserve">C-240/09 </w:t>
      </w:r>
      <w:r w:rsidR="00D77C47" w:rsidRPr="00D77C47">
        <w:rPr>
          <w:i/>
        </w:rPr>
        <w:t>Lesoochranárske zoskupenie VLK vs. Ministerstvo životného prostredia Slovenskej republiky</w:t>
      </w:r>
      <w:r w:rsidR="00D77C47">
        <w:rPr>
          <w:i/>
        </w:rPr>
        <w:t xml:space="preserve"> </w:t>
      </w:r>
      <w:r w:rsidRPr="00D77C47">
        <w:t>shledal, že minimálně část</w:t>
      </w:r>
      <w:r w:rsidRPr="004B4DE2">
        <w:rPr>
          <w:vertAlign w:val="superscript"/>
        </w:rPr>
        <w:footnoteReference w:id="14"/>
      </w:r>
      <w:r w:rsidRPr="00D77C47">
        <w:t xml:space="preserve"> Úmluvy není přímo účinná z důvodu, že neobsahuje jasné a </w:t>
      </w:r>
      <w:r w:rsidRPr="00D77C47">
        <w:lastRenderedPageBreak/>
        <w:t>přesné povinnosti, které by mohly upravovat právní postavení jednotlivců. Její aplikace je v těchto částech</w:t>
      </w:r>
      <w:r>
        <w:t xml:space="preserve"> vázána na vydání pozdějšího aktu. To ovšem nezbavuje členské státy povinnosti zabezpečit dosažení cíle Úmluvy.</w:t>
      </w:r>
      <w:r w:rsidR="004B4DE2">
        <w:rPr>
          <w:rStyle w:val="Znakapoznpodarou"/>
        </w:rPr>
        <w:footnoteReference w:id="15"/>
      </w:r>
    </w:p>
    <w:p w:rsidR="00F42E7B" w:rsidRDefault="0010044B" w:rsidP="001828DE">
      <w:pPr>
        <w:ind w:firstLine="708"/>
      </w:pPr>
      <w:r w:rsidRPr="00F502E8">
        <w:rPr>
          <w:b/>
        </w:rPr>
        <w:t>Politika životního prostředí</w:t>
      </w:r>
      <w:r>
        <w:t xml:space="preserve"> se na úrovni Unie provádí především v</w:t>
      </w:r>
      <w:r w:rsidR="008F241E">
        <w:t xml:space="preserve"> Komisi, </w:t>
      </w:r>
      <w:r w:rsidR="009C3B7F">
        <w:t>Radě</w:t>
      </w:r>
      <w:r w:rsidR="008F241E">
        <w:t xml:space="preserve"> a Evropském parlamentu</w:t>
      </w:r>
      <w:r w:rsidR="009C3B7F">
        <w:t>. Komisařem pro životní prostředí je pro období 2014-2019 Karmenu Vella.</w:t>
      </w:r>
      <w:r w:rsidR="00F5498E">
        <w:rPr>
          <w:rStyle w:val="Znakapoznpodarou"/>
        </w:rPr>
        <w:footnoteReference w:id="16"/>
      </w:r>
      <w:r w:rsidR="00BB777C">
        <w:t xml:space="preserve"> V rámci Komise působí také generální ředitelství pro životní prostředí (DG Environment)</w:t>
      </w:r>
      <w:r w:rsidR="00514B5B">
        <w:t>.</w:t>
      </w:r>
      <w:r w:rsidR="008F143C">
        <w:t xml:space="preserve"> Jeho cílem je ochrana, udržování a</w:t>
      </w:r>
      <w:r w:rsidR="0093232E">
        <w:t xml:space="preserve"> zlepšování životního prostředí. K dosažení to</w:t>
      </w:r>
      <w:r w:rsidR="005F23D8">
        <w:t>hoto cíle jednak Komisi navrhuje</w:t>
      </w:r>
      <w:r w:rsidR="0093232E">
        <w:t xml:space="preserve"> přijetí legislativy a kontroluje dodržování práva evropského enviro</w:t>
      </w:r>
      <w:r w:rsidR="00B8220A">
        <w:t>n</w:t>
      </w:r>
      <w:r w:rsidR="0093232E">
        <w:t xml:space="preserve">mentálního práva členskými státy a taktéž řeší stížnosti občanů a nevládních organizací na tomto úseku. </w:t>
      </w:r>
    </w:p>
    <w:p w:rsidR="0010044B" w:rsidRDefault="00F42E7B" w:rsidP="00BF3EC3">
      <w:pPr>
        <w:ind w:firstLine="708"/>
      </w:pPr>
      <w:r>
        <w:t>V</w:t>
      </w:r>
      <w:r w:rsidR="000D076E">
        <w:t> rámci Rady je hlavním tělesem Rada pro životní prostředí</w:t>
      </w:r>
      <w:r w:rsidR="00E65B83">
        <w:t>. Skládá se</w:t>
      </w:r>
      <w:r w:rsidR="000D076E">
        <w:t xml:space="preserve"> z ministrů životního prostředí členských států Unie</w:t>
      </w:r>
      <w:r w:rsidR="00E65B83">
        <w:t xml:space="preserve">, komisaře pro životní prostředí a komisaře pro změnu klimatu. </w:t>
      </w:r>
      <w:r w:rsidR="00AE58C8">
        <w:t xml:space="preserve">Jejím hlavním úkolem je přijímat </w:t>
      </w:r>
      <w:r w:rsidR="00B8220A">
        <w:t>environmentální legislativu a též dohlížet nad včleňováním ochrany životního prostředí do dalších politik Unie.</w:t>
      </w:r>
      <w:r w:rsidR="00304C6D">
        <w:rPr>
          <w:rStyle w:val="Znakapoznpodarou"/>
        </w:rPr>
        <w:footnoteReference w:id="17"/>
      </w:r>
      <w:r w:rsidR="00B8220A">
        <w:t xml:space="preserve"> </w:t>
      </w:r>
      <w:r w:rsidR="008F241E">
        <w:t>S Rad</w:t>
      </w:r>
      <w:r w:rsidR="005F23D8">
        <w:t>o</w:t>
      </w:r>
      <w:r w:rsidR="008F241E">
        <w:t>u je spojena též činnost Evropského par</w:t>
      </w:r>
      <w:r w:rsidR="00BF3EC3">
        <w:t>lamentu. Zde je důležitá činnost výborů pro životní prostředí.</w:t>
      </w:r>
    </w:p>
    <w:p w:rsidR="006734CA" w:rsidRDefault="006734CA" w:rsidP="00B86D5E">
      <w:pPr>
        <w:ind w:firstLine="708"/>
      </w:pPr>
      <w:r>
        <w:t>Poslední významnou institucí je Evropská agentura životního prostředí (EEA)</w:t>
      </w:r>
      <w:r w:rsidR="00753CB7">
        <w:t>.</w:t>
      </w:r>
      <w:r w:rsidR="008F241E">
        <w:t xml:space="preserve"> Jejím hlavním úkolem je </w:t>
      </w:r>
      <w:r w:rsidR="00102B53">
        <w:t>shromažďovat a poskytovat spolehlivé a nezávislé informace o životním prostředí. K</w:t>
      </w:r>
      <w:r w:rsidR="00A36F0A">
        <w:t> tomuto účelu byla zřízena pozorovací a informační síť EIONET</w:t>
      </w:r>
      <w:r w:rsidR="00B86D5E">
        <w:t>, jejíž provoz agentura zajišťuje. Členy agentury nejsou pouze členské</w:t>
      </w:r>
      <w:r w:rsidR="008F5DA0">
        <w:t xml:space="preserve"> státy Unie, m</w:t>
      </w:r>
      <w:r w:rsidR="00B86D5E">
        <w:t>imo osmadvacítku je do činnosti agentury zapojeno je</w:t>
      </w:r>
      <w:r w:rsidR="00F502E8">
        <w:t>ště dalších šes</w:t>
      </w:r>
      <w:r w:rsidR="00B86D5E">
        <w:t>t států</w:t>
      </w:r>
      <w:r w:rsidR="00B86D5E">
        <w:rPr>
          <w:rStyle w:val="Znakapoznpodarou"/>
        </w:rPr>
        <w:footnoteReference w:id="18"/>
      </w:r>
      <w:r w:rsidR="00B86D5E">
        <w:t>. Díky svojí činnosti pomáhá</w:t>
      </w:r>
      <w:r w:rsidR="008F5DA0">
        <w:t xml:space="preserve"> EEA</w:t>
      </w:r>
      <w:r w:rsidR="00B86D5E">
        <w:t xml:space="preserve"> členským státům činit informovaná rozhodnutí o životním prostředí.</w:t>
      </w:r>
      <w:r w:rsidR="00B86D5E">
        <w:rPr>
          <w:rStyle w:val="Znakapoznpodarou"/>
        </w:rPr>
        <w:footnoteReference w:id="19"/>
      </w:r>
    </w:p>
    <w:p w:rsidR="00147566" w:rsidRPr="00147566" w:rsidRDefault="00147566" w:rsidP="00147566">
      <w:pPr>
        <w:pStyle w:val="Odstavecseseznamem"/>
        <w:keepNext/>
        <w:keepLines/>
        <w:numPr>
          <w:ilvl w:val="0"/>
          <w:numId w:val="8"/>
        </w:numPr>
        <w:spacing w:before="200" w:after="0"/>
        <w:contextualSpacing w:val="0"/>
        <w:outlineLvl w:val="1"/>
        <w:rPr>
          <w:rFonts w:eastAsiaTheme="majorEastAsia" w:cstheme="majorBidi"/>
          <w:b/>
          <w:bCs/>
          <w:vanish/>
          <w:color w:val="000000" w:themeColor="text1"/>
          <w:sz w:val="28"/>
          <w:szCs w:val="26"/>
        </w:rPr>
      </w:pPr>
      <w:bookmarkStart w:id="8" w:name="_Toc445990711"/>
      <w:bookmarkStart w:id="9" w:name="_Toc446336399"/>
      <w:bookmarkEnd w:id="8"/>
      <w:bookmarkEnd w:id="9"/>
    </w:p>
    <w:p w:rsidR="00147566" w:rsidRPr="00147566" w:rsidRDefault="00147566" w:rsidP="00147566">
      <w:pPr>
        <w:pStyle w:val="Odstavecseseznamem"/>
        <w:keepNext/>
        <w:keepLines/>
        <w:numPr>
          <w:ilvl w:val="1"/>
          <w:numId w:val="8"/>
        </w:numPr>
        <w:spacing w:before="200" w:after="0"/>
        <w:contextualSpacing w:val="0"/>
        <w:outlineLvl w:val="1"/>
        <w:rPr>
          <w:rFonts w:eastAsiaTheme="majorEastAsia" w:cstheme="majorBidi"/>
          <w:b/>
          <w:bCs/>
          <w:vanish/>
          <w:color w:val="000000" w:themeColor="text1"/>
          <w:sz w:val="28"/>
          <w:szCs w:val="26"/>
        </w:rPr>
      </w:pPr>
      <w:bookmarkStart w:id="10" w:name="_Toc445990712"/>
      <w:bookmarkStart w:id="11" w:name="_Toc446336400"/>
      <w:bookmarkEnd w:id="10"/>
      <w:bookmarkEnd w:id="11"/>
    </w:p>
    <w:p w:rsidR="00FD5958" w:rsidRDefault="0023211D" w:rsidP="00E37C83">
      <w:pPr>
        <w:pStyle w:val="Nadpis2"/>
        <w:numPr>
          <w:ilvl w:val="1"/>
          <w:numId w:val="8"/>
        </w:numPr>
        <w:ind w:left="0" w:firstLine="708"/>
      </w:pPr>
      <w:bookmarkStart w:id="12" w:name="_Toc446336401"/>
      <w:r>
        <w:t>Vývoj účasti veřejnosti</w:t>
      </w:r>
      <w:bookmarkEnd w:id="12"/>
      <w:r>
        <w:t xml:space="preserve"> </w:t>
      </w:r>
    </w:p>
    <w:p w:rsidR="004149B0" w:rsidRDefault="00CA4F9E" w:rsidP="00FD5958">
      <w:r w:rsidRPr="00FD5958">
        <w:rPr>
          <w:b/>
        </w:rPr>
        <w:t xml:space="preserve">Účast veřejnosti </w:t>
      </w:r>
      <w:r>
        <w:t>na rozhodování ve věcech životního prostředí je r</w:t>
      </w:r>
      <w:r w:rsidR="008F5DA0">
        <w:t>elativně mladým institutem. Její</w:t>
      </w:r>
      <w:r>
        <w:t xml:space="preserve"> počátky můžeme vysledovat do </w:t>
      </w:r>
      <w:r w:rsidR="000F6802">
        <w:t>90. let minulého století.</w:t>
      </w:r>
      <w:r w:rsidR="00FA268D">
        <w:t xml:space="preserve"> </w:t>
      </w:r>
      <w:r w:rsidR="009B1DF7">
        <w:t xml:space="preserve">V této době ale ještě nemůžeme hovořit o plnoprávné účasti veřejnosti, jednalo se spíše o první kroky. </w:t>
      </w:r>
      <w:r w:rsidR="00D3754B">
        <w:t xml:space="preserve"> </w:t>
      </w:r>
      <w:r w:rsidR="000F6802">
        <w:t xml:space="preserve"> </w:t>
      </w:r>
    </w:p>
    <w:p w:rsidR="00A037B0" w:rsidRDefault="000F6802" w:rsidP="00C24121">
      <w:pPr>
        <w:ind w:firstLine="708"/>
      </w:pPr>
      <w:r>
        <w:lastRenderedPageBreak/>
        <w:t xml:space="preserve">V roce 1992 </w:t>
      </w:r>
      <w:r w:rsidR="008766B8">
        <w:t xml:space="preserve">vstoupila v platnost </w:t>
      </w:r>
      <w:r w:rsidRPr="00C24121">
        <w:rPr>
          <w:i/>
        </w:rPr>
        <w:t>Maastrichtská smlouva</w:t>
      </w:r>
      <w:r w:rsidR="008766B8">
        <w:t>, která významně reformovala fungování Evropské unie</w:t>
      </w:r>
      <w:r>
        <w:t xml:space="preserve">. V rámci </w:t>
      </w:r>
      <w:r w:rsidR="007F252B">
        <w:t>ní bylo přijato P</w:t>
      </w:r>
      <w:r>
        <w:t>rohlášení o právu na přístup k</w:t>
      </w:r>
      <w:r w:rsidR="007F252B">
        <w:t> informacím, které dávalo Komisi za úkol přijít s návrhem na zlepšení přístupu veřejnosti k informacím,</w:t>
      </w:r>
      <w:r w:rsidR="00033634">
        <w:t xml:space="preserve"> kterými </w:t>
      </w:r>
      <w:r w:rsidR="007F252B">
        <w:t xml:space="preserve">disponují orgány EU. </w:t>
      </w:r>
      <w:r w:rsidR="00A037B0">
        <w:t xml:space="preserve">V roce 1997 vydala Komise </w:t>
      </w:r>
      <w:r w:rsidR="008766B8">
        <w:t>nezávazný</w:t>
      </w:r>
      <w:r w:rsidR="00D3754B">
        <w:t xml:space="preserve"> dokument „</w:t>
      </w:r>
      <w:r w:rsidR="00D3754B">
        <w:rPr>
          <w:i/>
        </w:rPr>
        <w:t>Podpora role dobrovolnických organizací a nadací v Evropě</w:t>
      </w:r>
      <w:r w:rsidR="00D3754B" w:rsidRPr="00824D0A">
        <w:rPr>
          <w:rStyle w:val="Znakapoznpodarou"/>
          <w:vertAlign w:val="baseline"/>
        </w:rPr>
        <w:t>„</w:t>
      </w:r>
      <w:r w:rsidR="00D3754B">
        <w:rPr>
          <w:rStyle w:val="Znakapoznpodarou"/>
        </w:rPr>
        <w:footnoteReference w:id="20"/>
      </w:r>
      <w:r w:rsidR="00D3754B">
        <w:t>, ve kterém mimo jiné nabádala k častějším konzultacím s těmito organizacemi.</w:t>
      </w:r>
    </w:p>
    <w:p w:rsidR="009B1DF7" w:rsidRDefault="00D3754B" w:rsidP="003B1234">
      <w:pPr>
        <w:ind w:firstLine="708"/>
      </w:pPr>
      <w:r>
        <w:t>Větší posun v účasti veřejnosti přišel však až v roce 1998</w:t>
      </w:r>
      <w:r w:rsidR="009B1DF7">
        <w:t>,</w:t>
      </w:r>
      <w:r>
        <w:t xml:space="preserve"> kdy</w:t>
      </w:r>
      <w:r w:rsidR="00D36F1F">
        <w:t xml:space="preserve"> Komise jménem</w:t>
      </w:r>
      <w:r w:rsidR="009B1DF7">
        <w:t xml:space="preserve"> Evropské unie podepsala </w:t>
      </w:r>
      <w:r w:rsidR="009B1DF7" w:rsidRPr="00C24121">
        <w:rPr>
          <w:i/>
        </w:rPr>
        <w:t>Aarhuskou úmluvu</w:t>
      </w:r>
      <w:r w:rsidR="009B1DF7">
        <w:t>. Tím</w:t>
      </w:r>
      <w:r w:rsidR="00FB4FE3">
        <w:t>to aktem se tato Ú</w:t>
      </w:r>
      <w:r w:rsidR="009B1DF7">
        <w:t>mluva stala pr</w:t>
      </w:r>
      <w:r w:rsidR="00FB4FE3">
        <w:t xml:space="preserve">o Evropskou unii závaznou a </w:t>
      </w:r>
      <w:r w:rsidR="009B1DF7">
        <w:t xml:space="preserve">pomohla </w:t>
      </w:r>
      <w:r w:rsidR="00FB4FE3">
        <w:t xml:space="preserve">tak </w:t>
      </w:r>
      <w:r w:rsidR="009B1DF7">
        <w:t>otevřít dveře pro širokou účast veřejnosti</w:t>
      </w:r>
      <w:r w:rsidR="00C24121">
        <w:t xml:space="preserve"> ve věcech týkajících se životního prostředí</w:t>
      </w:r>
      <w:r w:rsidR="009B1DF7">
        <w:t xml:space="preserve">. </w:t>
      </w:r>
    </w:p>
    <w:p w:rsidR="00830CCD" w:rsidRDefault="00E528D2" w:rsidP="00830CCD">
      <w:pPr>
        <w:ind w:firstLine="708"/>
      </w:pPr>
      <w:r>
        <w:t>Pravý rozvoj účasti veřejnosti na rozhodovacích procesech nastal až prvních letech nového tisíciletí.</w:t>
      </w:r>
      <w:r w:rsidR="00830CCD">
        <w:t xml:space="preserve"> </w:t>
      </w:r>
    </w:p>
    <w:p w:rsidR="00CF3BBF" w:rsidRDefault="00830CCD" w:rsidP="00CF3BBF">
      <w:pPr>
        <w:ind w:firstLine="708"/>
      </w:pPr>
      <w:r>
        <w:t>V </w:t>
      </w:r>
      <w:r w:rsidR="00C24121">
        <w:t>roce 2000 vydala Komise</w:t>
      </w:r>
      <w:r>
        <w:t xml:space="preserve"> </w:t>
      </w:r>
      <w:r w:rsidRPr="00C24121">
        <w:rPr>
          <w:i/>
        </w:rPr>
        <w:t>Discussion paper: The Commission and Non-governmental organisation building a stronger partnership</w:t>
      </w:r>
      <w:r w:rsidR="00C24121">
        <w:rPr>
          <w:rStyle w:val="Znakapoznpodarou"/>
        </w:rPr>
        <w:footnoteReference w:id="21"/>
      </w:r>
      <w:r>
        <w:t>. V tomto dokumentu Komise shrnula současný stav zapojování NGO do rozhodovacích procesů a vyzvala k diskuzi nad reformou</w:t>
      </w:r>
      <w:r w:rsidR="00CF3BBF">
        <w:t xml:space="preserve"> </w:t>
      </w:r>
      <w:r w:rsidR="00A92BE9">
        <w:t>tohoto způsobu</w:t>
      </w:r>
      <w:r w:rsidR="00CF3BBF">
        <w:t xml:space="preserve"> zapojení veřejnosti. </w:t>
      </w:r>
    </w:p>
    <w:p w:rsidR="004E3B07" w:rsidRDefault="00CF3BBF" w:rsidP="00CF3BBF">
      <w:pPr>
        <w:ind w:firstLine="708"/>
      </w:pPr>
      <w:r>
        <w:t>Výsledkem</w:t>
      </w:r>
      <w:r w:rsidR="00830CCD">
        <w:t xml:space="preserve"> konzultací byla</w:t>
      </w:r>
      <w:r w:rsidR="00E528D2">
        <w:t xml:space="preserve"> Bíl</w:t>
      </w:r>
      <w:r w:rsidR="00830CCD">
        <w:t>á kniha</w:t>
      </w:r>
      <w:r w:rsidR="00E528D2">
        <w:t xml:space="preserve"> o dobré správě</w:t>
      </w:r>
      <w:r>
        <w:rPr>
          <w:rStyle w:val="Znakapoznpodarou"/>
        </w:rPr>
        <w:footnoteReference w:id="22"/>
      </w:r>
      <w:r w:rsidR="00830CCD">
        <w:t>, kterou Komise přijala v roce 2002</w:t>
      </w:r>
      <w:r w:rsidR="00E528D2">
        <w:t xml:space="preserve">. Tato kniha </w:t>
      </w:r>
      <w:r w:rsidR="006171AB">
        <w:t>obsahovala samostatnou kapitolu, která se zabývala větším zapojením veřejnosti do rozhodovacích procesů</w:t>
      </w:r>
      <w:r w:rsidR="00961A72">
        <w:t xml:space="preserve"> a dávala Komisi za úkol přijmout legislativní opatření pro zavedení systematického dialogu s veřejností.</w:t>
      </w:r>
    </w:p>
    <w:p w:rsidR="0033276A" w:rsidRDefault="006A2FE3" w:rsidP="003B1234">
      <w:pPr>
        <w:ind w:firstLine="708"/>
      </w:pPr>
      <w:r>
        <w:t>Současně s Bílo</w:t>
      </w:r>
      <w:r w:rsidR="00021258">
        <w:t>u</w:t>
      </w:r>
      <w:r>
        <w:t xml:space="preserve"> knihou byla přijata formou sdělení Komise i metodika konzultací s veřejností o </w:t>
      </w:r>
      <w:r>
        <w:rPr>
          <w:i/>
        </w:rPr>
        <w:t>Posílené spolupráci při konzultacích a dialogu – všeobecné principy a minimální standardy pro konzultace Komise se zainteresovanými stranami.</w:t>
      </w:r>
      <w:r>
        <w:rPr>
          <w:rStyle w:val="Znakapoznpodarou"/>
          <w:i/>
        </w:rPr>
        <w:footnoteReference w:id="23"/>
      </w:r>
      <w:r>
        <w:rPr>
          <w:i/>
        </w:rPr>
        <w:t xml:space="preserve"> </w:t>
      </w:r>
      <w:r>
        <w:t xml:space="preserve">Tato metodika je stále platná a </w:t>
      </w:r>
      <w:r w:rsidR="007A7FFE">
        <w:t xml:space="preserve">postupuje podle ní Komise a všechny její orgány. </w:t>
      </w:r>
    </w:p>
    <w:p w:rsidR="00782E5A" w:rsidRDefault="0033276A" w:rsidP="00E8267B">
      <w:pPr>
        <w:ind w:firstLine="708"/>
      </w:pPr>
      <w:r>
        <w:lastRenderedPageBreak/>
        <w:t>Rok 2000 byl přelomový i z důvodu přijetí Listiny základních práv Evropské Unie (dále jen Listina). Čl. 42 Listiny zaručuje že „</w:t>
      </w:r>
      <w:r w:rsidRPr="00C170BB">
        <w:rPr>
          <w:i/>
        </w:rPr>
        <w:t>každý občan nebo občanka Unie či kterákoliv fyzická anebo právnická osoba bydlící či statutárně sídlící v některém z členských států má právo na přístup k dokumentům Evropského parlamentu, Rady a Komise EU</w:t>
      </w:r>
      <w:r>
        <w:t xml:space="preserve">“. </w:t>
      </w:r>
      <w:r w:rsidR="006A2FE3">
        <w:t>V této době bylo přijato i zásadní nařízení č. 1049/2001</w:t>
      </w:r>
      <w:r w:rsidR="006A2FE3" w:rsidRPr="006A2FE3">
        <w:t xml:space="preserve"> </w:t>
      </w:r>
      <w:r w:rsidR="006A2FE3" w:rsidRPr="005873F0">
        <w:t>o přístupu veřejnosti k dokumentům Evropského parlamentu, Rady a Komise</w:t>
      </w:r>
      <w:r w:rsidR="006A2FE3">
        <w:rPr>
          <w:rStyle w:val="Znakapoznpodarou"/>
        </w:rPr>
        <w:footnoteReference w:id="24"/>
      </w:r>
      <w:r w:rsidR="00782E5A">
        <w:t>, které dávalo veřejnosti možnost požadovat po orgánech Evropské unie zveřejnění informací, což do té doby nebylo možné.</w:t>
      </w:r>
    </w:p>
    <w:p w:rsidR="00CE4CDD" w:rsidRDefault="00782E5A" w:rsidP="003B1234">
      <w:pPr>
        <w:ind w:firstLine="708"/>
      </w:pPr>
      <w:r>
        <w:t>Dalším posunem v účasti veřejnosti bylo přijetí</w:t>
      </w:r>
      <w:r w:rsidR="006A2FE3">
        <w:t xml:space="preserve"> </w:t>
      </w:r>
      <w:r>
        <w:t>n</w:t>
      </w:r>
      <w:r w:rsidRPr="00040DA1">
        <w:t>ařízení č. 1367/2006</w:t>
      </w:r>
      <w:r>
        <w:t>,</w:t>
      </w:r>
      <w:r w:rsidRPr="00040DA1">
        <w:t xml:space="preserve"> o použití ustanovení Aarhuské úmluvy o přístupu k informacím, účasti veřejnosti na rozhodování</w:t>
      </w:r>
      <w:r>
        <w:t xml:space="preserve"> </w:t>
      </w:r>
      <w:r w:rsidRPr="00040DA1">
        <w:t>a přístupu k právní ochraně v záležitostech životního prostředí na orgány a subjekty Společenství</w:t>
      </w:r>
      <w:r>
        <w:rPr>
          <w:rStyle w:val="Znakapoznpodarou"/>
        </w:rPr>
        <w:footnoteReference w:id="25"/>
      </w:r>
      <w:r>
        <w:t xml:space="preserve">. Toto nařízení je vztahem </w:t>
      </w:r>
      <w:r w:rsidRPr="00782E5A">
        <w:rPr>
          <w:i/>
        </w:rPr>
        <w:t>lex specialis</w:t>
      </w:r>
      <w:r>
        <w:t xml:space="preserve"> k nařízení č. 1049/2001 a dává veřejnosti širší možnosti domáhat</w:t>
      </w:r>
      <w:r w:rsidR="00CE4CDD">
        <w:t xml:space="preserve"> se informací o životním prostředí. </w:t>
      </w:r>
    </w:p>
    <w:p w:rsidR="00A53F52" w:rsidRDefault="00A53F52" w:rsidP="003B1234">
      <w:pPr>
        <w:ind w:firstLine="708"/>
      </w:pPr>
      <w:r>
        <w:t>V roce 2006 vydala Komise též Zelenou knihu o evropské iniciativě pro transparentnost</w:t>
      </w:r>
      <w:r w:rsidR="0033276A">
        <w:rPr>
          <w:rStyle w:val="Znakapoznpodarou"/>
        </w:rPr>
        <w:footnoteReference w:id="26"/>
      </w:r>
      <w:r>
        <w:t xml:space="preserve">. </w:t>
      </w:r>
      <w:r w:rsidR="00420D51">
        <w:t xml:space="preserve">V otázce účasti veřejnosti v ní byly stanoveny tři cíle. Prvním byl přezkum nařízení č. 1049/2001, druhým vytvoření prostředí pro funkční přístup k dokumentům on-line a třetím byl záměr na regulaci lobby zájmových skupin. </w:t>
      </w:r>
    </w:p>
    <w:p w:rsidR="00021258" w:rsidRDefault="00021258" w:rsidP="003B1234">
      <w:pPr>
        <w:ind w:firstLine="708"/>
      </w:pPr>
      <w:r>
        <w:t xml:space="preserve">Posun v účasti veřejnosti přinesla i Lisabonská smlouva, která vstoupila v platnost v roce 2009. </w:t>
      </w:r>
      <w:r w:rsidR="00C05939">
        <w:t>Mimo jiné byl</w:t>
      </w:r>
      <w:r w:rsidR="00A12ABE">
        <w:t xml:space="preserve"> pozměněn</w:t>
      </w:r>
      <w:r w:rsidR="00C05939">
        <w:t xml:space="preserve"> čl. 15 SFEU (bývalý čl. 255 SES) byl</w:t>
      </w:r>
      <w:r w:rsidR="00A12ABE">
        <w:t xml:space="preserve"> a</w:t>
      </w:r>
      <w:r w:rsidR="00C05939">
        <w:t xml:space="preserve"> ten</w:t>
      </w:r>
      <w:r w:rsidR="00A12ABE">
        <w:t xml:space="preserve"> nově dává povinnost orgánům Evropské unie jednat co nejtransparentněji</w:t>
      </w:r>
      <w:r w:rsidR="005F3A82">
        <w:t>, otevřeně a</w:t>
      </w:r>
      <w:r w:rsidR="00A12ABE">
        <w:t xml:space="preserve"> zajistit</w:t>
      </w:r>
      <w:r w:rsidR="005F3A82">
        <w:t xml:space="preserve"> co nejširší</w:t>
      </w:r>
      <w:r w:rsidR="00A12ABE">
        <w:t xml:space="preserve"> účast občanské společnosti</w:t>
      </w:r>
      <w:r w:rsidR="005F3A82">
        <w:t>.</w:t>
      </w:r>
      <w:r w:rsidR="004B4CE4">
        <w:t xml:space="preserve"> Druhou změnou bylo přijetí nového institutu evropské občanské iniciativy, která byla nově zakotvena v čl. 11 odst. 4 SEU a čl. 24. odst. 1 SFEU.</w:t>
      </w:r>
    </w:p>
    <w:p w:rsidR="00A53F52" w:rsidRDefault="00A53F52" w:rsidP="003B1234">
      <w:pPr>
        <w:ind w:firstLine="708"/>
      </w:pPr>
      <w:r>
        <w:t xml:space="preserve">V současné době je z hlediska účasti veřejnosti na rozhodování </w:t>
      </w:r>
      <w:r w:rsidR="0023211D">
        <w:t>aktuální otázka e-</w:t>
      </w:r>
      <w:r w:rsidR="00D15601">
        <w:t>G</w:t>
      </w:r>
      <w:r w:rsidR="0023211D">
        <w:t>ovenmentu. Komise přijala Evropský akční plán „e</w:t>
      </w:r>
      <w:r w:rsidR="00D15601">
        <w:t>-</w:t>
      </w:r>
      <w:r w:rsidR="0023211D">
        <w:t xml:space="preserve">Government“ na období 2011–2015 </w:t>
      </w:r>
      <w:r w:rsidR="0023211D">
        <w:rPr>
          <w:rStyle w:val="Znakapoznpodarou"/>
        </w:rPr>
        <w:footnoteReference w:id="27"/>
      </w:r>
      <w:r w:rsidR="0023211D">
        <w:t xml:space="preserve">, jehož cílem je mimo jiné aktivní i pasivní zpřístupňování informací a též vedení konzultací on-line.  </w:t>
      </w:r>
    </w:p>
    <w:p w:rsidR="00142277" w:rsidRDefault="00C1285A" w:rsidP="003B1234">
      <w:pPr>
        <w:ind w:firstLine="708"/>
      </w:pPr>
      <w:r>
        <w:lastRenderedPageBreak/>
        <w:t xml:space="preserve">Lze shrnout, že od roku 2000 dochází k rapidnímu rozvoji účasti veřejnosti na rozhodovacích procesech Evropské unie. Je to logickým následkem boje proti demokratickému deficitu a vzdálenosti </w:t>
      </w:r>
      <w:r w:rsidR="00C41DD8">
        <w:t xml:space="preserve">orgánů Evropské unie od občanů. Je otázkou nakolik se s masivním nástupem elektronizace tato propast překlene. </w:t>
      </w:r>
    </w:p>
    <w:p w:rsidR="006A2FE3" w:rsidRDefault="00782E5A" w:rsidP="003B1234">
      <w:pPr>
        <w:ind w:firstLine="708"/>
      </w:pPr>
      <w:r>
        <w:t xml:space="preserve"> </w:t>
      </w:r>
    </w:p>
    <w:p w:rsidR="00830CCD" w:rsidRPr="00CA4F9E" w:rsidRDefault="00830CCD" w:rsidP="003B1234">
      <w:pPr>
        <w:ind w:firstLine="708"/>
      </w:pPr>
    </w:p>
    <w:p w:rsidR="003F467B" w:rsidRDefault="00DF54F5" w:rsidP="00F57525">
      <w:pPr>
        <w:pStyle w:val="Nadpis1"/>
        <w:numPr>
          <w:ilvl w:val="0"/>
          <w:numId w:val="3"/>
        </w:numPr>
      </w:pPr>
      <w:r>
        <w:br w:type="page"/>
      </w:r>
      <w:bookmarkStart w:id="13" w:name="_Toc446336402"/>
      <w:r w:rsidRPr="00DF54F5">
        <w:lastRenderedPageBreak/>
        <w:t>Právo na informace o životním prostředí</w:t>
      </w:r>
      <w:bookmarkEnd w:id="13"/>
    </w:p>
    <w:p w:rsidR="009C03A0" w:rsidRDefault="009C03A0" w:rsidP="00F57525">
      <w:pPr>
        <w:pStyle w:val="Nadpis2"/>
        <w:numPr>
          <w:ilvl w:val="1"/>
          <w:numId w:val="3"/>
        </w:numPr>
      </w:pPr>
      <w:bookmarkStart w:id="14" w:name="_Toc446336403"/>
      <w:r>
        <w:t>Pasivní poskytování informací</w:t>
      </w:r>
      <w:bookmarkEnd w:id="14"/>
    </w:p>
    <w:p w:rsidR="00CE6A88" w:rsidRPr="00CE6A88" w:rsidRDefault="00CE6A88" w:rsidP="00F57525">
      <w:pPr>
        <w:pStyle w:val="Nadpis3"/>
        <w:numPr>
          <w:ilvl w:val="2"/>
          <w:numId w:val="3"/>
        </w:numPr>
        <w:ind w:left="0" w:firstLine="0"/>
      </w:pPr>
      <w:bookmarkStart w:id="15" w:name="_Toc446336404"/>
      <w:r>
        <w:t>Požadavky Aarhuské úmluvy</w:t>
      </w:r>
      <w:bookmarkEnd w:id="15"/>
    </w:p>
    <w:p w:rsidR="00076F37" w:rsidRDefault="00081BCF" w:rsidP="00AD0741">
      <w:pPr>
        <w:ind w:firstLine="708"/>
      </w:pPr>
      <w:r>
        <w:t xml:space="preserve">Právo na informace o životním prostředí </w:t>
      </w:r>
      <w:r w:rsidR="00202A33">
        <w:t xml:space="preserve">tvoří první pilíř </w:t>
      </w:r>
      <w:r>
        <w:t>Aarhusk</w:t>
      </w:r>
      <w:r w:rsidR="00202A33">
        <w:t>é úmluvy</w:t>
      </w:r>
      <w:r>
        <w:t xml:space="preserve"> (dále jen Úmluva)</w:t>
      </w:r>
      <w:r w:rsidR="00516746">
        <w:t xml:space="preserve">. </w:t>
      </w:r>
      <w:r w:rsidR="00076F37">
        <w:t xml:space="preserve">Přístup k informacím je základem, bez něhož by jakákoli účast veřejnosti nebyla fakticky možná. </w:t>
      </w:r>
      <w:r w:rsidR="00DC1B2D">
        <w:t>Bez práva získat informace by se veřejnost nemusela nikdy dozvědět o rozhodujících skutečnostech, na základě nichž by se</w:t>
      </w:r>
      <w:r w:rsidR="00714C3C">
        <w:t xml:space="preserve"> mohla rozhodnout</w:t>
      </w:r>
      <w:r w:rsidR="00DC1B2D">
        <w:t xml:space="preserve"> uplatňovat svoje práva, např. na účast v rozhodovacím procesu. </w:t>
      </w:r>
      <w:r w:rsidR="00076F37">
        <w:t xml:space="preserve">  </w:t>
      </w:r>
    </w:p>
    <w:p w:rsidR="006B374C" w:rsidRDefault="00714C3C" w:rsidP="00AD0741">
      <w:pPr>
        <w:ind w:firstLine="708"/>
      </w:pPr>
      <w:r>
        <w:t>Právo na informace</w:t>
      </w:r>
      <w:r w:rsidR="00516746">
        <w:t xml:space="preserve"> se sklá</w:t>
      </w:r>
      <w:r w:rsidR="00081BCF">
        <w:t xml:space="preserve">dá ze dvou propojených složek – povinnosti orgánů veřejné správy tyto informace shromažďovat a šířit (aktivní poskytování informací) a povinnosti orgánů veřejné správy tyto informace na žádost poskytovat (pasivní poskytování informací). </w:t>
      </w:r>
      <w:r w:rsidR="00344426">
        <w:t xml:space="preserve">Pasivní poskytování informací </w:t>
      </w:r>
      <w:r w:rsidR="00081BCF">
        <w:t>j</w:t>
      </w:r>
      <w:r w:rsidR="006B374C">
        <w:t>e zakotveno v čl. 4</w:t>
      </w:r>
      <w:r w:rsidR="00516746">
        <w:t xml:space="preserve"> Úmluvy</w:t>
      </w:r>
      <w:r w:rsidR="006B374C">
        <w:t>. Svojí povahou</w:t>
      </w:r>
      <w:r w:rsidR="00602FC6">
        <w:t>,</w:t>
      </w:r>
      <w:r w:rsidR="00C179F1">
        <w:t xml:space="preserve"> co se týče práv žadatelů o informace a povinností orgánů veřejné správy</w:t>
      </w:r>
      <w:r w:rsidR="00602FC6">
        <w:t>,</w:t>
      </w:r>
      <w:r w:rsidR="00C179F1">
        <w:t xml:space="preserve"> se jedná o</w:t>
      </w:r>
      <w:r w:rsidR="00516746">
        <w:t xml:space="preserve"> relativně</w:t>
      </w:r>
      <w:r w:rsidR="00602FC6">
        <w:t xml:space="preserve"> kogentní ustanovení.</w:t>
      </w:r>
      <w:r w:rsidR="00C179F1">
        <w:t xml:space="preserve"> </w:t>
      </w:r>
      <w:r w:rsidR="00602FC6">
        <w:t xml:space="preserve">Lze se od nich </w:t>
      </w:r>
      <w:r w:rsidR="00C179F1">
        <w:t>tudíž odchýlit</w:t>
      </w:r>
      <w:r w:rsidR="00602FC6">
        <w:t xml:space="preserve"> pouze ve smyslu rozšíření možnosti veřejnosti získat informace</w:t>
      </w:r>
      <w:r w:rsidR="00C179F1">
        <w:t>.</w:t>
      </w:r>
      <w:r w:rsidR="00C03B2A">
        <w:t xml:space="preserve"> </w:t>
      </w:r>
    </w:p>
    <w:p w:rsidR="00656D5C" w:rsidRDefault="00351809" w:rsidP="00780437">
      <w:pPr>
        <w:ind w:firstLine="708"/>
      </w:pPr>
      <w:r>
        <w:t>Základ</w:t>
      </w:r>
      <w:r w:rsidR="00202A33">
        <w:t>em</w:t>
      </w:r>
      <w:r>
        <w:t xml:space="preserve"> je právo požadovat po orgánu</w:t>
      </w:r>
      <w:r w:rsidR="00344426">
        <w:t xml:space="preserve"> veřejné správy</w:t>
      </w:r>
      <w:r w:rsidR="006B374C">
        <w:t>, a též soukromé</w:t>
      </w:r>
      <w:r w:rsidR="00CE6A88">
        <w:t xml:space="preserve"> os</w:t>
      </w:r>
      <w:r>
        <w:t>obě pokud vykonává</w:t>
      </w:r>
      <w:r w:rsidR="006B374C">
        <w:t xml:space="preserve"> přenesenou působnost veřejné správy,</w:t>
      </w:r>
      <w:r w:rsidR="00344426">
        <w:t xml:space="preserve"> </w:t>
      </w:r>
      <w:r>
        <w:t>poskytnutí infor</w:t>
      </w:r>
      <w:r w:rsidR="00202A33">
        <w:t>mace o životním prostředí. T</w:t>
      </w:r>
      <w:r>
        <w:t xml:space="preserve">yto orgány a osoby </w:t>
      </w:r>
      <w:r w:rsidR="00344426">
        <w:t>mají povinnost</w:t>
      </w:r>
      <w:r w:rsidR="00AB3955">
        <w:t xml:space="preserve"> v souladu s vnitrostátním právem</w:t>
      </w:r>
      <w:r w:rsidR="00344426">
        <w:t xml:space="preserve"> </w:t>
      </w:r>
      <w:r>
        <w:t>tyto</w:t>
      </w:r>
      <w:r w:rsidR="00AB3955">
        <w:t xml:space="preserve"> </w:t>
      </w:r>
      <w:r w:rsidR="006B374C">
        <w:t xml:space="preserve">informace, </w:t>
      </w:r>
      <w:r w:rsidR="00AB3955">
        <w:t>případně jejich kopie</w:t>
      </w:r>
      <w:r>
        <w:t xml:space="preserve"> poskytnout</w:t>
      </w:r>
      <w:r w:rsidR="00AB3955">
        <w:t xml:space="preserve">. </w:t>
      </w:r>
      <w:r w:rsidR="00780437">
        <w:t>St</w:t>
      </w:r>
      <w:r w:rsidR="00202A33">
        <w:t>rany</w:t>
      </w:r>
      <w:r w:rsidR="00780437">
        <w:t xml:space="preserve"> mají povinnost stanov</w:t>
      </w:r>
      <w:r w:rsidR="004D4925">
        <w:t>it právní rámec a procesy, za</w:t>
      </w:r>
      <w:r w:rsidR="00780437">
        <w:t xml:space="preserve"> kterých budou požadované informace poskytnuty</w:t>
      </w:r>
      <w:r w:rsidR="00623F0B">
        <w:t>,</w:t>
      </w:r>
      <w:r w:rsidR="004D4925">
        <w:t xml:space="preserve"> případně bude žádost o jejich poskytnutí zamítnuta</w:t>
      </w:r>
      <w:r w:rsidR="00780437">
        <w:t xml:space="preserve">. </w:t>
      </w:r>
      <w:r w:rsidR="00D46BAD">
        <w:t xml:space="preserve">Samotné poskytování informací je vázáno na několik podmínek. </w:t>
      </w:r>
    </w:p>
    <w:p w:rsidR="00D46BAD" w:rsidRDefault="00D46BAD" w:rsidP="00AD0741">
      <w:pPr>
        <w:ind w:firstLine="708"/>
      </w:pPr>
      <w:r w:rsidRPr="00780437">
        <w:rPr>
          <w:b/>
        </w:rPr>
        <w:t>Není třeba prokazovat zájem</w:t>
      </w:r>
      <w:r>
        <w:t xml:space="preserve"> za jakým je informace požadována. </w:t>
      </w:r>
      <w:r w:rsidR="006B374C">
        <w:t>Stejně tak nemá žadatel povinnost uvádět</w:t>
      </w:r>
      <w:r w:rsidR="007911B8">
        <w:t>, jak hodl</w:t>
      </w:r>
      <w:r w:rsidR="006B374C">
        <w:t>á s poskytnutou informací naložit</w:t>
      </w:r>
      <w:r w:rsidR="007911B8">
        <w:t xml:space="preserve"> a toto nesmí být od něj ze strany orgánů veřejné správy vyžadováno.</w:t>
      </w:r>
    </w:p>
    <w:p w:rsidR="007911B8" w:rsidRDefault="007911B8" w:rsidP="00AD0741">
      <w:pPr>
        <w:ind w:firstLine="708"/>
      </w:pPr>
      <w:r w:rsidRPr="007911B8">
        <w:rPr>
          <w:b/>
        </w:rPr>
        <w:t>Informace bude podána v požadované formě</w:t>
      </w:r>
      <w:r>
        <w:t>. Toto ustanovení je naplněním principu transparentnosti zakotveném v čl.</w:t>
      </w:r>
      <w:r w:rsidR="00D7314A">
        <w:t xml:space="preserve"> 3 odst. 1 Úmluvy. Bez tohoto ustanovení by bylo jednoduše možné bránit přístupu k informacím jejich zpřístupněním ve formách, které by byly pro žadatele prakticky nepo</w:t>
      </w:r>
      <w:r w:rsidR="00C671C9">
        <w:t>užitelné (např</w:t>
      </w:r>
      <w:r w:rsidR="00D7314A">
        <w:t xml:space="preserve">. nestandardní </w:t>
      </w:r>
      <w:r w:rsidR="00C671C9">
        <w:t>formáty dat), nebo byly neúnosně nák</w:t>
      </w:r>
      <w:r w:rsidR="006526E6">
        <w:t>ladné. Typický příkladem porušení tohoto ustanovení</w:t>
      </w:r>
      <w:r w:rsidR="00C671C9">
        <w:t xml:space="preserve"> </w:t>
      </w:r>
      <w:r w:rsidR="006526E6">
        <w:t xml:space="preserve">je případ ACCC/C/2008/24 (Spain), kdy žadatel žádal zpřístupnění informací formou dat uložených na datovém nosiči (za cenu 13 </w:t>
      </w:r>
      <w:r w:rsidR="006526E6">
        <w:lastRenderedPageBreak/>
        <w:t>EUR) a orgán veřejné správy místo toho poskytl informaci v papírové formě o rozsahu 600 stran za cenu 2,05 EUR za list (1230 EUR celkem)</w:t>
      </w:r>
      <w:r w:rsidR="006526E6">
        <w:rPr>
          <w:rStyle w:val="Znakapoznpodarou"/>
        </w:rPr>
        <w:footnoteReference w:id="28"/>
      </w:r>
    </w:p>
    <w:p w:rsidR="005D42A8" w:rsidRDefault="005D42A8" w:rsidP="00AD0741">
      <w:pPr>
        <w:ind w:firstLine="708"/>
      </w:pPr>
      <w:r>
        <w:t xml:space="preserve">Z poskytnutí informací v požadované formě existují dvě výjimky. První se týká případu, kdy z hlediska orgánu veřejné správy </w:t>
      </w:r>
      <w:r w:rsidR="008A423A">
        <w:t>není rozumné informaci poskytnout</w:t>
      </w:r>
      <w:r>
        <w:t xml:space="preserve"> v požadované formě. Toto rozhodnutí musí však orgán veřejné správy náležitě odůvodnit – rozhodnutí musí být „</w:t>
      </w:r>
      <w:r w:rsidRPr="00BE4418">
        <w:rPr>
          <w:i/>
        </w:rPr>
        <w:t>reasonable</w:t>
      </w:r>
      <w:r>
        <w:t xml:space="preserve">“. Druhý případ se týká situace, </w:t>
      </w:r>
      <w:r w:rsidR="00485395">
        <w:t>kdy je daná informace již veřejně přístupná v jiné formě. Zde je třeba vždy brát v úvahu formu v jaké je dostupná a celkovou reálnou dostupnost pro žadatele. Pokud by žadatel musel vynaložit zvýšené úsilí spojené s</w:t>
      </w:r>
      <w:r w:rsidR="00097610">
        <w:t xml:space="preserve"> dodatečnými</w:t>
      </w:r>
      <w:r w:rsidR="00485395">
        <w:t> náklady</w:t>
      </w:r>
      <w:r w:rsidR="006734DE">
        <w:t>,</w:t>
      </w:r>
      <w:r w:rsidR="00097610">
        <w:rPr>
          <w:rStyle w:val="Znakapoznpodarou"/>
        </w:rPr>
        <w:footnoteReference w:id="29"/>
      </w:r>
      <w:r w:rsidR="006734DE">
        <w:t xml:space="preserve"> aby se k požadované informaci dostal,</w:t>
      </w:r>
      <w:r w:rsidR="00555F3A">
        <w:t xml:space="preserve"> nešlo by tato výjimka použít. Obě tyto výjimky je nutno vykládat restriktivně.</w:t>
      </w:r>
    </w:p>
    <w:p w:rsidR="00F67A5F" w:rsidRDefault="00F67A5F" w:rsidP="00045A0E">
      <w:pPr>
        <w:ind w:firstLine="708"/>
      </w:pPr>
      <w:r w:rsidRPr="005E54D5">
        <w:rPr>
          <w:b/>
        </w:rPr>
        <w:t>Požadovaná informace musí být poskytnuta co nejrychleji</w:t>
      </w:r>
      <w:r>
        <w:t>, ne</w:t>
      </w:r>
      <w:r w:rsidR="005E54D5">
        <w:t>jpozději však do jedno</w:t>
      </w:r>
      <w:r w:rsidR="00DF7395">
        <w:t>ho</w:t>
      </w:r>
      <w:r w:rsidR="005E54D5">
        <w:t xml:space="preserve"> měsíce od žádosti. V odůvodněných případech</w:t>
      </w:r>
      <w:r w:rsidR="001A410B">
        <w:t>, zejména v případě složitosti a rozsáhlosti požadované informace</w:t>
      </w:r>
      <w:r w:rsidR="005E54D5">
        <w:t xml:space="preserve"> může být tato lhůta prodloužena až na dva měsíce.</w:t>
      </w:r>
      <w:r w:rsidR="00634D46">
        <w:t xml:space="preserve"> O prodlouže</w:t>
      </w:r>
      <w:r w:rsidR="00D12938">
        <w:t>ní musí být žadatel informován do uplynutí jednoho měsíce od podání ž</w:t>
      </w:r>
      <w:r w:rsidR="00DD0D10">
        <w:t>ádosti</w:t>
      </w:r>
      <w:r w:rsidR="00045A0E">
        <w:t>.</w:t>
      </w:r>
      <w:r w:rsidR="00DD0D10">
        <w:t xml:space="preserve"> Stejné podmínky platí pak i pro odmítnutí žádosti.</w:t>
      </w:r>
      <w:r w:rsidR="00B049ED">
        <w:t xml:space="preserve"> K tomu</w:t>
      </w:r>
      <w:r w:rsidR="00045A0E">
        <w:t xml:space="preserve"> se váže případ ACCC/C/2009/36 (Spain)</w:t>
      </w:r>
      <w:r w:rsidR="008978E4">
        <w:t xml:space="preserve">. </w:t>
      </w:r>
      <w:r w:rsidR="00EE79B0">
        <w:t>Výbor pro dodržování Aarhuské úmluvy potvrdil</w:t>
      </w:r>
      <w:r w:rsidR="008978E4">
        <w:t xml:space="preserve">, že </w:t>
      </w:r>
      <w:r w:rsidR="00E77D24">
        <w:t>na každou žádost</w:t>
      </w:r>
      <w:r w:rsidR="008978E4">
        <w:t xml:space="preserve"> o informaci se musí individuálně odpovědět. </w:t>
      </w:r>
      <w:r w:rsidR="00045A0E">
        <w:t xml:space="preserve"> </w:t>
      </w:r>
    </w:p>
    <w:p w:rsidR="008C35C2" w:rsidRDefault="00B81CF0" w:rsidP="00B81CF0">
      <w:r>
        <w:tab/>
      </w:r>
      <w:r w:rsidRPr="00860A13">
        <w:rPr>
          <w:b/>
        </w:rPr>
        <w:t>Žádost o informace o životním prostředí může být odmítnuta</w:t>
      </w:r>
      <w:r w:rsidR="00B049ED">
        <w:t xml:space="preserve"> z několika </w:t>
      </w:r>
      <w:r>
        <w:t>důvodů</w:t>
      </w:r>
      <w:r w:rsidR="00402EC8">
        <w:t>.</w:t>
      </w:r>
      <w:r w:rsidR="004622BB">
        <w:t xml:space="preserve"> </w:t>
      </w:r>
      <w:r w:rsidR="00402EC8">
        <w:t>Tyto důvody lze rozčlenit</w:t>
      </w:r>
      <w:r w:rsidR="004622BB">
        <w:t xml:space="preserve"> na dvě</w:t>
      </w:r>
      <w:r w:rsidR="00F82C4B">
        <w:t xml:space="preserve"> skupiny</w:t>
      </w:r>
      <w:r>
        <w:t>.</w:t>
      </w:r>
      <w:r w:rsidR="00995A7B">
        <w:t xml:space="preserve"> První sku</w:t>
      </w:r>
      <w:r w:rsidR="00A30979">
        <w:t>pina se zabývá třemi obecnými</w:t>
      </w:r>
      <w:r w:rsidR="00995A7B">
        <w:t xml:space="preserve"> důvody, pro které lze odmítnou ž</w:t>
      </w:r>
      <w:r w:rsidR="00A30979">
        <w:t>ádost.</w:t>
      </w:r>
      <w:r>
        <w:t xml:space="preserve"> Zde je důležité zdůraznit, že Úmluva dává možnost, nikoli povinnost žádost z následujících důvodů odmítnout. </w:t>
      </w:r>
    </w:p>
    <w:p w:rsidR="00F87461" w:rsidRDefault="00860A13" w:rsidP="008C35C2">
      <w:pPr>
        <w:ind w:firstLine="708"/>
      </w:pPr>
      <w:r>
        <w:t xml:space="preserve">Prvním důvodem je okolnost, že </w:t>
      </w:r>
      <w:r w:rsidRPr="00A30979">
        <w:rPr>
          <w:b/>
        </w:rPr>
        <w:t>orgán veřejné správy danou informaci nemá</w:t>
      </w:r>
      <w:r>
        <w:t xml:space="preserve">. </w:t>
      </w:r>
      <w:r w:rsidR="00227A58">
        <w:t xml:space="preserve">Při posuzování držení konkrétní informace se posuzuje, jestli danou informaci tzv. „účinně má k dispozici – </w:t>
      </w:r>
      <w:r w:rsidR="009E4709" w:rsidRPr="00B049ED">
        <w:rPr>
          <w:i/>
        </w:rPr>
        <w:t>public autohority effectively ho</w:t>
      </w:r>
      <w:r w:rsidR="00227A58" w:rsidRPr="00B049ED">
        <w:rPr>
          <w:i/>
        </w:rPr>
        <w:t>ld the information</w:t>
      </w:r>
      <w:r w:rsidR="00227A58">
        <w:t>“. Orgán veřejné správy nemusí mít informaci přímo, ale může některé informace snadno získávat od třetích subjektů např. v rámci informačních toků.</w:t>
      </w:r>
      <w:r w:rsidR="00227A58">
        <w:rPr>
          <w:rStyle w:val="Znakapoznpodarou"/>
        </w:rPr>
        <w:footnoteReference w:id="30"/>
      </w:r>
      <w:r w:rsidR="002B1901" w:rsidRPr="002B1901">
        <w:t xml:space="preserve"> </w:t>
      </w:r>
      <w:r w:rsidR="002B1901">
        <w:t xml:space="preserve">Je třeba také zkoumat, jestli daný orgán veřejné správy nemá </w:t>
      </w:r>
      <w:r w:rsidR="002B1901">
        <w:lastRenderedPageBreak/>
        <w:t>povinnost tuto informaci mít k dispozici.</w:t>
      </w:r>
      <w:r w:rsidR="002B1901">
        <w:rPr>
          <w:rStyle w:val="Znakapoznpodarou"/>
        </w:rPr>
        <w:footnoteReference w:id="31"/>
      </w:r>
      <w:r w:rsidR="002B1901">
        <w:t xml:space="preserve"> </w:t>
      </w:r>
      <w:r w:rsidR="00227A58">
        <w:t>V tomto případě má orgán veřejné správy povinnost tuto in</w:t>
      </w:r>
      <w:r w:rsidR="002B1901">
        <w:t>formaci obstarat a poskytnout. Pokud danou informaci nemá, ale má za to, že jiný orgán veřejné správy touto informací disponuje, má povinnost toto sdělit žadateli, případně žádost tomuto orgánu postoupit a uvědomit o tom žadatele</w:t>
      </w:r>
      <w:r w:rsidR="002B1901">
        <w:rPr>
          <w:rStyle w:val="Znakapoznpodarou"/>
        </w:rPr>
        <w:footnoteReference w:id="32"/>
      </w:r>
      <w:r w:rsidR="002B1901">
        <w:t xml:space="preserve">. </w:t>
      </w:r>
    </w:p>
    <w:p w:rsidR="00641D5E" w:rsidRDefault="00F87461" w:rsidP="008C35C2">
      <w:pPr>
        <w:ind w:firstLine="708"/>
      </w:pPr>
      <w:r>
        <w:t>Druhým důvodem</w:t>
      </w:r>
      <w:r w:rsidR="007B56D7">
        <w:t xml:space="preserve"> pro odmítnutí</w:t>
      </w:r>
      <w:r>
        <w:t xml:space="preserve"> je, že </w:t>
      </w:r>
      <w:r w:rsidRPr="00E2440D">
        <w:rPr>
          <w:b/>
        </w:rPr>
        <w:t>žádost je zjevně nedůvodná nebo je formulována příliš široce</w:t>
      </w:r>
      <w:r>
        <w:t xml:space="preserve">. </w:t>
      </w:r>
      <w:r w:rsidR="009D0E7C">
        <w:t>Ne všechny s</w:t>
      </w:r>
      <w:r w:rsidR="00B049ED">
        <w:t>trany</w:t>
      </w:r>
      <w:r w:rsidR="009D0E7C">
        <w:t xml:space="preserve"> nicméně tento důvod zamítnutí žádosti uznávají. Pokud se ho rozhodnou uznávat je třeba vždy správně vyložit pojem „zjevné nedůvodnosti“ a „příliš široké </w:t>
      </w:r>
      <w:r w:rsidR="00E2440D">
        <w:t xml:space="preserve">formulování“. </w:t>
      </w:r>
      <w:r w:rsidR="00060720">
        <w:t>S</w:t>
      </w:r>
      <w:r w:rsidR="000410D7">
        <w:t xml:space="preserve">amotné množství požadovaných informací </w:t>
      </w:r>
      <w:r w:rsidR="00060720">
        <w:t xml:space="preserve">však </w:t>
      </w:r>
      <w:r w:rsidR="000410D7">
        <w:t>není důvodem odmítnutí žádosti, pokud žádané informace jsou konkrétně specifikované.</w:t>
      </w:r>
      <w:r w:rsidR="00595E70">
        <w:rPr>
          <w:rStyle w:val="Znakapoznpodarou"/>
        </w:rPr>
        <w:footnoteReference w:id="33"/>
      </w:r>
    </w:p>
    <w:p w:rsidR="00BB173E" w:rsidRDefault="00060720" w:rsidP="008C35C2">
      <w:pPr>
        <w:ind w:firstLine="708"/>
      </w:pPr>
      <w:r>
        <w:t>Třetí důvod</w:t>
      </w:r>
      <w:r w:rsidR="00641D5E">
        <w:t xml:space="preserve"> je, že žádan</w:t>
      </w:r>
      <w:r>
        <w:t>á</w:t>
      </w:r>
      <w:r w:rsidR="00641D5E">
        <w:t xml:space="preserve"> </w:t>
      </w:r>
      <w:r w:rsidR="00641D5E" w:rsidRPr="003366F4">
        <w:rPr>
          <w:b/>
        </w:rPr>
        <w:t>informace se týká nedokončených materiálů nebo interních sdělení veřejné správy</w:t>
      </w:r>
      <w:r w:rsidR="00641D5E">
        <w:t xml:space="preserve">. </w:t>
      </w:r>
      <w:r>
        <w:t>P</w:t>
      </w:r>
      <w:r w:rsidR="0029038E">
        <w:t>řed samotným zamítnutím</w:t>
      </w:r>
      <w:r>
        <w:t xml:space="preserve"> se však musí vždy zvážit</w:t>
      </w:r>
      <w:r w:rsidR="0029038E">
        <w:t>,</w:t>
      </w:r>
      <w:r w:rsidR="00977865">
        <w:t xml:space="preserve"> veřejn</w:t>
      </w:r>
      <w:r w:rsidR="0029038E">
        <w:t xml:space="preserve">ý zájem na zveřejnění informace. </w:t>
      </w:r>
      <w:r w:rsidR="004D4925">
        <w:t xml:space="preserve">Pokud jsou požadované informace </w:t>
      </w:r>
      <w:r w:rsidR="00E23883">
        <w:t>důvěrného rázu</w:t>
      </w:r>
      <w:r w:rsidR="004D4925">
        <w:t>,</w:t>
      </w:r>
      <w:r w:rsidR="009A1B0E">
        <w:t xml:space="preserve"> je třeba zkoumat, jestli nel</w:t>
      </w:r>
      <w:r w:rsidR="00E23883">
        <w:t>ze důvěrné informace vyjm</w:t>
      </w:r>
      <w:r w:rsidR="00F93DB9">
        <w:t>o</w:t>
      </w:r>
      <w:r w:rsidR="00E23883">
        <w:t>ut a zveřejnit</w:t>
      </w:r>
      <w:r w:rsidR="002D3290">
        <w:t xml:space="preserve"> pouze</w:t>
      </w:r>
      <w:r w:rsidR="00E23883">
        <w:t xml:space="preserve"> zbývající část požadovaných informací. </w:t>
      </w:r>
      <w:r w:rsidR="0010382E">
        <w:t>K vyjasnění pojmu nedokončený materiál s</w:t>
      </w:r>
      <w:r w:rsidR="00DC5475">
        <w:t>e vztahuje případ ACCC/C/2010/52 a 53</w:t>
      </w:r>
      <w:r w:rsidR="0010382E">
        <w:t xml:space="preserve"> (United Kingdom)</w:t>
      </w:r>
      <w:r>
        <w:rPr>
          <w:rStyle w:val="Znakapoznpodarou"/>
        </w:rPr>
        <w:footnoteReference w:id="34"/>
      </w:r>
      <w:r w:rsidR="0010382E">
        <w:t>, kde bylo řečeno, že data získaná měřením ještě před jejich zprac</w:t>
      </w:r>
      <w:r w:rsidR="0099110A">
        <w:t>ováním jsou sama</w:t>
      </w:r>
      <w:r w:rsidR="0010382E">
        <w:t xml:space="preserve"> o sobě</w:t>
      </w:r>
      <w:r w:rsidR="0099110A">
        <w:t xml:space="preserve"> informací o životním prostředí a tudíž nelze jejich zveřejnění odmítnout na základě důvodu, že nejsou zpracovaná.</w:t>
      </w:r>
      <w:r w:rsidR="004E375E">
        <w:t xml:space="preserve"> </w:t>
      </w:r>
      <w:r w:rsidR="0010382E">
        <w:t xml:space="preserve"> </w:t>
      </w:r>
    </w:p>
    <w:p w:rsidR="00096488" w:rsidRDefault="00BB173E" w:rsidP="008C35C2">
      <w:pPr>
        <w:ind w:firstLine="708"/>
      </w:pPr>
      <w:r w:rsidRPr="00E645AB">
        <w:rPr>
          <w:b/>
        </w:rPr>
        <w:t>Druhá skupina důvodů</w:t>
      </w:r>
      <w:r>
        <w:t xml:space="preserve"> pro odmítnutí žádosti o informaci o </w:t>
      </w:r>
      <w:r w:rsidR="00242CCF">
        <w:t>životním prostředí se týká</w:t>
      </w:r>
      <w:r w:rsidR="001D6621">
        <w:t xml:space="preserve"> konkrétní</w:t>
      </w:r>
      <w:r w:rsidR="00242CCF">
        <w:t>ch</w:t>
      </w:r>
      <w:r w:rsidR="001D6621">
        <w:t xml:space="preserve"> </w:t>
      </w:r>
      <w:r w:rsidR="00242CCF">
        <w:t>situací a práv, které by mohly být poskytnutím informace nepříznivě ovlivněny.</w:t>
      </w:r>
      <w:r w:rsidR="001D6621">
        <w:t xml:space="preserve"> </w:t>
      </w:r>
      <w:r w:rsidR="00242CCF">
        <w:t>Jednotlivé důvody jsou uvedeny v čl. 4 Úmluvy.</w:t>
      </w:r>
      <w:r w:rsidR="00E645AB">
        <w:t xml:space="preserve"> Z důvodu jejich rozsahu odkážu na znění Úmluvy s tím, že se budu následující podkapitole zabývat pouze těmi, které unijní právo uznává. </w:t>
      </w:r>
    </w:p>
    <w:p w:rsidR="00623F0B" w:rsidRDefault="00623F0B" w:rsidP="00F57525">
      <w:pPr>
        <w:pStyle w:val="Nadpis3"/>
        <w:numPr>
          <w:ilvl w:val="2"/>
          <w:numId w:val="3"/>
        </w:numPr>
        <w:ind w:left="0" w:firstLine="0"/>
      </w:pPr>
      <w:bookmarkStart w:id="16" w:name="_Toc446336405"/>
      <w:r>
        <w:t>Unijní</w:t>
      </w:r>
      <w:r w:rsidR="00746591">
        <w:t xml:space="preserve"> právní</w:t>
      </w:r>
      <w:r>
        <w:t xml:space="preserve"> úprava</w:t>
      </w:r>
      <w:bookmarkEnd w:id="16"/>
    </w:p>
    <w:p w:rsidR="00596FA4" w:rsidRDefault="00527084" w:rsidP="00C170BB">
      <w:pPr>
        <w:pStyle w:val="Odstavecseseznamem"/>
        <w:ind w:left="0" w:firstLine="708"/>
      </w:pPr>
      <w:r>
        <w:t xml:space="preserve"> </w:t>
      </w:r>
    </w:p>
    <w:p w:rsidR="00C20408" w:rsidRDefault="004C7D5D" w:rsidP="00C170BB">
      <w:pPr>
        <w:pStyle w:val="Odstavecseseznamem"/>
        <w:ind w:left="0" w:firstLine="708"/>
      </w:pPr>
      <w:r>
        <w:t>Právo na poskytnutí informací je jedním ze základních práv zaručených Listinou základních práv Evropské unie (dále jen Listina). Čl. 42 Listiny zaručuje</w:t>
      </w:r>
      <w:r w:rsidR="004A4809">
        <w:t>,</w:t>
      </w:r>
      <w:r w:rsidR="00C170BB">
        <w:t xml:space="preserve"> že „</w:t>
      </w:r>
      <w:r w:rsidR="00C170BB" w:rsidRPr="00C170BB">
        <w:rPr>
          <w:i/>
        </w:rPr>
        <w:t xml:space="preserve">každý občan </w:t>
      </w:r>
      <w:r w:rsidR="00C170BB" w:rsidRPr="00C170BB">
        <w:rPr>
          <w:i/>
        </w:rPr>
        <w:lastRenderedPageBreak/>
        <w:t>nebo občanka Unie či kterákoliv fyzická anebo právnická osoba bydlící či statutárně sídlící v některém z členských států má právo na přístup k dokumentům Evropského parlamentu, Rady a Komise EU</w:t>
      </w:r>
      <w:r w:rsidR="00C170BB">
        <w:t>“</w:t>
      </w:r>
      <w:r w:rsidR="00896B03">
        <w:t>. Toto právo je</w:t>
      </w:r>
      <w:r w:rsidR="00C170BB">
        <w:t xml:space="preserve"> více rozvedeno v čl. 15 S</w:t>
      </w:r>
      <w:r w:rsidR="00FF0A7F">
        <w:t>FEU</w:t>
      </w:r>
      <w:r w:rsidR="00896B03">
        <w:t>.</w:t>
      </w:r>
      <w:r w:rsidR="005132B7">
        <w:t xml:space="preserve"> Jako základní</w:t>
      </w:r>
      <w:r w:rsidR="00896B03">
        <w:t xml:space="preserve"> </w:t>
      </w:r>
      <w:r w:rsidR="005132B7">
        <w:t>j</w:t>
      </w:r>
      <w:r w:rsidR="0061082B">
        <w:t>sou zde zdůrazněny</w:t>
      </w:r>
      <w:r w:rsidR="00896B03">
        <w:t xml:space="preserve"> principy otevřenost</w:t>
      </w:r>
      <w:r w:rsidR="005132B7">
        <w:t>i</w:t>
      </w:r>
      <w:r w:rsidR="00896B03">
        <w:t>, transparentnost</w:t>
      </w:r>
      <w:r w:rsidR="005132B7">
        <w:t>i</w:t>
      </w:r>
      <w:r w:rsidR="00896B03">
        <w:t xml:space="preserve"> a přístup</w:t>
      </w:r>
      <w:r w:rsidR="005132B7">
        <w:t>u</w:t>
      </w:r>
      <w:r w:rsidR="00896B03">
        <w:t xml:space="preserve"> k</w:t>
      </w:r>
      <w:r w:rsidR="005132B7">
        <w:t> </w:t>
      </w:r>
      <w:r w:rsidR="00896B03">
        <w:t xml:space="preserve">dokumentům. Zároveň </w:t>
      </w:r>
      <w:r w:rsidR="005132B7">
        <w:t>jsou obecně zmíněny</w:t>
      </w:r>
      <w:r w:rsidR="00896B03">
        <w:t xml:space="preserve"> důvody omezení, tohoto práva</w:t>
      </w:r>
      <w:r w:rsidR="005132B7">
        <w:t>.</w:t>
      </w:r>
      <w:r w:rsidR="00896B03">
        <w:t xml:space="preserve"> </w:t>
      </w:r>
      <w:r w:rsidR="005132B7">
        <w:t>Čl. 15</w:t>
      </w:r>
      <w:r w:rsidR="00FF0A7F">
        <w:t xml:space="preserve"> předjímá</w:t>
      </w:r>
      <w:r w:rsidR="0061082B">
        <w:t xml:space="preserve"> přijetí sekundárního právního aktu</w:t>
      </w:r>
      <w:r w:rsidR="005132B7">
        <w:t xml:space="preserve"> – nařízení,</w:t>
      </w:r>
      <w:r w:rsidR="00C20408">
        <w:t xml:space="preserve"> který konkretizuje provádění tohoto práva</w:t>
      </w:r>
      <w:r w:rsidR="005132B7">
        <w:t xml:space="preserve">. </w:t>
      </w:r>
    </w:p>
    <w:p w:rsidR="009D401E" w:rsidRDefault="00C20408" w:rsidP="00C20408">
      <w:pPr>
        <w:pStyle w:val="Odstavecseseznamem"/>
        <w:ind w:left="0" w:firstLine="708"/>
      </w:pPr>
      <w:r>
        <w:t xml:space="preserve">Pramenem sekundárního práva </w:t>
      </w:r>
      <w:r w:rsidR="00623F0B">
        <w:t>pasivního poskytování</w:t>
      </w:r>
      <w:r w:rsidR="00623F0B" w:rsidRPr="005873F0">
        <w:t xml:space="preserve"> informací o životním prostředí je zejména na nařízení Evropského parlamentu a Rady (ES) č. 1049/2001 o přístupu veřejnosti k dokumentům Evropského parlamentu, Rady a Komise</w:t>
      </w:r>
      <w:r w:rsidR="003742B6">
        <w:rPr>
          <w:rStyle w:val="Znakapoznpodarou"/>
        </w:rPr>
        <w:footnoteReference w:id="35"/>
      </w:r>
      <w:r w:rsidR="00623F0B">
        <w:t xml:space="preserve">. </w:t>
      </w:r>
      <w:r w:rsidR="00D07989">
        <w:t xml:space="preserve">Implementační </w:t>
      </w:r>
      <w:r w:rsidR="0018379F">
        <w:t>nařízení Aarhuské úmluvy, nařízení č. 1367/2006, v rámci p</w:t>
      </w:r>
      <w:r w:rsidR="009D401E">
        <w:t xml:space="preserve">asivního poskytování informací </w:t>
      </w:r>
      <w:r w:rsidR="0049136F">
        <w:t xml:space="preserve">ve svém čl. 3 </w:t>
      </w:r>
      <w:r w:rsidR="0018379F">
        <w:t xml:space="preserve">odkazuje na </w:t>
      </w:r>
      <w:r w:rsidR="00A23058">
        <w:t>úpravu obsaženou v</w:t>
      </w:r>
      <w:r w:rsidR="005A77BD">
        <w:t> </w:t>
      </w:r>
      <w:r w:rsidR="0018379F">
        <w:t>nařízení</w:t>
      </w:r>
      <w:r w:rsidR="005A77BD">
        <w:t xml:space="preserve"> č.</w:t>
      </w:r>
      <w:r w:rsidR="0018379F">
        <w:t xml:space="preserve"> 1049/2001</w:t>
      </w:r>
      <w:r w:rsidR="00A23058">
        <w:t>. Důvodem pro toto řešení je skutečnost, že například na rozdíl od čes</w:t>
      </w:r>
      <w:r w:rsidR="0049136F">
        <w:t>ké právní úpravy, se úprava obsažená v nařízení č. 1049/2001 vztahuje na všechny druhy informací</w:t>
      </w:r>
      <w:r w:rsidR="00137EA2">
        <w:t>, které mají dané orgány k dispozici</w:t>
      </w:r>
      <w:r w:rsidR="0049136F">
        <w:t>.</w:t>
      </w:r>
      <w:r w:rsidR="00516BAC">
        <w:t xml:space="preserve"> </w:t>
      </w:r>
      <w:r w:rsidR="00137EA2">
        <w:t xml:space="preserve">V případě žádosti o informace o životním prostředí u orgánů, které nejsou pokryty nařízením č. 1049/2001 se použije nařízení č. 1367/2006 jak </w:t>
      </w:r>
      <w:r w:rsidR="002205AC">
        <w:t>ukazuje</w:t>
      </w:r>
      <w:r w:rsidR="00137EA2">
        <w:t xml:space="preserve"> následující tabulka</w:t>
      </w:r>
      <w:r w:rsidR="00137EA2">
        <w:rPr>
          <w:rStyle w:val="Znakapoznpodarou"/>
        </w:rPr>
        <w:footnoteReference w:id="36"/>
      </w:r>
      <w:r w:rsidR="002205AC">
        <w:t>.</w:t>
      </w:r>
      <w:r w:rsidR="00202BEC">
        <w:t xml:space="preserve"> Jinak řečeno, pro získání informací o životním prostředí se </w:t>
      </w:r>
      <w:r w:rsidR="00EB0AC2">
        <w:t xml:space="preserve">použije nařízení č. 1367/2006, které odkazuje na </w:t>
      </w:r>
      <w:r w:rsidR="00B6398E">
        <w:t xml:space="preserve">procesní </w:t>
      </w:r>
      <w:r w:rsidR="00EB0AC2">
        <w:t>úpravu v nařízení č. 1049/2001</w:t>
      </w:r>
      <w:r w:rsidR="00D35A61">
        <w:t>,</w:t>
      </w:r>
      <w:r w:rsidR="00EB0AC2">
        <w:t xml:space="preserve"> ale rozšiřuje jeho působnost</w:t>
      </w:r>
      <w:r w:rsidR="00981D69">
        <w:t>,</w:t>
      </w:r>
      <w:r w:rsidR="00EB0AC2">
        <w:t xml:space="preserve"> co se týče informací o životním prostředí na všechny orgány a subjekty Evropské unie. </w:t>
      </w:r>
    </w:p>
    <w:p w:rsidR="008268A4" w:rsidRDefault="008268A4" w:rsidP="00C20408">
      <w:pPr>
        <w:pStyle w:val="Odstavecseseznamem"/>
        <w:ind w:left="0" w:firstLine="708"/>
      </w:pPr>
    </w:p>
    <w:p w:rsidR="008268A4" w:rsidRDefault="000D18AA" w:rsidP="00C20408">
      <w:pPr>
        <w:pStyle w:val="Odstavecseseznamem"/>
        <w:ind w:left="0" w:firstLine="708"/>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4.95pt;margin-top:-27.4pt;width:442.5pt;height:308.5pt;z-index:251664384">
            <v:imagedata r:id="rId8" o:title=""/>
          </v:shape>
        </w:pict>
      </w:r>
    </w:p>
    <w:p w:rsidR="008268A4" w:rsidRDefault="008268A4" w:rsidP="00C20408">
      <w:pPr>
        <w:pStyle w:val="Odstavecseseznamem"/>
        <w:ind w:left="0" w:firstLine="708"/>
      </w:pPr>
    </w:p>
    <w:p w:rsidR="008268A4" w:rsidRDefault="008268A4" w:rsidP="00C20408">
      <w:pPr>
        <w:pStyle w:val="Odstavecseseznamem"/>
        <w:ind w:left="0" w:firstLine="708"/>
      </w:pPr>
    </w:p>
    <w:p w:rsidR="008268A4" w:rsidRDefault="008268A4" w:rsidP="00C20408">
      <w:pPr>
        <w:pStyle w:val="Odstavecseseznamem"/>
        <w:ind w:left="0" w:firstLine="708"/>
      </w:pPr>
    </w:p>
    <w:p w:rsidR="008268A4" w:rsidRDefault="008268A4" w:rsidP="00C20408">
      <w:pPr>
        <w:pStyle w:val="Odstavecseseznamem"/>
        <w:ind w:left="0" w:firstLine="708"/>
      </w:pPr>
    </w:p>
    <w:p w:rsidR="008268A4" w:rsidRDefault="008268A4" w:rsidP="00C20408">
      <w:pPr>
        <w:pStyle w:val="Odstavecseseznamem"/>
        <w:ind w:left="0" w:firstLine="708"/>
      </w:pPr>
    </w:p>
    <w:p w:rsidR="008268A4" w:rsidRDefault="008268A4" w:rsidP="00C20408">
      <w:pPr>
        <w:pStyle w:val="Odstavecseseznamem"/>
        <w:ind w:left="0" w:firstLine="708"/>
      </w:pPr>
    </w:p>
    <w:p w:rsidR="008268A4" w:rsidRDefault="008268A4" w:rsidP="00C20408">
      <w:pPr>
        <w:pStyle w:val="Odstavecseseznamem"/>
        <w:ind w:left="0" w:firstLine="708"/>
      </w:pPr>
    </w:p>
    <w:p w:rsidR="008268A4" w:rsidRDefault="008268A4" w:rsidP="00C20408">
      <w:pPr>
        <w:pStyle w:val="Odstavecseseznamem"/>
        <w:ind w:left="0" w:firstLine="708"/>
      </w:pPr>
    </w:p>
    <w:p w:rsidR="008268A4" w:rsidRDefault="008268A4" w:rsidP="00C20408">
      <w:pPr>
        <w:pStyle w:val="Odstavecseseznamem"/>
        <w:ind w:left="0" w:firstLine="708"/>
      </w:pPr>
    </w:p>
    <w:p w:rsidR="008268A4" w:rsidRDefault="008268A4" w:rsidP="00C20408">
      <w:pPr>
        <w:pStyle w:val="Odstavecseseznamem"/>
        <w:ind w:left="0" w:firstLine="708"/>
      </w:pPr>
    </w:p>
    <w:p w:rsidR="009D401E" w:rsidRDefault="009D401E" w:rsidP="00535C84">
      <w:pPr>
        <w:pStyle w:val="Odstavecseseznamem"/>
        <w:ind w:left="0" w:firstLine="708"/>
      </w:pPr>
    </w:p>
    <w:p w:rsidR="009D401E" w:rsidRDefault="009D401E" w:rsidP="00535C84">
      <w:pPr>
        <w:pStyle w:val="Odstavecseseznamem"/>
        <w:ind w:left="0" w:firstLine="708"/>
      </w:pPr>
    </w:p>
    <w:p w:rsidR="00C20408" w:rsidRDefault="00C20408" w:rsidP="00460868"/>
    <w:p w:rsidR="00323451" w:rsidRDefault="00323451" w:rsidP="00981D69">
      <w:pPr>
        <w:ind w:firstLine="708"/>
      </w:pPr>
      <w:r>
        <w:t>Vztah nařízení č. 1049/2001 a nařízení</w:t>
      </w:r>
      <w:r w:rsidR="00D35A61">
        <w:t xml:space="preserve"> č.</w:t>
      </w:r>
      <w:r>
        <w:t xml:space="preserve"> 1367/2006 lze zhodnotit tak, že nařízení č. 1367/2006 je </w:t>
      </w:r>
      <w:r w:rsidRPr="00D35A61">
        <w:rPr>
          <w:i/>
        </w:rPr>
        <w:t>lex specialis</w:t>
      </w:r>
      <w:r>
        <w:t xml:space="preserve"> k nařízení č. 1049/2001</w:t>
      </w:r>
      <w:r w:rsidR="00080E5D">
        <w:t>. Toto lze demonstrovat například na důvodech odmítnutí žádosti o poskytnutí informace</w:t>
      </w:r>
      <w:r w:rsidR="000442E5">
        <w:t xml:space="preserve">, kdy nařízení </w:t>
      </w:r>
      <w:r w:rsidR="00D35A61">
        <w:t xml:space="preserve">č. </w:t>
      </w:r>
      <w:r w:rsidR="000442E5">
        <w:t>1367/2006 obsahuje speciální právní úpravu.</w:t>
      </w:r>
    </w:p>
    <w:p w:rsidR="00D37F4E" w:rsidRDefault="00200C4F" w:rsidP="00746591">
      <w:pPr>
        <w:ind w:firstLine="708"/>
      </w:pPr>
      <w:r>
        <w:t>Je třeba</w:t>
      </w:r>
      <w:r w:rsidR="00D37F4E">
        <w:t xml:space="preserve"> ještě zmínit směrnici</w:t>
      </w:r>
      <w:r w:rsidR="00920CF3">
        <w:t xml:space="preserve"> č.</w:t>
      </w:r>
      <w:r w:rsidR="00D37F4E">
        <w:t xml:space="preserve"> 2003/4/ES </w:t>
      </w:r>
      <w:r w:rsidR="00D37F4E" w:rsidRPr="00D37F4E">
        <w:t>o p</w:t>
      </w:r>
      <w:r w:rsidR="00D37F4E" w:rsidRPr="00D37F4E">
        <w:rPr>
          <w:rFonts w:hint="eastAsia"/>
        </w:rPr>
        <w:t>ří</w:t>
      </w:r>
      <w:r w:rsidR="00D37F4E" w:rsidRPr="00D37F4E">
        <w:t>stupu ve</w:t>
      </w:r>
      <w:r w:rsidR="00D37F4E" w:rsidRPr="00D37F4E">
        <w:rPr>
          <w:rFonts w:hint="eastAsia"/>
        </w:rPr>
        <w:t>ř</w:t>
      </w:r>
      <w:r w:rsidR="00D37F4E" w:rsidRPr="00D37F4E">
        <w:t>ejnosti k informac</w:t>
      </w:r>
      <w:r w:rsidR="00D37F4E" w:rsidRPr="00D37F4E">
        <w:rPr>
          <w:rFonts w:hint="eastAsia"/>
        </w:rPr>
        <w:t>í</w:t>
      </w:r>
      <w:r w:rsidR="00D37F4E" w:rsidRPr="00D37F4E">
        <w:t xml:space="preserve">m o </w:t>
      </w:r>
      <w:r w:rsidR="00D37F4E" w:rsidRPr="00D37F4E">
        <w:rPr>
          <w:rFonts w:hint="eastAsia"/>
        </w:rPr>
        <w:t>ž</w:t>
      </w:r>
      <w:r w:rsidR="00D37F4E" w:rsidRPr="00D37F4E">
        <w:t>ivotn</w:t>
      </w:r>
      <w:r w:rsidR="00D37F4E" w:rsidRPr="00D37F4E">
        <w:rPr>
          <w:rFonts w:hint="eastAsia"/>
        </w:rPr>
        <w:t>í</w:t>
      </w:r>
      <w:r w:rsidR="00D37F4E" w:rsidRPr="00D37F4E">
        <w:t>m prost</w:t>
      </w:r>
      <w:r w:rsidR="00D37F4E" w:rsidRPr="00D37F4E">
        <w:rPr>
          <w:rFonts w:hint="eastAsia"/>
        </w:rPr>
        <w:t>ř</w:t>
      </w:r>
      <w:r w:rsidR="00D37F4E" w:rsidRPr="00D37F4E">
        <w:t>ed</w:t>
      </w:r>
      <w:r w:rsidR="00D37F4E" w:rsidRPr="00D37F4E">
        <w:rPr>
          <w:rFonts w:hint="eastAsia"/>
        </w:rPr>
        <w:t>í</w:t>
      </w:r>
      <w:r w:rsidR="00D37F4E">
        <w:rPr>
          <w:rStyle w:val="Znakapoznpodarou"/>
        </w:rPr>
        <w:footnoteReference w:id="37"/>
      </w:r>
      <w:r w:rsidR="00D37F4E">
        <w:t xml:space="preserve">, která harmonizuje právní úpravu přístupu k informacím o životním prostředí na úrovni členských států. </w:t>
      </w:r>
      <w:r w:rsidR="00C24D51">
        <w:t>Ve spojení se dvěma výše uvedenými směrnicemi tvoří jakýsi trojúhelník sekundárních předpisů o přístupu k informacím o životním prostředí v rámci unijního práva.</w:t>
      </w:r>
    </w:p>
    <w:p w:rsidR="00DD5EA6" w:rsidRDefault="00DD5EA6" w:rsidP="00746591">
      <w:pPr>
        <w:ind w:firstLine="708"/>
      </w:pPr>
      <w:r>
        <w:t>Poznámka k terminologii. Unijní právní úprava v nařízení č. 1049/2001 pracuje s pojmem přístup k dokumentům. V následujícím textu se však budu držet pojmu přístup k informaci, se kterým, ve shodě s Úmluvou, pracuje nařízení č. 1367/2006.</w:t>
      </w:r>
    </w:p>
    <w:p w:rsidR="000442E5" w:rsidRDefault="000442E5" w:rsidP="00F57525">
      <w:pPr>
        <w:pStyle w:val="Nadpis3"/>
        <w:numPr>
          <w:ilvl w:val="2"/>
          <w:numId w:val="3"/>
        </w:numPr>
        <w:ind w:left="0" w:firstLine="0"/>
      </w:pPr>
      <w:bookmarkStart w:id="17" w:name="_Toc446336406"/>
      <w:r>
        <w:t>Proces poskytnutí informací</w:t>
      </w:r>
      <w:bookmarkEnd w:id="17"/>
    </w:p>
    <w:p w:rsidR="002C58AC" w:rsidRDefault="0049136F" w:rsidP="00F7149E">
      <w:pPr>
        <w:ind w:firstLine="708"/>
      </w:pPr>
      <w:r>
        <w:t xml:space="preserve">Z hlediska </w:t>
      </w:r>
      <w:r w:rsidRPr="001B380F">
        <w:rPr>
          <w:b/>
        </w:rPr>
        <w:t>formálních náležitostí žádosti</w:t>
      </w:r>
      <w:r>
        <w:t xml:space="preserve"> o informaci</w:t>
      </w:r>
      <w:r w:rsidR="0079197D">
        <w:rPr>
          <w:rStyle w:val="Znakapoznpodarou"/>
        </w:rPr>
        <w:footnoteReference w:id="38"/>
      </w:r>
      <w:r>
        <w:t xml:space="preserve">, není unijní úprava příliš odlišná od ustanovení obsažených v Úmluvě. </w:t>
      </w:r>
      <w:r w:rsidR="00596432">
        <w:t>Pro žádost je vyžadována písemná podoba včetně elektronické</w:t>
      </w:r>
      <w:r w:rsidR="008C0533">
        <w:t xml:space="preserve"> formy</w:t>
      </w:r>
      <w:r w:rsidR="00596432">
        <w:t xml:space="preserve"> a to v jednom z</w:t>
      </w:r>
      <w:r w:rsidR="008712F1">
        <w:t> úředních jazyků EU</w:t>
      </w:r>
      <w:r w:rsidR="008712F1">
        <w:rPr>
          <w:rStyle w:val="Znakapoznpodarou"/>
        </w:rPr>
        <w:footnoteReference w:id="39"/>
      </w:r>
      <w:r w:rsidR="008712F1">
        <w:t xml:space="preserve">. </w:t>
      </w:r>
      <w:r w:rsidR="00651572">
        <w:t xml:space="preserve">V souladu s Úmluvou </w:t>
      </w:r>
      <w:r w:rsidR="000A53FF">
        <w:t xml:space="preserve">též </w:t>
      </w:r>
      <w:r w:rsidR="00651572">
        <w:t>není požadováno prokázání zájmu, za jejímž účelem je informace požadována.</w:t>
      </w:r>
      <w:r w:rsidR="00CF416B">
        <w:t xml:space="preserve"> </w:t>
      </w:r>
      <w:r w:rsidR="00535C84">
        <w:t>Žadatel si může zvolit, jaká</w:t>
      </w:r>
      <w:r w:rsidR="00962A6D">
        <w:t xml:space="preserve"> f</w:t>
      </w:r>
      <w:r w:rsidR="00535C84">
        <w:t>orma poskytnutí informace bude pro něj nejvýhodnější</w:t>
      </w:r>
      <w:r w:rsidR="003E3980">
        <w:t>, přičemž v</w:t>
      </w:r>
      <w:r w:rsidR="00535C84">
        <w:t>ýslovně jsou zmíněny formy zpřístupnění informace nahlédnutím, pořízením kopie a pořízením elektronické kopie.</w:t>
      </w:r>
      <w:r w:rsidR="00E727CD">
        <w:t xml:space="preserve"> </w:t>
      </w:r>
      <w:r w:rsidR="00651572">
        <w:t xml:space="preserve">Za pořízení kopie informace </w:t>
      </w:r>
      <w:r w:rsidR="00DF7652">
        <w:t xml:space="preserve">však </w:t>
      </w:r>
      <w:r w:rsidR="00651572">
        <w:t xml:space="preserve">mohou unijní orgány nebo subjekty </w:t>
      </w:r>
      <w:r w:rsidR="003E3980">
        <w:t>účtovat poplatek, j</w:t>
      </w:r>
      <w:r w:rsidR="00651572">
        <w:t>eho</w:t>
      </w:r>
      <w:r w:rsidR="003E3980">
        <w:t>ž</w:t>
      </w:r>
      <w:r w:rsidR="00651572">
        <w:t xml:space="preserve"> výše je však omezena skutečnými náklady na její pořízení a dále jsou stanoveny případy, k</w:t>
      </w:r>
      <w:r w:rsidR="003616BA">
        <w:t>dy jsou kopie</w:t>
      </w:r>
      <w:r w:rsidR="00651572">
        <w:t xml:space="preserve"> od poplatku osvobozeny.</w:t>
      </w:r>
      <w:r w:rsidR="00651572">
        <w:rPr>
          <w:rStyle w:val="Znakapoznpodarou"/>
        </w:rPr>
        <w:footnoteReference w:id="40"/>
      </w:r>
      <w:r w:rsidR="00651572">
        <w:t xml:space="preserve"> </w:t>
      </w:r>
      <w:r w:rsidR="006F0199">
        <w:t xml:space="preserve">Pokud už orgán danou </w:t>
      </w:r>
      <w:r w:rsidR="006F0199">
        <w:lastRenderedPageBreak/>
        <w:t>informaci</w:t>
      </w:r>
      <w:r w:rsidR="004B4DE2">
        <w:t xml:space="preserve"> </w:t>
      </w:r>
      <w:r w:rsidR="006F0199">
        <w:t>u</w:t>
      </w:r>
      <w:r w:rsidR="009F7F4F">
        <w:t xml:space="preserve">veřejnil, může </w:t>
      </w:r>
      <w:r w:rsidR="003E3980">
        <w:t xml:space="preserve">též </w:t>
      </w:r>
      <w:r w:rsidR="009F7F4F">
        <w:t>místo opětovného zveřejnění žadateli sdělit, jak může danou informaci získat. Informace však musí být pro žadatele jednoduše dostupná.</w:t>
      </w:r>
      <w:r w:rsidR="00E800EE">
        <w:rPr>
          <w:rStyle w:val="Znakapoznpodarou"/>
        </w:rPr>
        <w:footnoteReference w:id="41"/>
      </w:r>
    </w:p>
    <w:p w:rsidR="00B81CF0" w:rsidRDefault="00F03449" w:rsidP="00AA16B3">
      <w:pPr>
        <w:ind w:firstLine="708"/>
      </w:pPr>
      <w:r>
        <w:t>Evropská unie v posledních letech stále více klade důraz na tzv. e</w:t>
      </w:r>
      <w:r w:rsidR="00703962">
        <w:t>-</w:t>
      </w:r>
      <w:r>
        <w:t>Government</w:t>
      </w:r>
      <w:r w:rsidR="009266A9">
        <w:t>, tedy elektronizaci veřejné správy</w:t>
      </w:r>
      <w:r>
        <w:t xml:space="preserve">. </w:t>
      </w:r>
      <w:r w:rsidR="00F266A4">
        <w:t>V</w:t>
      </w:r>
      <w:r w:rsidR="00AC0E6F">
        <w:t> akčním plánu e-Government na roky 2011-2015</w:t>
      </w:r>
      <w:r w:rsidR="00BE746D">
        <w:rPr>
          <w:rStyle w:val="Znakapoznpodarou"/>
        </w:rPr>
        <w:footnoteReference w:id="42"/>
      </w:r>
      <w:r w:rsidR="00AC0E6F">
        <w:t xml:space="preserve"> je jako jeden z cílů zmíněno </w:t>
      </w:r>
      <w:r w:rsidR="009266A9">
        <w:t>zvýšení transparentnosti, přístupu k</w:t>
      </w:r>
      <w:r w:rsidR="00E26603">
        <w:t> </w:t>
      </w:r>
      <w:r w:rsidR="009266A9">
        <w:t>informacím</w:t>
      </w:r>
      <w:r w:rsidR="00E26603">
        <w:t xml:space="preserve"> a opakované používání informací veřejného sektoru</w:t>
      </w:r>
      <w:r w:rsidR="009266A9">
        <w:t>.</w:t>
      </w:r>
      <w:r w:rsidR="00703962">
        <w:t xml:space="preserve"> Tohoto cíle se m</w:t>
      </w:r>
      <w:r w:rsidR="00BF2EE1">
        <w:t>ělo</w:t>
      </w:r>
      <w:r w:rsidR="00703962">
        <w:t xml:space="preserve"> dosáhnout</w:t>
      </w:r>
      <w:r w:rsidR="00660E44">
        <w:t xml:space="preserve"> jednak pomocí aktivního zpřístupňování informací (což je předmětem kapitoly 2.2)</w:t>
      </w:r>
      <w:r w:rsidR="00BF2EE1">
        <w:t xml:space="preserve"> a jednak pomocí</w:t>
      </w:r>
      <w:r w:rsidR="00703962">
        <w:t xml:space="preserve"> </w:t>
      </w:r>
      <w:r w:rsidR="00BF2EE1">
        <w:t xml:space="preserve">zřízení </w:t>
      </w:r>
      <w:r w:rsidR="00DE2D50">
        <w:t>elektronického rozhraní</w:t>
      </w:r>
      <w:r w:rsidR="00BF2EE1">
        <w:t>, které by usnadňovalo podání žádosti o informaci.</w:t>
      </w:r>
      <w:r w:rsidR="00BE746D">
        <w:rPr>
          <w:rStyle w:val="Znakapoznpodarou"/>
        </w:rPr>
        <w:footnoteReference w:id="43"/>
      </w:r>
      <w:r w:rsidR="00913759">
        <w:t xml:space="preserve"> </w:t>
      </w:r>
      <w:r w:rsidR="00AC304A">
        <w:t>V současné době má ž</w:t>
      </w:r>
      <w:r w:rsidR="00D06F2F">
        <w:t>adatel</w:t>
      </w:r>
      <w:r w:rsidR="00113F90">
        <w:t xml:space="preserve"> možnost</w:t>
      </w:r>
      <w:r w:rsidR="00D06F2F">
        <w:t xml:space="preserve"> zažádat pomocí</w:t>
      </w:r>
      <w:r w:rsidR="007A2E9A">
        <w:t xml:space="preserve"> jednoduchého</w:t>
      </w:r>
      <w:r w:rsidR="00D06F2F">
        <w:t xml:space="preserve"> elektronickéh</w:t>
      </w:r>
      <w:r w:rsidR="00AC304A">
        <w:t>o formuláře u jedn</w:t>
      </w:r>
      <w:r w:rsidR="00D06F2F">
        <w:t xml:space="preserve">otlivých </w:t>
      </w:r>
      <w:r w:rsidR="00AC304A">
        <w:t xml:space="preserve">evropských </w:t>
      </w:r>
      <w:r w:rsidR="00D06F2F">
        <w:t>institucí o informaci</w:t>
      </w:r>
      <w:r w:rsidR="00AC304A">
        <w:t>.</w:t>
      </w:r>
      <w:r w:rsidR="00E431D3">
        <w:rPr>
          <w:rStyle w:val="Znakapoznpodarou"/>
        </w:rPr>
        <w:footnoteReference w:id="44"/>
      </w:r>
      <w:r w:rsidR="00D06F2F">
        <w:t xml:space="preserve"> </w:t>
      </w:r>
      <w:r w:rsidR="007A2E9A">
        <w:t>Tento přístup</w:t>
      </w:r>
      <w:r w:rsidR="00AC304A">
        <w:t xml:space="preserve"> z mého pohledu</w:t>
      </w:r>
      <w:r w:rsidR="00113F90">
        <w:t xml:space="preserve"> značně zjednodušuje </w:t>
      </w:r>
      <w:r w:rsidR="007A2E9A">
        <w:t>proces žádosti o informaci</w:t>
      </w:r>
      <w:r w:rsidR="00AC304A">
        <w:t xml:space="preserve"> </w:t>
      </w:r>
      <w:r w:rsidR="007A2E9A">
        <w:t>a tím napomáhá</w:t>
      </w:r>
      <w:r w:rsidR="00AC304A">
        <w:t xml:space="preserve"> efektivní </w:t>
      </w:r>
      <w:r w:rsidR="00E431D3">
        <w:t xml:space="preserve">účasti veřejnosti (nejen) na ochraně životního prostředí. </w:t>
      </w:r>
    </w:p>
    <w:p w:rsidR="00AB7F94" w:rsidRDefault="00015AC9" w:rsidP="00AA16B3">
      <w:pPr>
        <w:ind w:firstLine="708"/>
      </w:pPr>
      <w:r w:rsidRPr="00AB7F94">
        <w:rPr>
          <w:b/>
        </w:rPr>
        <w:t>Lhůty pro poskytnutí informace</w:t>
      </w:r>
      <w:r>
        <w:t xml:space="preserve"> jsou stanoveny v čl.. 7 a 8 nařízení č. 1049/2001.</w:t>
      </w:r>
      <w:r w:rsidR="00E53533">
        <w:t xml:space="preserve"> Unijní orgány mají povinnost ihned po obdržení žádosti zaslat potvrzení o jejím obdržení.</w:t>
      </w:r>
      <w:r>
        <w:t xml:space="preserve"> </w:t>
      </w:r>
      <w:r w:rsidR="003C222E">
        <w:t>L</w:t>
      </w:r>
      <w:r w:rsidR="00E53533">
        <w:t>hůta pro vyřízení žádosti, je 15 dní</w:t>
      </w:r>
      <w:r w:rsidR="007E5812">
        <w:t>.</w:t>
      </w:r>
      <w:r w:rsidR="00DE723F">
        <w:t xml:space="preserve"> V</w:t>
      </w:r>
      <w:r w:rsidR="00E53533">
        <w:t>e výjimečných případech</w:t>
      </w:r>
      <w:r w:rsidR="00DE723F">
        <w:t xml:space="preserve"> žádostí o informace značného rozsahu</w:t>
      </w:r>
      <w:r w:rsidR="00196E1B">
        <w:t xml:space="preserve"> lze po předchozím upozornění žadatele</w:t>
      </w:r>
      <w:r w:rsidR="00733C57">
        <w:t xml:space="preserve"> a s náležitým odůvodněním</w:t>
      </w:r>
      <w:r w:rsidR="00196E1B">
        <w:t xml:space="preserve"> tuto lhů</w:t>
      </w:r>
      <w:r w:rsidR="00A86CC1">
        <w:t>tu prodloužit o dalších 15 dní. Obecně lze</w:t>
      </w:r>
      <w:r w:rsidR="00781D21">
        <w:t xml:space="preserve"> tedy</w:t>
      </w:r>
      <w:r w:rsidR="00A86CC1">
        <w:t xml:space="preserve"> u</w:t>
      </w:r>
      <w:r w:rsidR="00AB7F94">
        <w:t xml:space="preserve"> lhůt pro poskytnutí informací tedy konstatovat, že unijní úprava jde nad rámec požadovaný Úmluvou.</w:t>
      </w:r>
      <w:r w:rsidR="00A86CC1">
        <w:t xml:space="preserve"> </w:t>
      </w:r>
      <w:r w:rsidR="00AB7F94">
        <w:t xml:space="preserve"> </w:t>
      </w:r>
    </w:p>
    <w:p w:rsidR="005B73FF" w:rsidRDefault="005B73FF" w:rsidP="00AA16B3">
      <w:pPr>
        <w:ind w:firstLine="708"/>
      </w:pPr>
      <w:r>
        <w:t>V případě zamítnutí žádosti</w:t>
      </w:r>
      <w:r w:rsidR="008A17C4">
        <w:t>, nebo jejího včasného nevyřízení ve lhůtě</w:t>
      </w:r>
      <w:r w:rsidR="001F790B">
        <w:t xml:space="preserve"> má žadatel právo podat tzv. </w:t>
      </w:r>
      <w:r w:rsidR="001F790B" w:rsidRPr="001F790B">
        <w:rPr>
          <w:b/>
        </w:rPr>
        <w:t>potvrzující žádost</w:t>
      </w:r>
      <w:r w:rsidR="001F790B" w:rsidRPr="001F790B">
        <w:t>.</w:t>
      </w:r>
      <w:r w:rsidR="008A17C4">
        <w:t xml:space="preserve"> Touto problematikou se budu zabývat ve čtvrté kapitole.</w:t>
      </w:r>
      <w:r w:rsidR="00832F03">
        <w:t xml:space="preserve"> </w:t>
      </w:r>
    </w:p>
    <w:p w:rsidR="00F44C4F" w:rsidRDefault="00405C89" w:rsidP="005A19E9">
      <w:pPr>
        <w:ind w:firstLine="708"/>
      </w:pPr>
      <w:r>
        <w:t xml:space="preserve">Případ, kdy orgán </w:t>
      </w:r>
      <w:r w:rsidR="009F7CB2">
        <w:t xml:space="preserve">nebo subjekt Společenství </w:t>
      </w:r>
      <w:r>
        <w:t xml:space="preserve">danou informaci o životním prostředí nemá, upravuje </w:t>
      </w:r>
      <w:r w:rsidR="00BD107A">
        <w:t xml:space="preserve">jako </w:t>
      </w:r>
      <w:r w:rsidR="00BD107A" w:rsidRPr="001A03EC">
        <w:rPr>
          <w:i/>
        </w:rPr>
        <w:t>lex specialis</w:t>
      </w:r>
      <w:r>
        <w:t xml:space="preserve"> čl. 7 nařízení </w:t>
      </w:r>
      <w:r w:rsidR="00BD107A">
        <w:t xml:space="preserve">č. </w:t>
      </w:r>
      <w:r>
        <w:t xml:space="preserve">1367/2006. </w:t>
      </w:r>
      <w:r w:rsidR="00263997">
        <w:t>V tomto případě</w:t>
      </w:r>
      <w:r w:rsidR="009F7CB2">
        <w:t>, musí</w:t>
      </w:r>
      <w:r w:rsidR="00263997">
        <w:t xml:space="preserve"> žadateli</w:t>
      </w:r>
      <w:r w:rsidR="009F7CB2">
        <w:t xml:space="preserve"> do 15 ti dnů sdělit, který jiný </w:t>
      </w:r>
      <w:r w:rsidR="00263997" w:rsidRPr="00BD107A">
        <w:t>orgán nebo subjekt Společenství</w:t>
      </w:r>
      <w:r w:rsidR="00263997" w:rsidRPr="00BD107A">
        <w:rPr>
          <w:i/>
        </w:rPr>
        <w:t xml:space="preserve"> nebo orgán veřejné správy</w:t>
      </w:r>
      <w:r w:rsidR="009F7CB2">
        <w:t xml:space="preserve"> by podle něj mohl tuto informaci poskytnout</w:t>
      </w:r>
      <w:r w:rsidR="003B0044">
        <w:t xml:space="preserve">, případně mu žádost postoupí a vyrozumí o tom </w:t>
      </w:r>
      <w:r w:rsidR="003B0044">
        <w:lastRenderedPageBreak/>
        <w:t>žadatele</w:t>
      </w:r>
      <w:r w:rsidR="009F7CB2">
        <w:t xml:space="preserve">. </w:t>
      </w:r>
      <w:r w:rsidR="00BD107A">
        <w:t xml:space="preserve">Dochází zde k rozšíření možných držitelů informace, neboť </w:t>
      </w:r>
      <w:r w:rsidR="00D37F4E">
        <w:t>je k posouzení zda danou informaci nemůže držet též orgán veřejné správy ve smyslu směrnice</w:t>
      </w:r>
      <w:r w:rsidR="003B0044">
        <w:t xml:space="preserve"> č.</w:t>
      </w:r>
      <w:r w:rsidR="00D37F4E">
        <w:t xml:space="preserve"> 4/2003/ES</w:t>
      </w:r>
      <w:r w:rsidR="003B0044">
        <w:t>.</w:t>
      </w:r>
      <w:r w:rsidR="00920CF3">
        <w:rPr>
          <w:rStyle w:val="Znakapoznpodarou"/>
        </w:rPr>
        <w:footnoteReference w:id="45"/>
      </w:r>
      <w:r w:rsidR="00BD107A">
        <w:t xml:space="preserve"> </w:t>
      </w:r>
    </w:p>
    <w:p w:rsidR="00255904" w:rsidRDefault="00255904" w:rsidP="005A19E9">
      <w:pPr>
        <w:ind w:firstLine="708"/>
      </w:pPr>
      <w:r>
        <w:t>Speciálnímu režimu podléhají citlivé dokumenty</w:t>
      </w:r>
      <w:r>
        <w:rPr>
          <w:rStyle w:val="Znakapoznpodarou"/>
        </w:rPr>
        <w:footnoteReference w:id="46"/>
      </w:r>
      <w:r w:rsidR="000865C1">
        <w:t>.</w:t>
      </w:r>
      <w:r w:rsidR="00E51879">
        <w:t xml:space="preserve"> Žádosti o zveřejnění těchto informací mohou posuzovat pouze</w:t>
      </w:r>
      <w:r w:rsidR="009C5106">
        <w:t xml:space="preserve"> osoby, které mají právo se s těmito informacemi seznámit. </w:t>
      </w:r>
      <w:r w:rsidR="0053340E">
        <w:t xml:space="preserve">Bezpečnostní prověření těchto osob probíhá v souladu s rozhodnutím </w:t>
      </w:r>
      <w:r w:rsidR="001A03EC">
        <w:t>R</w:t>
      </w:r>
      <w:r w:rsidR="0053340E">
        <w:t>ady č. 2013/488/EU o bezpečnostních pravidlech na ochranu utajovaných informací EU</w:t>
      </w:r>
      <w:r w:rsidR="0053340E">
        <w:rPr>
          <w:rStyle w:val="Znakapoznpodarou"/>
        </w:rPr>
        <w:footnoteReference w:id="47"/>
      </w:r>
      <w:r w:rsidR="0053340E">
        <w:t xml:space="preserve">. </w:t>
      </w:r>
      <w:r w:rsidR="003F0768">
        <w:t>Tyto dokumenty se</w:t>
      </w:r>
      <w:r w:rsidR="00746901">
        <w:t xml:space="preserve"> automaticky nezaznamenávají do rejstříků dokumentů, ale toto zařazení podléhá dvojímu souhlasu, jednak původce</w:t>
      </w:r>
      <w:r w:rsidR="00B63062">
        <w:t>m</w:t>
      </w:r>
      <w:r w:rsidR="00746901">
        <w:t xml:space="preserve"> dokumentu a jednak osob</w:t>
      </w:r>
      <w:r w:rsidR="00B63062">
        <w:t>ou</w:t>
      </w:r>
      <w:r w:rsidR="00746901">
        <w:t xml:space="preserve"> oprávněn</w:t>
      </w:r>
      <w:r w:rsidR="00B63062">
        <w:t>ou</w:t>
      </w:r>
      <w:r w:rsidR="00746901">
        <w:t xml:space="preserve"> s těmito informacemi zacházet. </w:t>
      </w:r>
      <w:r w:rsidR="003F0768">
        <w:t>Při nakládání s citlivými dokumenty je vždy třeba ctít zásady uvedené v čl. 4 nařízení č. 1049/2001.</w:t>
      </w:r>
      <w:r w:rsidR="00E51879">
        <w:t xml:space="preserve"> </w:t>
      </w:r>
    </w:p>
    <w:p w:rsidR="008A17C4" w:rsidRDefault="008A17C4" w:rsidP="005A19E9">
      <w:pPr>
        <w:ind w:firstLine="708"/>
      </w:pPr>
      <w:r w:rsidRPr="008A17C4">
        <w:rPr>
          <w:b/>
        </w:rPr>
        <w:t>Z hlediska statistiky</w:t>
      </w:r>
      <w:r>
        <w:t xml:space="preserve"> </w:t>
      </w:r>
      <w:r w:rsidR="000226A0">
        <w:t>jsou</w:t>
      </w:r>
      <w:r>
        <w:t xml:space="preserve"> žádosti o informace týkající se oblasti životního prostředí </w:t>
      </w:r>
      <w:r w:rsidR="000226A0">
        <w:t>jedny z nejčastějších. Za rok 2014 směřovalo 5.29 % všech žádostí o informace do oblasti životního prostředí což je srovnatelný zájem s oblastí cel a daní, vnitřního trhu a zemědělství. Více žádostí o informace směřovalo pouze do oblasti ochrany spotřebitele a na generální sekretariát Komise.</w:t>
      </w:r>
      <w:r w:rsidR="000226A0">
        <w:rPr>
          <w:rStyle w:val="Znakapoznpodarou"/>
        </w:rPr>
        <w:footnoteReference w:id="48"/>
      </w:r>
      <w:r w:rsidR="000226A0">
        <w:t xml:space="preserve"> </w:t>
      </w:r>
      <w:r w:rsidR="00A10B28">
        <w:t>Tato</w:t>
      </w:r>
      <w:r w:rsidR="00AF3C71">
        <w:t xml:space="preserve"> data svědčí o zájmu</w:t>
      </w:r>
      <w:r>
        <w:t xml:space="preserve"> </w:t>
      </w:r>
      <w:r w:rsidR="002022C8">
        <w:t>veřejnosti o environmentální záležitosti srovnatelným se zájmem o vnitřní trh</w:t>
      </w:r>
      <w:r w:rsidR="00223941">
        <w:t>,</w:t>
      </w:r>
      <w:r w:rsidR="002022C8">
        <w:t xml:space="preserve"> který je základním pilířem Evropské unie. </w:t>
      </w:r>
    </w:p>
    <w:p w:rsidR="00C809CE" w:rsidRDefault="00C809CE" w:rsidP="00C809CE">
      <w:pPr>
        <w:pStyle w:val="Nadpis3"/>
        <w:numPr>
          <w:ilvl w:val="2"/>
          <w:numId w:val="3"/>
        </w:numPr>
        <w:ind w:left="0" w:firstLine="0"/>
      </w:pPr>
      <w:bookmarkStart w:id="18" w:name="_Toc446336407"/>
      <w:r>
        <w:t>Důvody pro zamítnutí poskytnutí informace</w:t>
      </w:r>
      <w:r w:rsidRPr="00710491">
        <w:rPr>
          <w:rStyle w:val="Znakapoznpodarou"/>
          <w:b w:val="0"/>
        </w:rPr>
        <w:footnoteReference w:id="49"/>
      </w:r>
      <w:bookmarkEnd w:id="18"/>
    </w:p>
    <w:p w:rsidR="00C809CE" w:rsidRDefault="00C809CE" w:rsidP="00C809CE">
      <w:pPr>
        <w:ind w:firstLine="708"/>
      </w:pPr>
      <w:r>
        <w:t xml:space="preserve">Při zkoumání důvodů pro odmítnutí poskytnutí informací o životním prostředí si nelze nevšimnout určité schizofrenie mezi právní úpravou a praxí orgánů a subjektů Evropské unie. V následující kapitole se pokusím nastínit na základě rozhodovací praxe Soudního dvora vývoj přístupu k jednotlivým důvodům pro odmítnutí poskytnutí informace. </w:t>
      </w:r>
    </w:p>
    <w:p w:rsidR="00C809CE" w:rsidRDefault="00C809CE" w:rsidP="00C809CE">
      <w:pPr>
        <w:ind w:firstLine="708"/>
      </w:pPr>
      <w:r w:rsidRPr="00710491">
        <w:lastRenderedPageBreak/>
        <w:t>Důvody zamítnutí žádosti</w:t>
      </w:r>
      <w:r>
        <w:t xml:space="preserve"> jsou uvedeny v čl. 4 nařízení č. 1049/2001. Při rozhodování o odmítnutí žádosti o informaci musí orgány rozhodující o žádosti brát v úvahu, že účelem nařízení č. 1049/2001 </w:t>
      </w:r>
      <w:r w:rsidRPr="002A2E0B">
        <w:t>je v co nejvy</w:t>
      </w:r>
      <w:r w:rsidRPr="002A2E0B">
        <w:rPr>
          <w:rFonts w:hint="eastAsia"/>
        </w:rPr>
        <w:t>šší</w:t>
      </w:r>
      <w:r w:rsidRPr="002A2E0B">
        <w:t xml:space="preserve"> m</w:t>
      </w:r>
      <w:r w:rsidRPr="002A2E0B">
        <w:rPr>
          <w:rFonts w:hint="eastAsia"/>
        </w:rPr>
        <w:t>íř</w:t>
      </w:r>
      <w:r w:rsidRPr="002A2E0B">
        <w:t>e pos</w:t>
      </w:r>
      <w:r w:rsidRPr="002A2E0B">
        <w:rPr>
          <w:rFonts w:hint="eastAsia"/>
        </w:rPr>
        <w:t>í</w:t>
      </w:r>
      <w:r w:rsidRPr="002A2E0B">
        <w:t>lit pr</w:t>
      </w:r>
      <w:r w:rsidRPr="002A2E0B">
        <w:rPr>
          <w:rFonts w:hint="eastAsia"/>
        </w:rPr>
        <w:t>á</w:t>
      </w:r>
      <w:r w:rsidRPr="002A2E0B">
        <w:t>vo</w:t>
      </w:r>
      <w:r>
        <w:t xml:space="preserve"> </w:t>
      </w:r>
      <w:r w:rsidRPr="002A2E0B">
        <w:t>ve</w:t>
      </w:r>
      <w:r w:rsidRPr="002A2E0B">
        <w:rPr>
          <w:rFonts w:hint="eastAsia"/>
        </w:rPr>
        <w:t>ř</w:t>
      </w:r>
      <w:r w:rsidRPr="002A2E0B">
        <w:t>ejnosti na p</w:t>
      </w:r>
      <w:r w:rsidRPr="002A2E0B">
        <w:rPr>
          <w:rFonts w:hint="eastAsia"/>
        </w:rPr>
        <w:t>ří</w:t>
      </w:r>
      <w:r w:rsidRPr="002A2E0B">
        <w:t>stup k</w:t>
      </w:r>
      <w:r>
        <w:t> </w:t>
      </w:r>
      <w:r w:rsidRPr="002A2E0B">
        <w:t>dokument</w:t>
      </w:r>
      <w:r w:rsidRPr="002A2E0B">
        <w:rPr>
          <w:rFonts w:hint="eastAsia"/>
        </w:rPr>
        <w:t>ů</w:t>
      </w:r>
      <w:r w:rsidRPr="002A2E0B">
        <w:t>m</w:t>
      </w:r>
      <w:r>
        <w:t xml:space="preserve"> Evropského parlamentu, Rady a Komise. Právo na přístup k informacím je přímo spojeno s demokra</w:t>
      </w:r>
      <w:r w:rsidR="000E1F80">
        <w:t>tickou povahou těchto institucí</w:t>
      </w:r>
      <w:r>
        <w:t>. Jedná se tedy o princip, že dokumenty mají být v co největší míře zpřístupněny. Čl. 4 nařízení č. 1049/2001 je výjimkou z tohoto principu a proto musí být aplikován restriktivně. Zároveň, v případě, že dojde k uplatnění výjimky, má orgán povinnost v rozhodnutí o zamítnutí žádosti sdělit, jakým způsobem by mohlo zveřejněním informace dojít k narušení chráněného zájmu. Pouhá skutečnost, že se požadovaná informace týká čl. 4 chráněného zájmu, sama o sobě nestačí.</w:t>
      </w:r>
      <w:r>
        <w:rPr>
          <w:rStyle w:val="Znakapoznpodarou"/>
        </w:rPr>
        <w:footnoteReference w:id="50"/>
      </w:r>
      <w:r>
        <w:t xml:space="preserve"> Není též neobvyklé, že u rozsáhlejších žádostí orgány odmítn</w:t>
      </w:r>
      <w:r w:rsidR="00D4333C">
        <w:t>o</w:t>
      </w:r>
      <w:r>
        <w:t>u na základě čl. 4 přístup k</w:t>
      </w:r>
      <w:r w:rsidR="00D4333C">
        <w:t> </w:t>
      </w:r>
      <w:r>
        <w:t>informaci</w:t>
      </w:r>
      <w:r w:rsidR="00D4333C">
        <w:t>, aniž by</w:t>
      </w:r>
      <w:r>
        <w:t xml:space="preserve"> prozkoumaly všechny požadované informace z hlediska, jestli by nebylo možné alespoň některé z nich zveřejnit. Často se orgány spokojí s pouhým konstatováním, že zatím prozkoumaná část požadované informace spadá pod výjimku čl. 4 a u zbylé části „se zdá“ že tam též bude spadat. Evropský soudní dvůr v těchto případech pravidelně rozhodnutí orgánů ruší a nařizuje komplexní prozkoumávání požadovaných informací.</w:t>
      </w:r>
      <w:r>
        <w:rPr>
          <w:rStyle w:val="Znakapoznpodarou"/>
        </w:rPr>
        <w:footnoteReference w:id="51"/>
      </w:r>
      <w:r>
        <w:t xml:space="preserve">   </w:t>
      </w:r>
    </w:p>
    <w:p w:rsidR="00C809CE" w:rsidRDefault="00C809CE" w:rsidP="00C809CE">
      <w:pPr>
        <w:ind w:firstLine="708"/>
        <w:rPr>
          <w:rFonts w:cs="Times New Roman"/>
          <w:szCs w:val="24"/>
        </w:rPr>
      </w:pPr>
      <w:r>
        <w:t xml:space="preserve">V zásadě lze </w:t>
      </w:r>
      <w:r w:rsidRPr="00AA16B3">
        <w:rPr>
          <w:rFonts w:cs="Times New Roman"/>
          <w:b/>
          <w:szCs w:val="24"/>
        </w:rPr>
        <w:t>důvody pro odmítnutí</w:t>
      </w:r>
      <w:r>
        <w:rPr>
          <w:rFonts w:cs="Times New Roman"/>
          <w:szCs w:val="24"/>
        </w:rPr>
        <w:t xml:space="preserve"> poskytnutí informace</w:t>
      </w:r>
      <w:r w:rsidRPr="0030286D">
        <w:rPr>
          <w:rFonts w:cs="Times New Roman"/>
          <w:szCs w:val="24"/>
        </w:rPr>
        <w:t xml:space="preserve"> </w:t>
      </w:r>
      <w:r>
        <w:rPr>
          <w:rFonts w:cs="Times New Roman"/>
          <w:szCs w:val="24"/>
        </w:rPr>
        <w:t xml:space="preserve">opět </w:t>
      </w:r>
      <w:r w:rsidRPr="0030286D">
        <w:rPr>
          <w:rFonts w:cs="Times New Roman"/>
          <w:szCs w:val="24"/>
        </w:rPr>
        <w:t xml:space="preserve">rozdělit na dvě skupiny. </w:t>
      </w:r>
    </w:p>
    <w:p w:rsidR="00C809CE" w:rsidRDefault="00C809CE" w:rsidP="00C809CE">
      <w:pPr>
        <w:ind w:firstLine="708"/>
      </w:pPr>
      <w:r w:rsidRPr="001E54DE">
        <w:rPr>
          <w:rFonts w:cs="Times New Roman"/>
          <w:b/>
          <w:szCs w:val="24"/>
        </w:rPr>
        <w:t>V případě čl. 4 odst. 1</w:t>
      </w:r>
      <w:r w:rsidRPr="0030286D">
        <w:rPr>
          <w:rFonts w:cs="Times New Roman"/>
          <w:szCs w:val="24"/>
        </w:rPr>
        <w:t xml:space="preserve"> </w:t>
      </w:r>
      <w:r>
        <w:rPr>
          <w:rFonts w:cs="Times New Roman"/>
          <w:szCs w:val="24"/>
        </w:rPr>
        <w:t>„</w:t>
      </w:r>
      <w:r w:rsidRPr="000976D9">
        <w:rPr>
          <w:rFonts w:cs="Times New Roman"/>
          <w:i/>
          <w:szCs w:val="24"/>
        </w:rPr>
        <w:t xml:space="preserve">orgány odepřou </w:t>
      </w:r>
      <w:r w:rsidRPr="000976D9">
        <w:rPr>
          <w:rFonts w:eastAsia="EUAlbertina-Regular-Identity-H" w:cs="Times New Roman"/>
          <w:i/>
          <w:szCs w:val="24"/>
        </w:rPr>
        <w:t>přístup k dokumentu, pokud by zpřístupnění vedlo k porušení ochrany a) veřejného zájmu, pokud jde o veřejnou bezpečnost, obranné a vojenské záležitosti, mezinárodní vztahy, finanční, měnovou nebo hospodářskou politiku Společenství nebo členského státu; b) soukromí a osobnosti jednotlivce, zejména podle právních předpisů Společenství o ochraně osobních údajů.</w:t>
      </w:r>
      <w:r>
        <w:rPr>
          <w:rFonts w:eastAsia="EUAlbertina-Regular-Identity-H" w:cs="Times New Roman"/>
          <w:szCs w:val="24"/>
        </w:rPr>
        <w:t>“</w:t>
      </w:r>
      <w:r>
        <w:t xml:space="preserve"> Z citovaného znění se může zdát, že pokud hrozí porušení ochrany vymezených oblastí, tak bez ohledu na veřejný zájem na zveřejnění informace bude výjimka uplatněna a žádost tím pádem odmítnuta. Tedy, že se jedná o absolutní výjimky z přístupu k informacím. </w:t>
      </w:r>
      <w:r w:rsidR="00D4333C">
        <w:t>Nicméně n</w:t>
      </w:r>
      <w:r>
        <w:t>ařízení č. 1049/2001 jednak nijak blíže nedefinuje pojem „</w:t>
      </w:r>
      <w:r w:rsidRPr="00145622">
        <w:rPr>
          <w:i/>
        </w:rPr>
        <w:t>porušení ochrany veřejného zájmu</w:t>
      </w:r>
      <w:r>
        <w:t xml:space="preserve">“ a jednak také nijak blíže nedefinuje jednotlivé důvody pro odmítnutí stanovené v čl. 4 odst. 1, čímž se otevřel prostor pro zajímavou judikatorní činnost Evropského soudního dvora (dále jen ESD). </w:t>
      </w:r>
    </w:p>
    <w:p w:rsidR="00C809CE" w:rsidRDefault="00C809CE" w:rsidP="00C809CE">
      <w:pPr>
        <w:ind w:firstLine="708"/>
      </w:pPr>
      <w:r>
        <w:lastRenderedPageBreak/>
        <w:t>Slovní spojení „</w:t>
      </w:r>
      <w:r w:rsidRPr="00820C52">
        <w:rPr>
          <w:i/>
        </w:rPr>
        <w:t>porušení ochrany veřejného zájmu</w:t>
      </w:r>
      <w:r>
        <w:t>“ bylo předmětem několika rozhodnutí.</w:t>
      </w:r>
      <w:r>
        <w:rPr>
          <w:rStyle w:val="Znakapoznpodarou"/>
        </w:rPr>
        <w:footnoteReference w:id="52"/>
      </w:r>
      <w:r>
        <w:t xml:space="preserve"> V těch ESD opakovaně judikoval, že porušení ochrany veřejného zájmu musí být „</w:t>
      </w:r>
      <w:r w:rsidRPr="00F30F23">
        <w:rPr>
          <w:i/>
        </w:rPr>
        <w:t>reasonably forsee</w:t>
      </w:r>
      <w:r>
        <w:rPr>
          <w:i/>
        </w:rPr>
        <w:t>abl</w:t>
      </w:r>
      <w:r w:rsidRPr="00F30F23">
        <w:rPr>
          <w:i/>
        </w:rPr>
        <w:t>e</w:t>
      </w:r>
      <w:r>
        <w:rPr>
          <w:i/>
        </w:rPr>
        <w:t xml:space="preserve"> and not purely hypotetical</w:t>
      </w:r>
      <w:r>
        <w:rPr>
          <w:rStyle w:val="Znakapoznpodarou"/>
          <w:i/>
        </w:rPr>
        <w:footnoteReference w:id="53"/>
      </w:r>
      <w:r>
        <w:t>“, tedy musí být reálně možné, že k němu dojde.</w:t>
      </w:r>
    </w:p>
    <w:p w:rsidR="00C809CE" w:rsidRDefault="00C809CE" w:rsidP="00C809CE">
      <w:pPr>
        <w:ind w:firstLine="708"/>
      </w:pPr>
      <w:r>
        <w:t xml:space="preserve">Příkladem je případ </w:t>
      </w:r>
      <w:r w:rsidRPr="00544E4E">
        <w:rPr>
          <w:i/>
        </w:rPr>
        <w:t>Evropaïki Dynamiki – Proigmena Systimata Tilepikoinonion Pliroforikis kai Tilematikis AE v. European Commission</w:t>
      </w:r>
      <w:r>
        <w:t>. Komise zde zamítla žádost o informace týkající se dokumentů k</w:t>
      </w:r>
      <w:r w:rsidR="00301531">
        <w:t>e</w:t>
      </w:r>
      <w:r>
        <w:t> smlouvám na informační systémy provozované Komisí. Zamítnutí odůvodnila s tím, že informace obsahovaly takové údaje o těchto systémech, ze kterých by mohl</w:t>
      </w:r>
      <w:r w:rsidR="00301531">
        <w:t>a být vyvozena</w:t>
      </w:r>
      <w:r>
        <w:t xml:space="preserve"> jejich slabá místa, a toto by mohlo být případně zneužito třetí stranou. Jednalo se tedy o uplatnění výjimky ochrany veřejného zájmu na veřejné bezpečnosti. ESD judikoval, že pouhá možnost odhalení slabých míst a následné možné zneužití informací třetí stranu není dostatečným důvodem pro aplikaci výjimky v čl. 4 písm. a) odrážce první.</w:t>
      </w:r>
      <w:r>
        <w:rPr>
          <w:rStyle w:val="Znakapoznpodarou"/>
        </w:rPr>
        <w:footnoteReference w:id="54"/>
      </w:r>
    </w:p>
    <w:p w:rsidR="00C809CE" w:rsidRDefault="00C809CE" w:rsidP="00C809CE">
      <w:pPr>
        <w:ind w:firstLine="708"/>
      </w:pPr>
      <w:r>
        <w:t xml:space="preserve">Jako další příklad, tentokrát v rámci výjimky ochrany veřejného zájmu v oblasti mezinárodních vztahů, bych uvedl případ </w:t>
      </w:r>
      <w:r w:rsidRPr="00C549FF">
        <w:rPr>
          <w:i/>
        </w:rPr>
        <w:t>Sophie In’t Veld v</w:t>
      </w:r>
      <w:r>
        <w:rPr>
          <w:i/>
        </w:rPr>
        <w:t> </w:t>
      </w:r>
      <w:r w:rsidRPr="00C549FF">
        <w:rPr>
          <w:i/>
        </w:rPr>
        <w:t>Council</w:t>
      </w:r>
      <w:r>
        <w:rPr>
          <w:rStyle w:val="Znakapoznpodarou"/>
          <w:i/>
        </w:rPr>
        <w:footnoteReference w:id="55"/>
      </w:r>
      <w:r>
        <w:t>. V tomto případě požádala paní Sophie in ’t Veld</w:t>
      </w:r>
      <w:r>
        <w:rPr>
          <w:rStyle w:val="Znakapoznpodarou"/>
        </w:rPr>
        <w:footnoteReference w:id="56"/>
      </w:r>
      <w:r w:rsidRPr="00C549FF">
        <w:t xml:space="preserve"> </w:t>
      </w:r>
      <w:r>
        <w:t>Radu o dokument obsahující stanovisko právní služby Rady k možnému zahájení jednání o mezinárodní dohodě mezi Evropskou unií a USA, která by umožnila zpřístupnit údaje o finančních transakcích za</w:t>
      </w:r>
      <w:r w:rsidR="00DC20D8">
        <w:t xml:space="preserve"> účelem předcházení terorismu, </w:t>
      </w:r>
      <w:r>
        <w:t>financ</w:t>
      </w:r>
      <w:r w:rsidR="009E75AA">
        <w:t>ování terorismu a boje proti němu</w:t>
      </w:r>
      <w:r>
        <w:t>. Rada tento dokument odmítla zpřístupnit s odůvodněním, že</w:t>
      </w:r>
      <w:r w:rsidRPr="00C549FF">
        <w:t xml:space="preserve"> </w:t>
      </w:r>
      <w:r>
        <w:t>zpřístupnění by jednak veřejnosti poskytlo informace ohledně některých ustanovení připravované dohody, což by narušilo atmosféru důvěry při probíhajících jednáních, a jednak by druhé straně poskytlo informace, které se týkají postoje, jejž má Unie zaujmout v rámci jednání, a které by mohly být využity způsobem, jenž by oslabil její pozici. Paní Sophie in ’t Veld naopak tvrdila, že daný dokument nespadá pod výše uvedenou výjimku, protože se jedná</w:t>
      </w:r>
      <w:r w:rsidR="00F4591B">
        <w:t xml:space="preserve"> o</w:t>
      </w:r>
      <w:r>
        <w:t xml:space="preserve"> právní analýzu unijního a ne mezinárodního práva. </w:t>
      </w:r>
      <w:r w:rsidR="00DC20D8">
        <w:t>Soudní dvůr</w:t>
      </w:r>
      <w:r>
        <w:t xml:space="preserve"> na základě vyjádření Rady konstatoval, že tento případ má dvě roviny. </w:t>
      </w:r>
    </w:p>
    <w:p w:rsidR="00DC20D8" w:rsidRDefault="00C809CE" w:rsidP="00C809CE">
      <w:pPr>
        <w:ind w:firstLine="708"/>
      </w:pPr>
      <w:r>
        <w:lastRenderedPageBreak/>
        <w:t xml:space="preserve">V otázce, že by zpřístupnění dokumentu veřejnosti poskytlo informace ohledně některých ustanovení připravované dohody, což by narušilo atmosféru důvěry při </w:t>
      </w:r>
      <w:r w:rsidR="00DC20D8">
        <w:t>probíhajících jednáních, dal Soudní dvůr</w:t>
      </w:r>
      <w:r>
        <w:t xml:space="preserve"> za pravdu Radě. </w:t>
      </w:r>
      <w:r w:rsidR="00DC20D8">
        <w:t>N</w:t>
      </w:r>
      <w:r>
        <w:t>aproti tomu</w:t>
      </w:r>
      <w:r w:rsidR="00DC20D8">
        <w:t xml:space="preserve"> ale Soudní dvůr</w:t>
      </w:r>
      <w:r>
        <w:t xml:space="preserve"> odmítl argumentaci Rady, že by zveřejnění analýzy právního základu oslabilo pozici Unie při vyjednávání smlouvy jako extenzivní výklad výše uvedené výjimky. </w:t>
      </w:r>
      <w:r w:rsidR="00DC20D8">
        <w:t>Soudní dvůr</w:t>
      </w:r>
      <w:r>
        <w:t xml:space="preserve"> částečně zrušil rozhodnutí Rady o odmítnutí žádosti o informace a připustil zveřejnění </w:t>
      </w:r>
      <w:r>
        <w:rPr>
          <w:rFonts w:ascii="Warnock Pro" w:hAnsi="Warnock Pro" w:cs="Warnock Pro"/>
        </w:rPr>
        <w:t xml:space="preserve">požadovaného dokumentu mimo </w:t>
      </w:r>
      <w:r w:rsidRPr="009732B9">
        <w:t>části týkající se specifického obsahu připravované dohody nebo směrnic pro jednání</w:t>
      </w:r>
      <w:r>
        <w:t xml:space="preserve">. </w:t>
      </w:r>
    </w:p>
    <w:p w:rsidR="00C809CE" w:rsidRDefault="00DC20D8" w:rsidP="00C809CE">
      <w:pPr>
        <w:ind w:firstLine="708"/>
      </w:pPr>
      <w:r>
        <w:t>V</w:t>
      </w:r>
      <w:r w:rsidR="00C809CE">
        <w:t xml:space="preserve">ždy </w:t>
      </w:r>
      <w:r>
        <w:t xml:space="preserve">je tedy </w:t>
      </w:r>
      <w:r w:rsidR="00C809CE">
        <w:t xml:space="preserve">třeba zkoumat požadovanou informaci z pohledu, jestli není možné alespoň její část zveřejnit, přesto, že některé její části spadají pod některou z výjimek čl. 4 odst. 1. </w:t>
      </w:r>
    </w:p>
    <w:p w:rsidR="00C809CE" w:rsidRDefault="00C809CE" w:rsidP="00C809CE">
      <w:pPr>
        <w:ind w:firstLine="708"/>
      </w:pPr>
      <w:r>
        <w:t xml:space="preserve">Jako poslední příklad, tentokrát týkající se výjimky pro porušení soukromí a osobnosti jednotlivce, bych uvedl případ </w:t>
      </w:r>
      <w:r w:rsidRPr="00A4192E">
        <w:rPr>
          <w:i/>
        </w:rPr>
        <w:t>Komise v. The Bavarian Lager Co. Ltd.</w:t>
      </w:r>
      <w:r>
        <w:rPr>
          <w:rStyle w:val="Znakapoznpodarou"/>
        </w:rPr>
        <w:footnoteReference w:id="57"/>
      </w:r>
      <w:r>
        <w:t xml:space="preserve"> V tomto případě </w:t>
      </w:r>
      <w:r w:rsidR="00DC20D8">
        <w:t>Soudní dvůr</w:t>
      </w:r>
      <w:r>
        <w:t xml:space="preserve"> zkoumal vztah mezi nařízením č. 1049/2001 a nařízením č. 45/2001 za účelem použití výjimky stanovené v čl. 4 odst. 1 písm. b) nařízení č. 1049/2001. </w:t>
      </w:r>
      <w:r w:rsidR="00DC20D8">
        <w:t>Soudní dvůr</w:t>
      </w:r>
      <w:r>
        <w:t xml:space="preserve"> rozhodl, že použití této výjimky musí být vázáno na čl. 8 nařízení č. 45/2001</w:t>
      </w:r>
      <w:r>
        <w:rPr>
          <w:rStyle w:val="Znakapoznpodarou"/>
        </w:rPr>
        <w:footnoteReference w:id="58"/>
      </w:r>
      <w:r>
        <w:t>. Příjemce osobních informací, v případě že orgán nedostal výslovný souhlas dotčených osob se zveřejněním jejich údajů, tedy musí, prokázat n</w:t>
      </w:r>
      <w:r w:rsidR="00D23A16">
        <w:t>ezbytnost předání údajů, přesto</w:t>
      </w:r>
      <w:r>
        <w:t xml:space="preserve">že je to v rozporu s obecným princem na co nejširší přístup k informacím. </w:t>
      </w:r>
      <w:r>
        <w:rPr>
          <w:rStyle w:val="Znakapoznpodarou"/>
        </w:rPr>
        <w:footnoteReference w:id="59"/>
      </w:r>
    </w:p>
    <w:p w:rsidR="00C809CE" w:rsidRDefault="00C809CE" w:rsidP="00C809CE">
      <w:pPr>
        <w:ind w:firstLine="708"/>
      </w:pPr>
      <w:r>
        <w:t xml:space="preserve">Tento přístup </w:t>
      </w:r>
      <w:r w:rsidR="00DC20D8">
        <w:t xml:space="preserve">však </w:t>
      </w:r>
      <w:r>
        <w:t xml:space="preserve">byl </w:t>
      </w:r>
      <w:r w:rsidR="00DC20D8">
        <w:t>Soudním dvorem (Evropským soudním dvorem)</w:t>
      </w:r>
      <w:r>
        <w:t xml:space="preserve"> v následujících rozhodnutích</w:t>
      </w:r>
      <w:r w:rsidR="00DC20D8">
        <w:t xml:space="preserve"> postupně změněn</w:t>
      </w:r>
      <w:r>
        <w:t xml:space="preserve">. V rozhodnutí </w:t>
      </w:r>
      <w:r w:rsidRPr="00A4192E">
        <w:rPr>
          <w:i/>
        </w:rPr>
        <w:t>Internationaler Hilfsfonds eV v. Komise</w:t>
      </w:r>
      <w:r>
        <w:rPr>
          <w:rStyle w:val="Znakapoznpodarou"/>
        </w:rPr>
        <w:footnoteReference w:id="60"/>
      </w:r>
      <w:r>
        <w:t xml:space="preserve"> šlo o případ, kdy nevládní organizace</w:t>
      </w:r>
      <w:r w:rsidRPr="004E2532">
        <w:t xml:space="preserve"> </w:t>
      </w:r>
      <w:r>
        <w:t xml:space="preserve">Internationaler Hilfsfonds eV působící v oblasti humanitární pomoci podepsala v roce 1998 s Komisí smlouvu (LIEN 97-2011) o organizování lékařské pomoci v Kazachstánu. Tato smlouva byla Komisí v roce 1999 jednostranně vypovězena. Internationaler Hilfsfonds eV se domáhala přístupu k dokumentům ze spisu týkající se uvedené smlouvy, což Komise odmítla s odkazem na výjimku uvedenou v čl. 4 odst. 1 písm. b). </w:t>
      </w:r>
      <w:r w:rsidR="006103F2">
        <w:t>S</w:t>
      </w:r>
      <w:r w:rsidR="00DC20D8">
        <w:t>oudní dvůr</w:t>
      </w:r>
      <w:r>
        <w:t xml:space="preserve"> judikoval: „</w:t>
      </w:r>
      <w:r w:rsidRPr="00DC4856">
        <w:rPr>
          <w:i/>
        </w:rPr>
        <w:t xml:space="preserve">je však třeba mít za to, že zpřístupnění osobních údajů týkajících se výlučně dotčeného žadatele o přístup nemůže být odepřeno z </w:t>
      </w:r>
      <w:r w:rsidRPr="00DC4856">
        <w:rPr>
          <w:i/>
        </w:rPr>
        <w:lastRenderedPageBreak/>
        <w:t>důvodu, že vede k porušení ochrany soukromí a osobnosti jednotlivce.</w:t>
      </w:r>
      <w:r>
        <w:t>“ (…) „</w:t>
      </w:r>
      <w:r w:rsidRPr="00DC4856">
        <w:rPr>
          <w:i/>
        </w:rPr>
        <w:t>Za takových okolností naproti tomu ochrana zájmu uvedeného v čl. 4 odst. 1 písm. b) nařízení č. 1049/2001, i když není nezbytná ve vztahu k žadateli o přístup, musí být zaručena v souladu s ustanoveními nařízení č. 45/2001 ve vztahu ke třetím osobám</w:t>
      </w:r>
      <w:r>
        <w:t xml:space="preserve">“ </w:t>
      </w:r>
    </w:p>
    <w:p w:rsidR="00C809CE" w:rsidRDefault="00C809CE" w:rsidP="00C809CE">
      <w:pPr>
        <w:ind w:firstLine="708"/>
      </w:pPr>
      <w:r w:rsidRPr="005455E7">
        <w:rPr>
          <w:b/>
        </w:rPr>
        <w:t>Druhou skupinou výjimek</w:t>
      </w:r>
      <w:r>
        <w:t xml:space="preserve"> přístupu k informacím tvoří výjimky uvedené v čl. 4 odst. 2 nařízení č. 1049/2001. Tyto výjimky se dají nazvat výjimkami relativními, neboť k uplatnění těchto výjimek je třeba vždy posoudit veřejný zájem na zpřístupnění informace </w:t>
      </w:r>
      <w:r w:rsidR="00D23A16">
        <w:t>proti veřejnému zájmu na ochranu</w:t>
      </w:r>
      <w:r>
        <w:t xml:space="preserve"> informací z vymezených oblastí. Nařízení č. 1367/2006 v čl. 6 uvádí speciální ustanovení k použití výjimek uvedených v čl. 4 odst. 2 nařízení č. 1049/2001 odrážce první a třetí ve vztahu k životnímu prostředí. </w:t>
      </w:r>
    </w:p>
    <w:p w:rsidR="00C809CE" w:rsidRDefault="00C809CE" w:rsidP="00C809CE">
      <w:pPr>
        <w:ind w:firstLine="708"/>
      </w:pPr>
      <w:r>
        <w:t>Pro výjimky týkající se ochrany obchodních zájmů fyzické nebo právnické osoby, včetně duševního vlastnictví (první odrážka) a ochrany cílů inspekce a auditu se za převažující veřejný zájem (třetí odrážka) považuje ochrana zpřístupnění informace, pokud se tato informace týká emisí</w:t>
      </w:r>
      <w:r>
        <w:rPr>
          <w:rStyle w:val="Znakapoznpodarou"/>
          <w:rFonts w:ascii="Warnock Pro" w:hAnsi="Warnock Pro" w:cs="Warnock Pro"/>
        </w:rPr>
        <w:footnoteReference w:id="61"/>
      </w:r>
      <w:r>
        <w:t xml:space="preserve"> do životního prostředí. </w:t>
      </w:r>
      <w:r w:rsidR="005251FE">
        <w:t>Soudní dvůr</w:t>
      </w:r>
      <w:r>
        <w:t xml:space="preserve"> v nedávném rozhodnutí </w:t>
      </w:r>
      <w:r w:rsidRPr="001E79EA">
        <w:rPr>
          <w:i/>
        </w:rPr>
        <w:t>Stichting Greenpeace Nederland v. Pesticide Action Network Europe (PAN Europe)</w:t>
      </w:r>
      <w:r>
        <w:rPr>
          <w:rStyle w:val="Znakapoznpodarou"/>
          <w:i/>
        </w:rPr>
        <w:footnoteReference w:id="62"/>
      </w:r>
      <w:r>
        <w:t xml:space="preserve"> dovodil, že pojem emise nelze aplikovat restriktivně, ale naopak při aplikaci tohoto pojmu musí mít orgán vždy na zřeteli též účel právní úpravy nařízení č. 1049/2001 a 1367/2006. </w:t>
      </w:r>
    </w:p>
    <w:p w:rsidR="00C809CE" w:rsidRDefault="00C809CE" w:rsidP="00C809CE">
      <w:pPr>
        <w:ind w:firstLine="708"/>
      </w:pPr>
      <w:r>
        <w:t xml:space="preserve">U výjimky týkající se veřejného zájmu na ochraně soudního řízení </w:t>
      </w:r>
      <w:r w:rsidR="005251FE">
        <w:t>Soudní dvůr</w:t>
      </w:r>
      <w:r>
        <w:t xml:space="preserve"> dovodil ve své judikatuře několik pravidel. </w:t>
      </w:r>
      <w:r w:rsidR="005251FE">
        <w:t>Soudní dvůr</w:t>
      </w:r>
      <w:r>
        <w:t xml:space="preserve"> připustil existenci vyvratitelné domněnky, že zpřístupnění informací o soudním řízení by narušilo průběh soudního řízení. Strana požadující informaci musí tudíž prokázat, že se na danou informaci domněnka nevztahuje. Tato domněnka však platí pouze do doby, než je řízení ukončeno soudním rozhodnutím. Po rozhodnutí již nedochází k zásahu do činnosti s</w:t>
      </w:r>
      <w:r w:rsidR="005251FE">
        <w:t>o</w:t>
      </w:r>
      <w:r>
        <w:t>udu, neboť tak je vydáním rozhodnutí ukončena. I zde je však připuštěna výjimka.</w:t>
      </w:r>
      <w:r w:rsidRPr="005140EA">
        <w:rPr>
          <w:rStyle w:val="Znakapoznpodarou"/>
        </w:rPr>
        <w:t xml:space="preserve"> </w:t>
      </w:r>
      <w:r>
        <w:rPr>
          <w:rStyle w:val="Znakapoznpodarou"/>
        </w:rPr>
        <w:footnoteReference w:id="63"/>
      </w:r>
      <w:r>
        <w:t xml:space="preserve"> </w:t>
      </w:r>
      <w:r w:rsidR="005251FE">
        <w:t>Soudní dvůr</w:t>
      </w:r>
      <w:r>
        <w:t xml:space="preserve"> připustil možnost, že žadatel může prokázat takový veřejný zájem, který však musí být zdůvodněn zásadami odlišnými od zásad na kterých je založeno nařízení č. 1049/2001 „</w:t>
      </w:r>
      <w:r w:rsidRPr="005140EA">
        <w:rPr>
          <w:i/>
        </w:rPr>
        <w:t>že</w:t>
      </w:r>
      <w:r>
        <w:t xml:space="preserve"> (dovolávání</w:t>
      </w:r>
      <w:r w:rsidR="005251FE">
        <w:t>m</w:t>
      </w:r>
      <w:r>
        <w:t xml:space="preserve"> se těchto </w:t>
      </w:r>
      <w:r>
        <w:lastRenderedPageBreak/>
        <w:t xml:space="preserve">jiných zásad) </w:t>
      </w:r>
      <w:r w:rsidRPr="009B76E3">
        <w:rPr>
          <w:i/>
        </w:rPr>
        <w:t>může</w:t>
      </w:r>
      <w:r>
        <w:t xml:space="preserve"> </w:t>
      </w:r>
      <w:r w:rsidRPr="005140EA">
        <w:rPr>
          <w:i/>
        </w:rPr>
        <w:t>s přihlédnutím ke zvláštním okolnostem projednávané věci vykazovat takovou naléhavost, že překračuje nezbytnost ochrany sporných dokumentů</w:t>
      </w:r>
      <w:r>
        <w:t>“</w:t>
      </w:r>
      <w:r>
        <w:rPr>
          <w:rStyle w:val="Znakapoznpodarou"/>
        </w:rPr>
        <w:footnoteReference w:id="64"/>
      </w:r>
    </w:p>
    <w:p w:rsidR="00C809CE" w:rsidRDefault="00C809CE" w:rsidP="00C809CE">
      <w:pPr>
        <w:ind w:firstLine="708"/>
      </w:pPr>
      <w:r>
        <w:rPr>
          <w:rFonts w:ascii="Warnock Pro" w:hAnsi="Warnock Pro" w:cs="Warnock Pro"/>
        </w:rPr>
        <w:t xml:space="preserve">Poslední výjimkou v rámci této skupiny je otázka zveřejňování dokumentů právního poradenství - tj. právní stanoviska, rozbory konkrétního problému pro dotčené orgány. </w:t>
      </w:r>
      <w:r w:rsidR="005251FE">
        <w:rPr>
          <w:rFonts w:ascii="Warnock Pro" w:hAnsi="Warnock Pro" w:cs="Warnock Pro"/>
        </w:rPr>
        <w:t xml:space="preserve">Soudní dvůr </w:t>
      </w:r>
      <w:r>
        <w:rPr>
          <w:rFonts w:ascii="Warnock Pro" w:hAnsi="Warnock Pro" w:cs="Warnock Pro"/>
        </w:rPr>
        <w:t xml:space="preserve">v případu </w:t>
      </w:r>
      <w:r w:rsidRPr="00E04A0D">
        <w:rPr>
          <w:i/>
        </w:rPr>
        <w:t>MyTravel Group plc v. Komise</w:t>
      </w:r>
      <w:r>
        <w:rPr>
          <w:rStyle w:val="Znakapoznpodarou"/>
        </w:rPr>
        <w:footnoteReference w:id="65"/>
      </w:r>
      <w:r>
        <w:t xml:space="preserve">, vyjádřil, stejně jako ve všech výše uvedených případech, nutnost zkoumat použití výjimky případ od případu. </w:t>
      </w:r>
      <w:r w:rsidR="005251FE">
        <w:t>Soudní dvůr</w:t>
      </w:r>
      <w:r>
        <w:t xml:space="preserve"> judikoval, že žádná administrativní činnost, zpracovávání právních analýz nevyjímaje, nespadá mimo rámec práva na informace zaručené nařízením č. 1049/2001. Proto </w:t>
      </w:r>
      <w:r w:rsidR="005251FE">
        <w:t>je orgán</w:t>
      </w:r>
      <w:r>
        <w:t xml:space="preserve"> vždy „</w:t>
      </w:r>
      <w:r w:rsidRPr="00E21544">
        <w:rPr>
          <w:i/>
        </w:rPr>
        <w:t>povinen vyložit, jakým způsobem by přístup k tomuto dokumentu mohl konkrétně a skutečně ohrozit zájem chráněný výjimkou.</w:t>
      </w:r>
      <w:r>
        <w:t>“</w:t>
      </w:r>
      <w:r>
        <w:rPr>
          <w:rStyle w:val="Znakapoznpodarou"/>
        </w:rPr>
        <w:footnoteReference w:id="66"/>
      </w:r>
    </w:p>
    <w:p w:rsidR="00C809CE" w:rsidRDefault="00C809CE" w:rsidP="00C809CE">
      <w:pPr>
        <w:ind w:firstLine="708"/>
      </w:pPr>
      <w:r>
        <w:t xml:space="preserve">Poslední výjimka, uvedená v čl. 4 odst. 3 nařízení č. 1049/2001, z přístupu k informacím se týká dokumentů, které orgán vypracoval nebo obdržel k vnitřnímu užití při rozhodovacím procesu, pokud by zveřejnění tohoto dokumentu vážně ohrožovalo rozhodovací proces tohoto orgánu. </w:t>
      </w:r>
    </w:p>
    <w:p w:rsidR="00C809CE" w:rsidRDefault="00C809CE" w:rsidP="00C809CE">
      <w:pPr>
        <w:ind w:firstLine="708"/>
      </w:pPr>
      <w:r>
        <w:t xml:space="preserve">Předtím, než je </w:t>
      </w:r>
      <w:r w:rsidR="00274F3D">
        <w:t>samotné rozhodnutí přijato</w:t>
      </w:r>
      <w:r w:rsidR="00EE55C3">
        <w:t>,</w:t>
      </w:r>
      <w:r>
        <w:t xml:space="preserve"> se tato výjimka vztahuje n</w:t>
      </w:r>
      <w:r w:rsidRPr="003739DD">
        <w:t>a všechny dokumenty vypracované orgánem pro jeho interní použití</w:t>
      </w:r>
      <w:r w:rsidR="00EE55C3">
        <w:t xml:space="preserve">. Dále se rovněž vztahuje na </w:t>
      </w:r>
      <w:r w:rsidRPr="003739DD">
        <w:t>dokumenty, které orgán obdržel, a které se týkají otázky, ohled</w:t>
      </w:r>
      <w:r>
        <w:t>ně níž ještě nevydal rozhodnutí, pokud neexistuje převažující veřejný zájem na jejich zpřístupnění.</w:t>
      </w:r>
      <w:r w:rsidRPr="003739DD">
        <w:t xml:space="preserve"> </w:t>
      </w:r>
      <w:r>
        <w:t>Aby mohlo dojít k odmítnutí poskytnutí informace, je současně třeba naplnit podmínku, vážného ohrožení rozhodovacího procesu a zároveň neexistence převažujícího veřejného zájmu.</w:t>
      </w:r>
      <w:r w:rsidRPr="003739DD">
        <w:t xml:space="preserve"> </w:t>
      </w:r>
    </w:p>
    <w:p w:rsidR="00C809CE" w:rsidRPr="00796F57" w:rsidRDefault="00C809CE" w:rsidP="00C809CE">
      <w:pPr>
        <w:ind w:firstLine="708"/>
      </w:pPr>
      <w:r>
        <w:t xml:space="preserve">Jiná situace nastává po přijetí rozhodnutí. </w:t>
      </w:r>
      <w:r w:rsidR="00274F3D">
        <w:t>Soudní dvůr</w:t>
      </w:r>
      <w:r>
        <w:t xml:space="preserve"> se v rámci případu </w:t>
      </w:r>
      <w:r w:rsidRPr="00E04A0D">
        <w:rPr>
          <w:i/>
        </w:rPr>
        <w:t>MyTravel Group plc v. Komise</w:t>
      </w:r>
      <w:r w:rsidR="003426C0">
        <w:t xml:space="preserve"> vyjádřil následovně</w:t>
      </w:r>
      <w:r w:rsidRPr="00863DF4">
        <w:t>:</w:t>
      </w:r>
      <w:r>
        <w:t xml:space="preserve"> „</w:t>
      </w:r>
      <w:r w:rsidRPr="00863DF4">
        <w:rPr>
          <w:i/>
        </w:rPr>
        <w:t>zákonodárce Unie měl za to, že jakmile je rozhodnutí přijato, jsou požadavky na ochranu rozhodovacího procesu méně naléhavé, takže zpřístupnění všech dokumentů, kromě těch, jež jsou zmiňovány v čl. 4 odst. 3 druhém pododstavci nařízení č. 1049/2001, nemůže nikdy ohrozit zmíněný proces a že nelze odepřít přístup k uvedenému dokumentu, i kdyby jeho zpřístupnění vážně ohrozilo tento proces, kdyby k němu došlo před přijetím dotčeného rozhodnutí.</w:t>
      </w:r>
      <w:r>
        <w:t xml:space="preserve">“ Ve stejném duchu se vyjádřila i ACCC v případu </w:t>
      </w:r>
      <w:r w:rsidRPr="006844C3">
        <w:rPr>
          <w:i/>
        </w:rPr>
        <w:t>Ukraine</w:t>
      </w:r>
      <w:r w:rsidRPr="00491B6F">
        <w:t xml:space="preserve"> </w:t>
      </w:r>
      <w:r w:rsidRPr="00AC6B79">
        <w:rPr>
          <w:i/>
        </w:rPr>
        <w:t xml:space="preserve">ACCC/C/2004/3 </w:t>
      </w:r>
      <w:r w:rsidRPr="00AC6B79">
        <w:t>a</w:t>
      </w:r>
      <w:r w:rsidRPr="00AC6B79">
        <w:rPr>
          <w:i/>
        </w:rPr>
        <w:t xml:space="preserve"> ACCC/S/2004/1</w:t>
      </w:r>
      <w:r>
        <w:t>.</w:t>
      </w:r>
    </w:p>
    <w:p w:rsidR="00C809CE" w:rsidRDefault="00C809CE" w:rsidP="00C809CE">
      <w:pPr>
        <w:ind w:firstLine="708"/>
      </w:pPr>
      <w:r>
        <w:lastRenderedPageBreak/>
        <w:t xml:space="preserve">Poněkud výbušná situace nastává ohledně zpřístupnění informací o postoji jednotlivých aktérů při legislativním procesu, který taktéž spadá pod režim nařízení č. 1049/2001. V případu </w:t>
      </w:r>
      <w:r w:rsidRPr="005B73FF">
        <w:rPr>
          <w:i/>
        </w:rPr>
        <w:t>Komise v. Acces Info Europe</w:t>
      </w:r>
      <w:r>
        <w:rPr>
          <w:rStyle w:val="Znakapoznpodarou"/>
        </w:rPr>
        <w:footnoteReference w:id="67"/>
      </w:r>
      <w:r>
        <w:t xml:space="preserve"> Komise namítala, že při vyjednávání o přijetí legislativního aktu musí mít zúčastněné strany „prostor k vyjednávání“, který by byl zpřístupněním dokumentů o tomto vyjednávání ohrožen. </w:t>
      </w:r>
      <w:r w:rsidR="003426C0">
        <w:t>Soudní dvůr</w:t>
      </w:r>
      <w:r>
        <w:t xml:space="preserve"> judikoval, že „</w:t>
      </w:r>
      <w:r w:rsidRPr="009953FA">
        <w:rPr>
          <w:i/>
        </w:rPr>
        <w:t>transparentnost v tomto ohledu přispívá k posílení demokracie tím, že občanům umožňuje kontrolovat všechny informace, které jsou základem pro přijetí legislativního aktu. Možnost, aby se občané seznámili s důvody vedoucími k zákonodárným činnostem, je totiž podmínkou toho, aby mohli účinně vykonávat svá demokratická práva.</w:t>
      </w:r>
      <w:r>
        <w:t xml:space="preserve">“ </w:t>
      </w:r>
      <w:r w:rsidR="003426C0">
        <w:t>Zveřejnění těchto informací</w:t>
      </w:r>
      <w:r>
        <w:t xml:space="preserve"> tudíž nemůže ohrozit legislativní proces. Stejné pravidlo se vztahuje i na jednání v jednotlivých výborech a pracovních skupinách. Vzhledem k</w:t>
      </w:r>
      <w:r w:rsidR="003426C0">
        <w:t xml:space="preserve"> </w:t>
      </w:r>
      <w:r>
        <w:t xml:space="preserve">více technickému rázu </w:t>
      </w:r>
      <w:r w:rsidR="003426C0">
        <w:t xml:space="preserve">jejich </w:t>
      </w:r>
      <w:r>
        <w:t xml:space="preserve">činnosti a též </w:t>
      </w:r>
      <w:r w:rsidR="00EE55C3">
        <w:t xml:space="preserve">díky </w:t>
      </w:r>
      <w:r>
        <w:t>skutečnosti, že se</w:t>
      </w:r>
      <w:r w:rsidR="00EE55C3">
        <w:t xml:space="preserve"> zde</w:t>
      </w:r>
      <w:r>
        <w:t xml:space="preserve"> „pouze“ připravují podklady pro rozhodnutí, však není situace tak výbušná. </w:t>
      </w:r>
    </w:p>
    <w:p w:rsidR="00C809CE" w:rsidRDefault="00C809CE" w:rsidP="00C809CE">
      <w:pPr>
        <w:ind w:firstLine="708"/>
      </w:pPr>
      <w:r>
        <w:t>Zde je třeba poznamenat, že unijní úprava dalece překračuje požadavky dané Úmluvou. Žádné ustanovení Úmluvy, stejně jako sdělení ACCC nepředvídá, že by neměly být zpřístupněny informace při průběhu legislativního procesu.</w:t>
      </w:r>
      <w:r>
        <w:rPr>
          <w:rStyle w:val="Znakapoznpodarou"/>
        </w:rPr>
        <w:footnoteReference w:id="68"/>
      </w:r>
      <w:r>
        <w:t xml:space="preserve"> V tomto vidím velkou výhodu, neboť veřejnost na základě informací o postojích jednotlivých aktérů legislativního procesu může využít k tlaku na jednotlivé aktéry. Tento tlak je však dle m</w:t>
      </w:r>
      <w:r w:rsidR="003426C0">
        <w:t>ého názoru v souladu s principy liberální demokracie, na kterých</w:t>
      </w:r>
      <w:r>
        <w:t xml:space="preserve"> je Evropská unie postavena.  </w:t>
      </w:r>
    </w:p>
    <w:p w:rsidR="00C809CE" w:rsidRDefault="00C809CE" w:rsidP="00C809CE">
      <w:pPr>
        <w:ind w:firstLine="708"/>
      </w:pPr>
      <w:r>
        <w:t>Poslední problematickou oblastí jsou informace, které orgán získal od třetí osoby případně členského státu nebo naopak kterou členský stát získal od orgánu.</w:t>
      </w:r>
    </w:p>
    <w:p w:rsidR="00C809CE" w:rsidRDefault="00C809CE" w:rsidP="00C809CE">
      <w:pPr>
        <w:ind w:firstLine="708"/>
      </w:pPr>
      <w:r>
        <w:t xml:space="preserve">V případě informací získaných od třetích osob je situace relativně jednoduchá. Orgán má v případě pochybností, zda má uplatnit výjimku v čl. 4 odst. 1 a 2 povinnost tyto osoby konzultovat. Rozhodovací pravomoc však stále leží na orgánu. </w:t>
      </w:r>
    </w:p>
    <w:p w:rsidR="00C809CE" w:rsidRDefault="00C809CE" w:rsidP="00C809CE">
      <w:pPr>
        <w:ind w:firstLine="708"/>
      </w:pPr>
      <w:r>
        <w:t xml:space="preserve">Pokud orgán získal informaci od členského státu je situace složitější. Členský stát si může vymínit, aby orgán informaci nezveřejňoval bez jeho předchozího souhlasu. Ve vztahu k informacím o životním prostředí se k této výjimce vztahuje případ </w:t>
      </w:r>
      <w:r w:rsidRPr="00E53D41">
        <w:rPr>
          <w:i/>
        </w:rPr>
        <w:t>IFAW v. Komise</w:t>
      </w:r>
      <w:r>
        <w:rPr>
          <w:rStyle w:val="Znakapoznpodarou"/>
          <w:i/>
        </w:rPr>
        <w:footnoteReference w:id="69"/>
      </w:r>
      <w:r>
        <w:t>. IFAW jako environmentální NGO nesouhlasila s realizací průmyslového objektu v chráněné lokalitě v Německu. Po</w:t>
      </w:r>
      <w:r w:rsidR="007637C7">
        <w:t>žádala Komisi, která daný případ</w:t>
      </w:r>
      <w:r>
        <w:t xml:space="preserve"> přezkoumávala</w:t>
      </w:r>
      <w:r w:rsidR="007637C7">
        <w:t>,</w:t>
      </w:r>
      <w:r>
        <w:t xml:space="preserve"> o přístup k několika </w:t>
      </w:r>
      <w:r>
        <w:lastRenderedPageBreak/>
        <w:t>dokumentům, které Komise v rámci přezkumu obdržela od německých orgánů. Komise požádala Německo o sou</w:t>
      </w:r>
      <w:r w:rsidR="00D75279">
        <w:t>hlas a to ho odmítlo udělit. Soudní dvůr</w:t>
      </w:r>
      <w:r>
        <w:t xml:space="preserve"> judikoval: „</w:t>
      </w:r>
      <w:r w:rsidRPr="001E56B9">
        <w:rPr>
          <w:i/>
        </w:rPr>
        <w:t xml:space="preserve">Předchozí souhlas členského státu, </w:t>
      </w:r>
      <w:r>
        <w:rPr>
          <w:i/>
        </w:rPr>
        <w:t xml:space="preserve">je </w:t>
      </w:r>
      <w:r w:rsidRPr="001E56B9">
        <w:rPr>
          <w:i/>
        </w:rPr>
        <w:t>třeba posuzovat nikoliv jako právo diskrečně uplatňovaného veta, nýbrž jako určitý druh požadavku souhlasného stanoviska, že neexistují důvody pro výjimku vycházející z odstavců 1 až 3 téhož článku</w:t>
      </w:r>
      <w:r>
        <w:rPr>
          <w:i/>
        </w:rPr>
        <w:t xml:space="preserve"> </w:t>
      </w:r>
      <w:r>
        <w:t>(čl. 4)</w:t>
      </w:r>
      <w:r w:rsidRPr="001E56B9">
        <w:rPr>
          <w:i/>
        </w:rPr>
        <w:t>. Rozhodovací proces zavedený za těchto podmínek v čl. 4 odst. 5 tak vyžaduje, aby se dotyčný orgán a členský stát držely hmotněprávních výjimek stanovených v uvedených odstavcích 1 až 3</w:t>
      </w:r>
      <w:r>
        <w:t>“ Platí tedy, že jak členský stát</w:t>
      </w:r>
      <w:r w:rsidR="007637C7">
        <w:t>, tak i</w:t>
      </w:r>
      <w:r>
        <w:t xml:space="preserve"> orgán mus</w:t>
      </w:r>
      <w:r w:rsidR="007637C7">
        <w:t>ejí</w:t>
      </w:r>
      <w:r>
        <w:t xml:space="preserve"> při posuzování žádosti spolupracovat a případné odmítnutí vždy obhájit na základě výjimek uvedených v čl. 4 odst. 1-3 nařízení č. 1049/2001.</w:t>
      </w:r>
    </w:p>
    <w:p w:rsidR="00C809CE" w:rsidRDefault="00C809CE" w:rsidP="00C809CE">
      <w:pPr>
        <w:ind w:firstLine="708"/>
      </w:pPr>
      <w:r>
        <w:t xml:space="preserve">Posledním případem je, když členský stát drží informaci poskytnutou orgánem. V tomto případě, pokud není jasné, zda informaci poskytnout či nikoli musí členský stát konzultovat orgán, od kterého informace pochází. Při přijetí rozhodnutí se však musí držet principů a cílů nařízení č. 1049/2001. Obdobně jako v předchozím případě, případné zamítnutí žádosti je třeba odůvodnit na základě výjimek v čl. 4 odst. 1-3 nařízení č. 1049/2001. Členské státy mají také možnost žádost orgánu postoupit a tím se vyhnout samotnému posuzování.  </w:t>
      </w:r>
    </w:p>
    <w:p w:rsidR="00C809CE" w:rsidRDefault="00C809CE" w:rsidP="0056504A">
      <w:pPr>
        <w:ind w:firstLine="708"/>
      </w:pPr>
      <w:r>
        <w:t>V následující tabulce</w:t>
      </w:r>
      <w:r>
        <w:rPr>
          <w:rStyle w:val="Znakapoznpodarou"/>
        </w:rPr>
        <w:footnoteReference w:id="70"/>
      </w:r>
      <w:r>
        <w:t xml:space="preserve"> uvádím procentuální zastoupení důvodů pro odmítnutí poskytnutí informace za roky 2011-2014. Jedná se pouze o </w:t>
      </w:r>
      <w:r w:rsidR="0056504A">
        <w:t>odmítnutí v prvním stupni.</w:t>
      </w:r>
    </w:p>
    <w:tbl>
      <w:tblPr>
        <w:tblStyle w:val="Mkatabulky"/>
        <w:tblW w:w="0" w:type="auto"/>
        <w:tblLook w:val="04A0" w:firstRow="1" w:lastRow="0" w:firstColumn="1" w:lastColumn="0" w:noHBand="0" w:noVBand="1"/>
      </w:tblPr>
      <w:tblGrid>
        <w:gridCol w:w="5353"/>
        <w:gridCol w:w="992"/>
        <w:gridCol w:w="993"/>
        <w:gridCol w:w="992"/>
        <w:gridCol w:w="957"/>
      </w:tblGrid>
      <w:tr w:rsidR="00453576" w:rsidTr="00453576">
        <w:tc>
          <w:tcPr>
            <w:tcW w:w="5353" w:type="dxa"/>
          </w:tcPr>
          <w:p w:rsidR="00B409DD" w:rsidRPr="00453576" w:rsidRDefault="00B409DD" w:rsidP="00453576">
            <w:pPr>
              <w:jc w:val="center"/>
              <w:rPr>
                <w:b/>
              </w:rPr>
            </w:pPr>
          </w:p>
        </w:tc>
        <w:tc>
          <w:tcPr>
            <w:tcW w:w="992" w:type="dxa"/>
          </w:tcPr>
          <w:p w:rsidR="00B409DD" w:rsidRPr="00453576" w:rsidRDefault="00B409DD" w:rsidP="00453576">
            <w:pPr>
              <w:jc w:val="center"/>
              <w:rPr>
                <w:b/>
              </w:rPr>
            </w:pPr>
            <w:r w:rsidRPr="00453576">
              <w:rPr>
                <w:b/>
              </w:rPr>
              <w:t>2011</w:t>
            </w:r>
          </w:p>
        </w:tc>
        <w:tc>
          <w:tcPr>
            <w:tcW w:w="993" w:type="dxa"/>
          </w:tcPr>
          <w:p w:rsidR="00B409DD" w:rsidRPr="00453576" w:rsidRDefault="00B409DD" w:rsidP="00453576">
            <w:pPr>
              <w:jc w:val="center"/>
              <w:rPr>
                <w:b/>
              </w:rPr>
            </w:pPr>
            <w:r w:rsidRPr="00453576">
              <w:rPr>
                <w:b/>
              </w:rPr>
              <w:t>2012</w:t>
            </w:r>
          </w:p>
        </w:tc>
        <w:tc>
          <w:tcPr>
            <w:tcW w:w="992" w:type="dxa"/>
          </w:tcPr>
          <w:p w:rsidR="00B409DD" w:rsidRPr="00453576" w:rsidRDefault="00B409DD" w:rsidP="00453576">
            <w:pPr>
              <w:jc w:val="center"/>
              <w:rPr>
                <w:b/>
              </w:rPr>
            </w:pPr>
            <w:r w:rsidRPr="00453576">
              <w:rPr>
                <w:b/>
              </w:rPr>
              <w:t>2013</w:t>
            </w:r>
          </w:p>
        </w:tc>
        <w:tc>
          <w:tcPr>
            <w:tcW w:w="957" w:type="dxa"/>
          </w:tcPr>
          <w:p w:rsidR="00B409DD" w:rsidRPr="00453576" w:rsidRDefault="00B409DD" w:rsidP="00453576">
            <w:pPr>
              <w:jc w:val="center"/>
              <w:rPr>
                <w:b/>
              </w:rPr>
            </w:pPr>
            <w:r w:rsidRPr="00453576">
              <w:rPr>
                <w:b/>
              </w:rPr>
              <w:t>2014</w:t>
            </w:r>
          </w:p>
        </w:tc>
      </w:tr>
      <w:tr w:rsidR="00453576" w:rsidTr="00453576">
        <w:tc>
          <w:tcPr>
            <w:tcW w:w="5353" w:type="dxa"/>
          </w:tcPr>
          <w:p w:rsidR="0056504A" w:rsidRDefault="0056504A" w:rsidP="0056504A">
            <w:pP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čl. 4 odst. 1 písm</w:t>
            </w:r>
            <w:r>
              <w:rPr>
                <w:rFonts w:ascii="Calibri" w:eastAsia="Times New Roman" w:hAnsi="Calibri" w:cs="Times New Roman"/>
                <w:color w:val="000000"/>
                <w:lang w:eastAsia="cs-CZ"/>
              </w:rPr>
              <w:t>.</w:t>
            </w:r>
            <w:r w:rsidRPr="00D73B9B">
              <w:rPr>
                <w:rFonts w:ascii="Calibri" w:eastAsia="Times New Roman" w:hAnsi="Calibri" w:cs="Times New Roman"/>
                <w:color w:val="000000"/>
                <w:lang w:eastAsia="cs-CZ"/>
              </w:rPr>
              <w:t xml:space="preserve"> a) první odrážka</w:t>
            </w:r>
          </w:p>
          <w:p w:rsidR="0056504A" w:rsidRPr="00B409DD" w:rsidRDefault="0056504A" w:rsidP="0056504A">
            <w:pPr>
              <w:pStyle w:val="Odstavecseseznamem"/>
              <w:numPr>
                <w:ilvl w:val="0"/>
                <w:numId w:val="12"/>
              </w:numPr>
            </w:pPr>
            <w:r>
              <w:t>Ochrana veřejné bezpečnosti</w:t>
            </w:r>
          </w:p>
        </w:tc>
        <w:tc>
          <w:tcPr>
            <w:tcW w:w="992"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2.4 %</w:t>
            </w:r>
          </w:p>
        </w:tc>
        <w:tc>
          <w:tcPr>
            <w:tcW w:w="993"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1.34 %</w:t>
            </w:r>
          </w:p>
        </w:tc>
        <w:tc>
          <w:tcPr>
            <w:tcW w:w="992"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1.53 %</w:t>
            </w:r>
          </w:p>
        </w:tc>
        <w:tc>
          <w:tcPr>
            <w:tcW w:w="957"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1.52 %</w:t>
            </w:r>
          </w:p>
        </w:tc>
      </w:tr>
      <w:tr w:rsidR="00453576" w:rsidTr="00453576">
        <w:tc>
          <w:tcPr>
            <w:tcW w:w="5353" w:type="dxa"/>
          </w:tcPr>
          <w:p w:rsidR="0056504A" w:rsidRDefault="0056504A" w:rsidP="0056504A">
            <w:pP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čl. 4 odst. 1 písm</w:t>
            </w:r>
            <w:r>
              <w:rPr>
                <w:rFonts w:ascii="Calibri" w:eastAsia="Times New Roman" w:hAnsi="Calibri" w:cs="Times New Roman"/>
                <w:color w:val="000000"/>
                <w:lang w:eastAsia="cs-CZ"/>
              </w:rPr>
              <w:t>.</w:t>
            </w:r>
            <w:r w:rsidRPr="00D73B9B">
              <w:rPr>
                <w:rFonts w:ascii="Calibri" w:eastAsia="Times New Roman" w:hAnsi="Calibri" w:cs="Times New Roman"/>
                <w:color w:val="000000"/>
                <w:lang w:eastAsia="cs-CZ"/>
              </w:rPr>
              <w:t xml:space="preserve"> a) druhá odrážka</w:t>
            </w:r>
          </w:p>
          <w:p w:rsidR="0056504A" w:rsidRPr="00B409DD" w:rsidRDefault="0056504A" w:rsidP="0056504A">
            <w:pPr>
              <w:pStyle w:val="Odstavecseseznamem"/>
              <w:numPr>
                <w:ilvl w:val="0"/>
                <w:numId w:val="12"/>
              </w:numPr>
            </w:pPr>
            <w:r>
              <w:t>Obranné a vojenské záležitosti</w:t>
            </w:r>
          </w:p>
        </w:tc>
        <w:tc>
          <w:tcPr>
            <w:tcW w:w="992"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0.39 %</w:t>
            </w:r>
          </w:p>
        </w:tc>
        <w:tc>
          <w:tcPr>
            <w:tcW w:w="993"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0.11 %</w:t>
            </w:r>
          </w:p>
        </w:tc>
        <w:tc>
          <w:tcPr>
            <w:tcW w:w="992"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0.26 %</w:t>
            </w:r>
          </w:p>
        </w:tc>
        <w:tc>
          <w:tcPr>
            <w:tcW w:w="957"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0%</w:t>
            </w:r>
          </w:p>
        </w:tc>
      </w:tr>
      <w:tr w:rsidR="00453576" w:rsidTr="00453576">
        <w:tc>
          <w:tcPr>
            <w:tcW w:w="5353" w:type="dxa"/>
          </w:tcPr>
          <w:p w:rsidR="0056504A" w:rsidRDefault="0056504A" w:rsidP="0056504A">
            <w:pP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čl. 4 odst. 1 písm</w:t>
            </w:r>
            <w:r>
              <w:rPr>
                <w:rFonts w:ascii="Calibri" w:eastAsia="Times New Roman" w:hAnsi="Calibri" w:cs="Times New Roman"/>
                <w:color w:val="000000"/>
                <w:lang w:eastAsia="cs-CZ"/>
              </w:rPr>
              <w:t>.</w:t>
            </w:r>
            <w:r w:rsidRPr="00D73B9B">
              <w:rPr>
                <w:rFonts w:ascii="Calibri" w:eastAsia="Times New Roman" w:hAnsi="Calibri" w:cs="Times New Roman"/>
                <w:color w:val="000000"/>
                <w:lang w:eastAsia="cs-CZ"/>
              </w:rPr>
              <w:t xml:space="preserve"> a) třetí odrážka</w:t>
            </w:r>
          </w:p>
          <w:p w:rsidR="0056504A" w:rsidRPr="00B409DD" w:rsidRDefault="0056504A" w:rsidP="0056504A">
            <w:pPr>
              <w:pStyle w:val="Odstavecseseznamem"/>
              <w:numPr>
                <w:ilvl w:val="0"/>
                <w:numId w:val="12"/>
              </w:numPr>
            </w:pPr>
            <w:r>
              <w:t>Mezinárodní vztahy</w:t>
            </w:r>
          </w:p>
        </w:tc>
        <w:tc>
          <w:tcPr>
            <w:tcW w:w="992"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12.02 %</w:t>
            </w:r>
          </w:p>
        </w:tc>
        <w:tc>
          <w:tcPr>
            <w:tcW w:w="993"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3.58 %</w:t>
            </w:r>
          </w:p>
        </w:tc>
        <w:tc>
          <w:tcPr>
            <w:tcW w:w="992"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6.19 %</w:t>
            </w:r>
          </w:p>
        </w:tc>
        <w:tc>
          <w:tcPr>
            <w:tcW w:w="957"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7.27 %</w:t>
            </w:r>
          </w:p>
        </w:tc>
      </w:tr>
      <w:tr w:rsidR="00453576" w:rsidTr="00453576">
        <w:tc>
          <w:tcPr>
            <w:tcW w:w="5353" w:type="dxa"/>
          </w:tcPr>
          <w:p w:rsidR="0056504A" w:rsidRDefault="0056504A" w:rsidP="0056504A">
            <w:pP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čl. 4 odst. 1 písm. a) čtvrtá odrážka</w:t>
            </w:r>
          </w:p>
          <w:p w:rsidR="0056504A" w:rsidRPr="00B409DD" w:rsidRDefault="0056504A" w:rsidP="0056504A">
            <w:pPr>
              <w:pStyle w:val="Odstavecseseznamem"/>
              <w:numPr>
                <w:ilvl w:val="0"/>
                <w:numId w:val="12"/>
              </w:numPr>
            </w:pPr>
            <w:r>
              <w:t>Finanční, měnová a hospodářská politika</w:t>
            </w:r>
          </w:p>
        </w:tc>
        <w:tc>
          <w:tcPr>
            <w:tcW w:w="992"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1.88 %</w:t>
            </w:r>
          </w:p>
        </w:tc>
        <w:tc>
          <w:tcPr>
            <w:tcW w:w="993"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1.4 %</w:t>
            </w:r>
          </w:p>
        </w:tc>
        <w:tc>
          <w:tcPr>
            <w:tcW w:w="992"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1.66 %</w:t>
            </w:r>
          </w:p>
        </w:tc>
        <w:tc>
          <w:tcPr>
            <w:tcW w:w="957"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1.57 %</w:t>
            </w:r>
          </w:p>
        </w:tc>
      </w:tr>
      <w:tr w:rsidR="00453576" w:rsidTr="00453576">
        <w:tc>
          <w:tcPr>
            <w:tcW w:w="5353" w:type="dxa"/>
          </w:tcPr>
          <w:p w:rsidR="0056504A" w:rsidRDefault="0056504A" w:rsidP="0056504A">
            <w:pP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čl. 4 odst. 1 písm</w:t>
            </w:r>
            <w:r>
              <w:rPr>
                <w:rFonts w:ascii="Calibri" w:eastAsia="Times New Roman" w:hAnsi="Calibri" w:cs="Times New Roman"/>
                <w:color w:val="000000"/>
                <w:lang w:eastAsia="cs-CZ"/>
              </w:rPr>
              <w:t>.</w:t>
            </w:r>
            <w:r w:rsidRPr="00D73B9B">
              <w:rPr>
                <w:rFonts w:ascii="Calibri" w:eastAsia="Times New Roman" w:hAnsi="Calibri" w:cs="Times New Roman"/>
                <w:color w:val="000000"/>
                <w:lang w:eastAsia="cs-CZ"/>
              </w:rPr>
              <w:t xml:space="preserve"> b)</w:t>
            </w:r>
          </w:p>
          <w:p w:rsidR="0056504A" w:rsidRPr="00B409DD" w:rsidRDefault="0056504A" w:rsidP="0056504A">
            <w:pPr>
              <w:pStyle w:val="Odstavecseseznamem"/>
              <w:numPr>
                <w:ilvl w:val="0"/>
                <w:numId w:val="12"/>
              </w:numPr>
            </w:pPr>
            <w:r>
              <w:t>Ochrana soukromí a osobnosti jednotlivce</w:t>
            </w:r>
          </w:p>
        </w:tc>
        <w:tc>
          <w:tcPr>
            <w:tcW w:w="992"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8.9 %</w:t>
            </w:r>
          </w:p>
        </w:tc>
        <w:tc>
          <w:tcPr>
            <w:tcW w:w="993"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14.65 %</w:t>
            </w:r>
          </w:p>
        </w:tc>
        <w:tc>
          <w:tcPr>
            <w:tcW w:w="992"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16.26 %</w:t>
            </w:r>
          </w:p>
        </w:tc>
        <w:tc>
          <w:tcPr>
            <w:tcW w:w="957"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21%</w:t>
            </w:r>
          </w:p>
        </w:tc>
      </w:tr>
      <w:tr w:rsidR="00453576" w:rsidTr="00453576">
        <w:tc>
          <w:tcPr>
            <w:tcW w:w="5353" w:type="dxa"/>
          </w:tcPr>
          <w:p w:rsidR="0056504A" w:rsidRDefault="0056504A" w:rsidP="0056504A">
            <w:pP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čl. 4 odst. 2 první odrážka</w:t>
            </w:r>
          </w:p>
          <w:p w:rsidR="0056504A" w:rsidRPr="00B409DD" w:rsidRDefault="0056504A" w:rsidP="0056504A">
            <w:pPr>
              <w:pStyle w:val="Odstavecseseznamem"/>
              <w:numPr>
                <w:ilvl w:val="0"/>
                <w:numId w:val="12"/>
              </w:numPr>
            </w:pPr>
            <w:r>
              <w:t>Ochrana obchodních zájmů</w:t>
            </w:r>
          </w:p>
        </w:tc>
        <w:tc>
          <w:tcPr>
            <w:tcW w:w="992"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16.83 %</w:t>
            </w:r>
          </w:p>
        </w:tc>
        <w:tc>
          <w:tcPr>
            <w:tcW w:w="993"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16.94 %</w:t>
            </w:r>
          </w:p>
        </w:tc>
        <w:tc>
          <w:tcPr>
            <w:tcW w:w="992"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16.14 %</w:t>
            </w:r>
          </w:p>
        </w:tc>
        <w:tc>
          <w:tcPr>
            <w:tcW w:w="957"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14.92 %</w:t>
            </w:r>
          </w:p>
        </w:tc>
      </w:tr>
      <w:tr w:rsidR="00453576" w:rsidTr="00453576">
        <w:tc>
          <w:tcPr>
            <w:tcW w:w="5353" w:type="dxa"/>
          </w:tcPr>
          <w:p w:rsidR="0056504A" w:rsidRDefault="0056504A" w:rsidP="0056504A">
            <w:pP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lastRenderedPageBreak/>
              <w:t>čl. 4 odst. 2 druhá odrážka</w:t>
            </w:r>
          </w:p>
          <w:p w:rsidR="0056504A" w:rsidRPr="00B409DD" w:rsidRDefault="0056504A" w:rsidP="0056504A">
            <w:pPr>
              <w:pStyle w:val="Odstavecseseznamem"/>
              <w:numPr>
                <w:ilvl w:val="0"/>
                <w:numId w:val="12"/>
              </w:numPr>
            </w:pPr>
            <w:r>
              <w:t>Ochrana soudního řízení a právního poradenství</w:t>
            </w:r>
          </w:p>
        </w:tc>
        <w:tc>
          <w:tcPr>
            <w:tcW w:w="992"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6.76 %</w:t>
            </w:r>
          </w:p>
        </w:tc>
        <w:tc>
          <w:tcPr>
            <w:tcW w:w="993"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9.84 %</w:t>
            </w:r>
          </w:p>
        </w:tc>
        <w:tc>
          <w:tcPr>
            <w:tcW w:w="992"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5.42 %</w:t>
            </w:r>
          </w:p>
        </w:tc>
        <w:tc>
          <w:tcPr>
            <w:tcW w:w="957"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4.94 %</w:t>
            </w:r>
          </w:p>
        </w:tc>
      </w:tr>
      <w:tr w:rsidR="0056504A" w:rsidTr="00453576">
        <w:tc>
          <w:tcPr>
            <w:tcW w:w="5353" w:type="dxa"/>
          </w:tcPr>
          <w:p w:rsidR="0056504A" w:rsidRDefault="0056504A" w:rsidP="0056504A">
            <w:pP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čl. 4 odst. 2 třetí odrážka</w:t>
            </w:r>
          </w:p>
          <w:p w:rsidR="0056504A" w:rsidRPr="00B333B8" w:rsidRDefault="0056504A" w:rsidP="0056504A">
            <w:pPr>
              <w:pStyle w:val="Odstavecseseznamem"/>
              <w:numPr>
                <w:ilvl w:val="0"/>
                <w:numId w:val="12"/>
              </w:numPr>
              <w:rPr>
                <w:rFonts w:ascii="Calibri" w:eastAsia="Times New Roman" w:hAnsi="Calibri" w:cs="Times New Roman"/>
                <w:color w:val="000000"/>
                <w:lang w:eastAsia="cs-CZ"/>
              </w:rPr>
            </w:pPr>
            <w:r>
              <w:rPr>
                <w:rFonts w:ascii="Calibri" w:eastAsia="Times New Roman" w:hAnsi="Calibri" w:cs="Times New Roman"/>
                <w:color w:val="000000"/>
                <w:lang w:eastAsia="cs-CZ"/>
              </w:rPr>
              <w:t>Ochrana cílů inspekce, vyšetřování, auditu</w:t>
            </w:r>
          </w:p>
        </w:tc>
        <w:tc>
          <w:tcPr>
            <w:tcW w:w="992"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21.9 %</w:t>
            </w:r>
          </w:p>
        </w:tc>
        <w:tc>
          <w:tcPr>
            <w:tcW w:w="993"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25.32 %</w:t>
            </w:r>
          </w:p>
        </w:tc>
        <w:tc>
          <w:tcPr>
            <w:tcW w:w="992"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23.6 %</w:t>
            </w:r>
          </w:p>
        </w:tc>
        <w:tc>
          <w:tcPr>
            <w:tcW w:w="957"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25.01 %</w:t>
            </w:r>
          </w:p>
        </w:tc>
      </w:tr>
      <w:tr w:rsidR="0056504A" w:rsidTr="00453576">
        <w:tc>
          <w:tcPr>
            <w:tcW w:w="5353" w:type="dxa"/>
          </w:tcPr>
          <w:p w:rsidR="0056504A" w:rsidRDefault="0056504A" w:rsidP="0056504A">
            <w:pP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čl. 4 odst. 3 první pododstavec</w:t>
            </w:r>
          </w:p>
          <w:p w:rsidR="0056504A" w:rsidRPr="00B333B8" w:rsidRDefault="0056504A" w:rsidP="0056504A">
            <w:pPr>
              <w:pStyle w:val="Odstavecseseznamem"/>
              <w:numPr>
                <w:ilvl w:val="0"/>
                <w:numId w:val="12"/>
              </w:numPr>
              <w:rPr>
                <w:rFonts w:ascii="Calibri" w:eastAsia="Times New Roman" w:hAnsi="Calibri" w:cs="Times New Roman"/>
                <w:color w:val="000000"/>
                <w:lang w:eastAsia="cs-CZ"/>
              </w:rPr>
            </w:pPr>
            <w:r>
              <w:rPr>
                <w:rFonts w:ascii="Calibri" w:eastAsia="Times New Roman" w:hAnsi="Calibri" w:cs="Times New Roman"/>
                <w:color w:val="000000"/>
                <w:lang w:eastAsia="cs-CZ"/>
              </w:rPr>
              <w:t>Dosud nepřijaté rozhodnutí ve věci</w:t>
            </w:r>
          </w:p>
        </w:tc>
        <w:tc>
          <w:tcPr>
            <w:tcW w:w="992"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17.15 %</w:t>
            </w:r>
          </w:p>
        </w:tc>
        <w:tc>
          <w:tcPr>
            <w:tcW w:w="993"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20.23 %</w:t>
            </w:r>
          </w:p>
        </w:tc>
        <w:tc>
          <w:tcPr>
            <w:tcW w:w="992"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20.6 %</w:t>
            </w:r>
          </w:p>
        </w:tc>
        <w:tc>
          <w:tcPr>
            <w:tcW w:w="957"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15.95 %</w:t>
            </w:r>
          </w:p>
        </w:tc>
      </w:tr>
      <w:tr w:rsidR="0056504A" w:rsidTr="00453576">
        <w:tc>
          <w:tcPr>
            <w:tcW w:w="5353" w:type="dxa"/>
          </w:tcPr>
          <w:p w:rsidR="0056504A" w:rsidRDefault="0056504A" w:rsidP="0056504A">
            <w:pP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čl. 4 odst. 3 druhý pododstavec</w:t>
            </w:r>
          </w:p>
          <w:p w:rsidR="0056504A" w:rsidRPr="00B333B8" w:rsidRDefault="0056504A" w:rsidP="0056504A">
            <w:pPr>
              <w:pStyle w:val="Odstavecseseznamem"/>
              <w:numPr>
                <w:ilvl w:val="0"/>
                <w:numId w:val="12"/>
              </w:numPr>
              <w:rPr>
                <w:rFonts w:ascii="Calibri" w:eastAsia="Times New Roman" w:hAnsi="Calibri" w:cs="Times New Roman"/>
                <w:color w:val="000000"/>
                <w:lang w:eastAsia="cs-CZ"/>
              </w:rPr>
            </w:pPr>
            <w:r>
              <w:rPr>
                <w:rFonts w:ascii="Calibri" w:eastAsia="Times New Roman" w:hAnsi="Calibri" w:cs="Times New Roman"/>
                <w:color w:val="000000"/>
                <w:lang w:eastAsia="cs-CZ"/>
              </w:rPr>
              <w:t>Stanoviska a konzultace i po vydání rozhodnutí, pokud by zveřejnění ohrozilo funkčnost orgánu</w:t>
            </w:r>
          </w:p>
        </w:tc>
        <w:tc>
          <w:tcPr>
            <w:tcW w:w="992"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8.58 %</w:t>
            </w:r>
          </w:p>
        </w:tc>
        <w:tc>
          <w:tcPr>
            <w:tcW w:w="993"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4.92 %</w:t>
            </w:r>
          </w:p>
        </w:tc>
        <w:tc>
          <w:tcPr>
            <w:tcW w:w="992"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6.51 %</w:t>
            </w:r>
          </w:p>
        </w:tc>
        <w:tc>
          <w:tcPr>
            <w:tcW w:w="957"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6.19 %</w:t>
            </w:r>
          </w:p>
        </w:tc>
      </w:tr>
      <w:tr w:rsidR="0056504A" w:rsidTr="00453576">
        <w:tc>
          <w:tcPr>
            <w:tcW w:w="5353" w:type="dxa"/>
          </w:tcPr>
          <w:p w:rsidR="0056504A" w:rsidRDefault="0056504A" w:rsidP="0056504A">
            <w:pP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čl. 4 odst. 5</w:t>
            </w:r>
          </w:p>
          <w:p w:rsidR="0056504A" w:rsidRPr="00A208CF" w:rsidRDefault="0056504A" w:rsidP="0056504A">
            <w:pPr>
              <w:pStyle w:val="Odstavecseseznamem"/>
              <w:numPr>
                <w:ilvl w:val="0"/>
                <w:numId w:val="12"/>
              </w:numPr>
              <w:rPr>
                <w:rFonts w:ascii="Calibri" w:eastAsia="Times New Roman" w:hAnsi="Calibri" w:cs="Times New Roman"/>
                <w:color w:val="000000"/>
                <w:lang w:eastAsia="cs-CZ"/>
              </w:rPr>
            </w:pPr>
            <w:r>
              <w:rPr>
                <w:rFonts w:ascii="Calibri" w:eastAsia="Times New Roman" w:hAnsi="Calibri" w:cs="Times New Roman"/>
                <w:color w:val="000000"/>
                <w:lang w:eastAsia="cs-CZ"/>
              </w:rPr>
              <w:t>Odepření členským státem nebo jiným autorem dokumentu</w:t>
            </w:r>
          </w:p>
        </w:tc>
        <w:tc>
          <w:tcPr>
            <w:tcW w:w="992"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3.18 %</w:t>
            </w:r>
          </w:p>
        </w:tc>
        <w:tc>
          <w:tcPr>
            <w:tcW w:w="993"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1.67 %</w:t>
            </w:r>
          </w:p>
        </w:tc>
        <w:tc>
          <w:tcPr>
            <w:tcW w:w="992"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1.85 %</w:t>
            </w:r>
          </w:p>
        </w:tc>
        <w:tc>
          <w:tcPr>
            <w:tcW w:w="957" w:type="dxa"/>
            <w:vAlign w:val="center"/>
          </w:tcPr>
          <w:p w:rsidR="0056504A" w:rsidRPr="00D73B9B" w:rsidRDefault="0056504A" w:rsidP="00453576">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1.63 %</w:t>
            </w:r>
          </w:p>
        </w:tc>
      </w:tr>
    </w:tbl>
    <w:p w:rsidR="00B409DD" w:rsidRDefault="00B409DD" w:rsidP="00C809CE">
      <w:pPr>
        <w:ind w:firstLine="708"/>
      </w:pPr>
    </w:p>
    <w:tbl>
      <w:tblPr>
        <w:tblStyle w:val="Mkatabulky"/>
        <w:tblW w:w="9322" w:type="dxa"/>
        <w:tblLook w:val="04A0" w:firstRow="1" w:lastRow="0" w:firstColumn="1" w:lastColumn="0" w:noHBand="0" w:noVBand="1"/>
      </w:tblPr>
      <w:tblGrid>
        <w:gridCol w:w="5353"/>
        <w:gridCol w:w="992"/>
        <w:gridCol w:w="993"/>
        <w:gridCol w:w="992"/>
        <w:gridCol w:w="992"/>
      </w:tblGrid>
      <w:tr w:rsidR="0056504A" w:rsidTr="00453576">
        <w:tc>
          <w:tcPr>
            <w:tcW w:w="5353" w:type="dxa"/>
          </w:tcPr>
          <w:p w:rsidR="0056504A" w:rsidRDefault="0056504A" w:rsidP="0056504A">
            <w:r>
              <w:t>Celkový počet odmítnutých žádostí</w:t>
            </w:r>
          </w:p>
        </w:tc>
        <w:tc>
          <w:tcPr>
            <w:tcW w:w="992" w:type="dxa"/>
            <w:vAlign w:val="center"/>
          </w:tcPr>
          <w:p w:rsidR="0056504A" w:rsidRPr="00D73B9B" w:rsidRDefault="0056504A" w:rsidP="0056504A">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737</w:t>
            </w:r>
          </w:p>
        </w:tc>
        <w:tc>
          <w:tcPr>
            <w:tcW w:w="993" w:type="dxa"/>
            <w:vAlign w:val="center"/>
          </w:tcPr>
          <w:p w:rsidR="0056504A" w:rsidRPr="00D73B9B" w:rsidRDefault="0056504A" w:rsidP="0056504A">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892</w:t>
            </w:r>
          </w:p>
        </w:tc>
        <w:tc>
          <w:tcPr>
            <w:tcW w:w="992" w:type="dxa"/>
            <w:vAlign w:val="center"/>
          </w:tcPr>
          <w:p w:rsidR="0056504A" w:rsidRPr="00D73B9B" w:rsidRDefault="0056504A" w:rsidP="0056504A">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866</w:t>
            </w:r>
          </w:p>
        </w:tc>
        <w:tc>
          <w:tcPr>
            <w:tcW w:w="992" w:type="dxa"/>
            <w:vAlign w:val="center"/>
          </w:tcPr>
          <w:p w:rsidR="0056504A" w:rsidRPr="00D73B9B" w:rsidRDefault="0056504A" w:rsidP="0056504A">
            <w:pPr>
              <w:spacing w:line="240" w:lineRule="auto"/>
              <w:jc w:val="center"/>
              <w:rPr>
                <w:rFonts w:ascii="Calibri" w:eastAsia="Times New Roman" w:hAnsi="Calibri" w:cs="Times New Roman"/>
                <w:color w:val="000000"/>
                <w:lang w:eastAsia="cs-CZ"/>
              </w:rPr>
            </w:pPr>
            <w:r w:rsidRPr="00D73B9B">
              <w:rPr>
                <w:rFonts w:ascii="Calibri" w:eastAsia="Times New Roman" w:hAnsi="Calibri" w:cs="Times New Roman"/>
                <w:color w:val="000000"/>
                <w:lang w:eastAsia="cs-CZ"/>
              </w:rPr>
              <w:t>688</w:t>
            </w:r>
          </w:p>
        </w:tc>
      </w:tr>
    </w:tbl>
    <w:p w:rsidR="0056504A" w:rsidRDefault="0056504A" w:rsidP="00C809CE">
      <w:pPr>
        <w:ind w:firstLine="708"/>
      </w:pPr>
    </w:p>
    <w:p w:rsidR="00C809CE" w:rsidRPr="00656D5C" w:rsidRDefault="00E8228E" w:rsidP="00C809CE">
      <w:pPr>
        <w:ind w:firstLine="708"/>
      </w:pPr>
      <w:r>
        <w:t>Z uvedené tabulky vyplý</w:t>
      </w:r>
      <w:r w:rsidR="00C809CE">
        <w:t>vá, že nejožehavějšími tématy jsou otázky informací z probíhajících procesů vyšetřován</w:t>
      </w:r>
      <w:r w:rsidR="00275DC8">
        <w:t>í inspekce a auditu a na ně</w:t>
      </w:r>
      <w:r w:rsidR="00C809CE">
        <w:t xml:space="preserve"> navazujících procesů, ochrany soukromí a osobnosti jednotlivce a ochrany obchodních zájmů. Zároveň, jak jsem nastínil v rozboru judikatury výše, s výjimkou ochrany osobnosti jednotlivce, u všech nejčastějších důvodů pro odmítnutí poskytnutí informace dochází k posunu ve prospěch širšího výkladu práva na poskytnutí informací.  </w:t>
      </w:r>
    </w:p>
    <w:p w:rsidR="009C03A0" w:rsidRPr="009C03A0" w:rsidRDefault="00683E22" w:rsidP="00F57525">
      <w:pPr>
        <w:pStyle w:val="Nadpis2"/>
        <w:numPr>
          <w:ilvl w:val="1"/>
          <w:numId w:val="3"/>
        </w:numPr>
      </w:pPr>
      <w:bookmarkStart w:id="19" w:name="_Toc446336408"/>
      <w:r>
        <w:t>Povinnost shromažďovat informace</w:t>
      </w:r>
      <w:r w:rsidR="00D3604D">
        <w:t xml:space="preserve"> a aktivně je poskytovat</w:t>
      </w:r>
      <w:bookmarkEnd w:id="19"/>
    </w:p>
    <w:p w:rsidR="005C778B" w:rsidRDefault="005C778B" w:rsidP="00F57525">
      <w:pPr>
        <w:pStyle w:val="Nadpis3"/>
        <w:numPr>
          <w:ilvl w:val="2"/>
          <w:numId w:val="3"/>
        </w:numPr>
        <w:ind w:left="0" w:firstLine="0"/>
      </w:pPr>
      <w:bookmarkStart w:id="20" w:name="_Toc446336409"/>
      <w:r>
        <w:t>Požadavky Aarhuské úmluvy</w:t>
      </w:r>
      <w:bookmarkEnd w:id="20"/>
    </w:p>
    <w:p w:rsidR="000A7B95" w:rsidRDefault="00D2400B" w:rsidP="006A595E">
      <w:pPr>
        <w:ind w:firstLine="708"/>
      </w:pPr>
      <w:r>
        <w:t xml:space="preserve">Shromažďování a aktivnímu poskytování informací se věnuje čl. 5 Úmluvy. </w:t>
      </w:r>
      <w:r w:rsidR="001C12F8">
        <w:t>Účelem tohoto způsobu poskytování informací je</w:t>
      </w:r>
      <w:r w:rsidR="006A595E">
        <w:t xml:space="preserve">, aby se určité informace dostaly k veřejnosti jinak, než </w:t>
      </w:r>
      <w:r w:rsidR="00096693">
        <w:t xml:space="preserve">jen </w:t>
      </w:r>
      <w:r w:rsidR="006A595E">
        <w:t>na žádost v rámci pasivního poskytování informací a proto je u nich předpokládán zvláštní, aktivní, způsob šíření.</w:t>
      </w:r>
      <w:r w:rsidR="00E51B0A">
        <w:rPr>
          <w:rStyle w:val="Znakapoznpodarou"/>
        </w:rPr>
        <w:footnoteReference w:id="71"/>
      </w:r>
      <w:r w:rsidR="006A595E">
        <w:t xml:space="preserve"> </w:t>
      </w:r>
      <w:r w:rsidR="008A6934">
        <w:t xml:space="preserve">Povinnosti zakotvené v čl. 5 Úmluvy lze tematicky shrnout do </w:t>
      </w:r>
      <w:r w:rsidR="000A7B95">
        <w:t>čtyřech</w:t>
      </w:r>
      <w:r w:rsidR="008A6934">
        <w:t xml:space="preserve"> skupin.</w:t>
      </w:r>
      <w:r w:rsidR="006A595E">
        <w:t xml:space="preserve"> </w:t>
      </w:r>
    </w:p>
    <w:p w:rsidR="00D07E71" w:rsidRDefault="00EA6781" w:rsidP="00693332">
      <w:pPr>
        <w:ind w:firstLine="708"/>
      </w:pPr>
      <w:r>
        <w:t>První</w:t>
      </w:r>
      <w:r w:rsidR="000A7B95">
        <w:t xml:space="preserve"> skupinu tvoří </w:t>
      </w:r>
      <w:r w:rsidR="00AF1F69">
        <w:t xml:space="preserve">v prvé řadě </w:t>
      </w:r>
      <w:r w:rsidR="000A7B95">
        <w:t xml:space="preserve">povinnost </w:t>
      </w:r>
      <w:r w:rsidR="00082D60">
        <w:t>stran zajistit, aby jejich</w:t>
      </w:r>
      <w:r w:rsidR="000A7B95">
        <w:t xml:space="preserve"> o</w:t>
      </w:r>
      <w:r w:rsidR="00E51B0A">
        <w:t xml:space="preserve">rgány veřejné správy </w:t>
      </w:r>
      <w:r w:rsidR="00082D60">
        <w:t>shromažďovaly a aktualizovaly</w:t>
      </w:r>
      <w:r w:rsidR="00E51B0A">
        <w:t xml:space="preserve"> informace o životním prostředí, které mají vztah </w:t>
      </w:r>
      <w:r w:rsidR="00E51B0A">
        <w:lastRenderedPageBreak/>
        <w:t>k jejich funkci.</w:t>
      </w:r>
      <w:r w:rsidR="00491B6F">
        <w:t xml:space="preserve"> Tyto informace pak mají orgány veřejné správy povinnost</w:t>
      </w:r>
      <w:r w:rsidR="00AF1F69">
        <w:t>, s výjimkami uvedenými v čl. 4 odst. 3 a 4 Úmluvy,</w:t>
      </w:r>
      <w:r w:rsidR="00491B6F">
        <w:t xml:space="preserve"> zpřístupnit veřejnosti. Není přitom důležité, komu informace původně pat</w:t>
      </w:r>
      <w:r w:rsidR="009318DD">
        <w:t>řily. Pokud např. developer dodá k žádosti</w:t>
      </w:r>
      <w:r w:rsidR="00491B6F">
        <w:t xml:space="preserve"> o rozhodnutí orgánu veřejné správy</w:t>
      </w:r>
      <w:r w:rsidR="009318DD">
        <w:t xml:space="preserve"> informace týkající se životního prostředí</w:t>
      </w:r>
      <w:r w:rsidR="00491B6F">
        <w:t>, tak tento orgán má povinnost informace poskytnuté developerem zpřístupnit.</w:t>
      </w:r>
      <w:r w:rsidR="00491B6F">
        <w:rPr>
          <w:rStyle w:val="Znakapoznpodarou"/>
        </w:rPr>
        <w:footnoteReference w:id="72"/>
      </w:r>
      <w:r w:rsidR="00491B6F">
        <w:t xml:space="preserve"> </w:t>
      </w:r>
      <w:r w:rsidR="00AF1F69">
        <w:t>S tímto je spojena</w:t>
      </w:r>
      <w:r w:rsidR="00E51B0A">
        <w:t xml:space="preserve"> povinnost zřídit systém</w:t>
      </w:r>
      <w:r w:rsidR="00D07E71">
        <w:t>,</w:t>
      </w:r>
      <w:r w:rsidR="00E51B0A">
        <w:t xml:space="preserve"> který bude orgánům veřejné správy poskytovat informace o stávajících nebo budoucích činnostech, které mohou významně ovlivnit životní prostředí. </w:t>
      </w:r>
      <w:r w:rsidR="00D07E71">
        <w:t>V případě ohrožení lidského zdraví nebo životního prostředí, mají orgány veřejné správy povinnost okamžitě poskytnout všechny informace</w:t>
      </w:r>
      <w:r w:rsidR="002B015E">
        <w:t>, shromážděné na základě výše uvedené činnosti, těm, kteří mohou být ohroženi</w:t>
      </w:r>
      <w:r w:rsidR="00D07E71">
        <w:t>, které mohou přispět k zabránění nebo zmírnění škod.</w:t>
      </w:r>
      <w:r w:rsidR="00504C63">
        <w:rPr>
          <w:rStyle w:val="Znakapoznpodarou"/>
        </w:rPr>
        <w:footnoteReference w:id="73"/>
      </w:r>
    </w:p>
    <w:p w:rsidR="00C97B9F" w:rsidRDefault="00D07E71" w:rsidP="00E13728">
      <w:pPr>
        <w:ind w:firstLine="708"/>
      </w:pPr>
      <w:r>
        <w:t xml:space="preserve"> </w:t>
      </w:r>
      <w:r w:rsidR="002B015E">
        <w:t>Další</w:t>
      </w:r>
      <w:r w:rsidR="00A20AB0">
        <w:t xml:space="preserve"> skupinou</w:t>
      </w:r>
      <w:r w:rsidR="002B015E">
        <w:t xml:space="preserve"> povinností je zajistit transparentní a otevřený přístup k informacím o životním prostředí</w:t>
      </w:r>
      <w:r w:rsidR="003F4682">
        <w:t>, výrobcích a je</w:t>
      </w:r>
      <w:r w:rsidR="00504C63">
        <w:t>jich vlivu na životní prostředí</w:t>
      </w:r>
      <w:r w:rsidR="002B015E">
        <w:t xml:space="preserve"> a dalším souvisejícím informacím</w:t>
      </w:r>
      <w:r w:rsidR="003F4682">
        <w:t xml:space="preserve"> jako jsou texty právních předpisů, politiky, plány, programy týkající se životního prostředí. Úmluva zároveň předpokládá postupnou elektronizaci informací a jejich zpřístupnění online. </w:t>
      </w:r>
      <w:r w:rsidR="007B285A">
        <w:t xml:space="preserve">Důležitou součástí zveřejňování informací je též poskytování informací o možnostech, kde se lze k výše uvedeným informacím dostat. </w:t>
      </w:r>
      <w:r w:rsidR="00C97B9F">
        <w:t>Bez toho aniž by bylo zřejmé, který orgán má které informace k dispozici a jakým způsobem je šíří není možné právo na informace o životním prostředí plně realizovat.</w:t>
      </w:r>
      <w:r w:rsidR="00A14F72">
        <w:rPr>
          <w:rStyle w:val="Znakapoznpodarou"/>
        </w:rPr>
        <w:footnoteReference w:id="74"/>
      </w:r>
    </w:p>
    <w:p w:rsidR="006A595E" w:rsidRDefault="00EA6781" w:rsidP="00693332">
      <w:pPr>
        <w:ind w:firstLine="708"/>
      </w:pPr>
      <w:r>
        <w:t>S výše uvedeným se pojí též povinnost stran zveřejňovat a rozšiřovat národní zprávy o stavu životního prostředí, jeho kvalitě a zátěžích v intervalech nepřesahujících 3-4 roky. Tyto zprávy mají být zveřejňovány též v elektronické formě</w:t>
      </w:r>
      <w:r w:rsidR="004A7988">
        <w:t>, jednoduše přístupné veřejnosti</w:t>
      </w:r>
      <w:r w:rsidR="00465224">
        <w:t>.</w:t>
      </w:r>
      <w:r w:rsidR="00465224">
        <w:rPr>
          <w:rStyle w:val="Znakapoznpodarou"/>
        </w:rPr>
        <w:footnoteReference w:id="75"/>
      </w:r>
      <w:r w:rsidR="00693332">
        <w:t xml:space="preserve">  </w:t>
      </w:r>
      <w:r w:rsidR="00E13728">
        <w:t>Cílem těchto ustanovení je vytvořit pro veře</w:t>
      </w:r>
      <w:r w:rsidR="00B34128">
        <w:t xml:space="preserve">jnost jasný obraz, jaké informace týkající se životního prostředí mají které orgány k dispozici, jak byly získány a jakým způsobem jsou šířeny či mohou být </w:t>
      </w:r>
      <w:r w:rsidR="00C97B9F">
        <w:t>od orgánů</w:t>
      </w:r>
      <w:r w:rsidR="000548DD">
        <w:t xml:space="preserve"> veřejné správy</w:t>
      </w:r>
      <w:r w:rsidR="00C97B9F">
        <w:t xml:space="preserve"> </w:t>
      </w:r>
      <w:r w:rsidR="00B34128">
        <w:t xml:space="preserve">získány. </w:t>
      </w:r>
    </w:p>
    <w:p w:rsidR="00C97B9F" w:rsidRDefault="00C97B9F" w:rsidP="00A044C4">
      <w:pPr>
        <w:ind w:firstLine="708"/>
      </w:pPr>
      <w:r>
        <w:t xml:space="preserve">Poslední </w:t>
      </w:r>
      <w:r w:rsidR="00B613DF">
        <w:t xml:space="preserve">skupinou </w:t>
      </w:r>
      <w:r w:rsidR="002B2FDE">
        <w:t>povinností, je zavés</w:t>
      </w:r>
      <w:r>
        <w:t xml:space="preserve">t u vybraných látek elektronický registr znečišťovatelů životního prostředí, který bude pravidelně aktualizován na základě hlášení a zpráv o znečistění. </w:t>
      </w:r>
      <w:r w:rsidR="003D4C23">
        <w:t xml:space="preserve">Mimo tyto povinně </w:t>
      </w:r>
      <w:r w:rsidR="0077115F">
        <w:t xml:space="preserve">evidované látky mají strany též povinnost motivovat ostatní provozovatele ovlivňující životní prostředí, aby informovali veřejnost o své činnosti a </w:t>
      </w:r>
      <w:r w:rsidR="0077115F">
        <w:lastRenderedPageBreak/>
        <w:t>svých produktech. K tomuto lze použít</w:t>
      </w:r>
      <w:r w:rsidR="00504C63">
        <w:t xml:space="preserve"> např.</w:t>
      </w:r>
      <w:r w:rsidR="00FF1FCC">
        <w:t xml:space="preserve"> systém eco-labeling a eco-auditing.</w:t>
      </w:r>
      <w:r w:rsidR="0077115F">
        <w:t xml:space="preserve"> </w:t>
      </w:r>
      <w:r w:rsidR="005C778B">
        <w:t>Smyslem je poskytnout spotřebiteli informace o možnosti volby ekologicky šetrnějšího produktu.</w:t>
      </w:r>
      <w:r w:rsidR="00A14F72">
        <w:rPr>
          <w:rStyle w:val="Znakapoznpodarou"/>
        </w:rPr>
        <w:footnoteReference w:id="76"/>
      </w:r>
      <w:r>
        <w:t xml:space="preserve"> </w:t>
      </w:r>
    </w:p>
    <w:p w:rsidR="006A595E" w:rsidRDefault="00723B6A" w:rsidP="00F57525">
      <w:pPr>
        <w:pStyle w:val="Nadpis3"/>
        <w:numPr>
          <w:ilvl w:val="2"/>
          <w:numId w:val="3"/>
        </w:numPr>
        <w:ind w:left="0" w:firstLine="0"/>
      </w:pPr>
      <w:bookmarkStart w:id="21" w:name="_Toc446336410"/>
      <w:r>
        <w:t xml:space="preserve">Unijní </w:t>
      </w:r>
      <w:r w:rsidR="00730D68">
        <w:t xml:space="preserve">právní </w:t>
      </w:r>
      <w:r>
        <w:t>úprava</w:t>
      </w:r>
      <w:bookmarkEnd w:id="21"/>
    </w:p>
    <w:p w:rsidR="00565DB5" w:rsidRDefault="005421F7" w:rsidP="000F3DDE">
      <w:pPr>
        <w:ind w:firstLine="708"/>
      </w:pPr>
      <w:r>
        <w:t>Shromažďováním a šířením informací o životním prostředí se zabývá n</w:t>
      </w:r>
      <w:r w:rsidR="003F7031">
        <w:t xml:space="preserve">ařízení č. 1367/2006 </w:t>
      </w:r>
      <w:r w:rsidR="00444E71">
        <w:t>v článku 4.</w:t>
      </w:r>
      <w:r w:rsidR="003C0BF5">
        <w:t xml:space="preserve"> Jak již bylo zmíněno v kapitole </w:t>
      </w:r>
      <w:r w:rsidR="002121F1">
        <w:t>2.1.3 preferovaným způsobem aktivního šíření informací v rámci unijních orgánů</w:t>
      </w:r>
      <w:r w:rsidR="005C2BF6">
        <w:t>,</w:t>
      </w:r>
      <w:r w:rsidR="002121F1">
        <w:t xml:space="preserve"> je </w:t>
      </w:r>
      <w:r w:rsidR="005C2BF6">
        <w:t>pomocí telekomunikační či elektronické technologie</w:t>
      </w:r>
      <w:r w:rsidR="002121F1">
        <w:t xml:space="preserve">. </w:t>
      </w:r>
      <w:r w:rsidR="005C2BF6">
        <w:t xml:space="preserve">Za tímto účelem nařízení č. 1367/2006 odkazuje na čl. 11 a 12 nařízení č. 1049/2001 (elektronické rejstříky dokumentů a přímý přístup k dokumentům v elektronické </w:t>
      </w:r>
      <w:r w:rsidR="005C5F74">
        <w:t xml:space="preserve">formě) a rozšiřuje působnost těchto článků na všechny orgány a subjekty Evropské unie. </w:t>
      </w:r>
      <w:r w:rsidR="00004C83">
        <w:t>Zárove</w:t>
      </w:r>
      <w:r w:rsidR="001B4D4F">
        <w:t>ň jsou některé činnosti v rámci shromažďování a šíření</w:t>
      </w:r>
      <w:r w:rsidR="008E7171">
        <w:t xml:space="preserve"> informací o životním prostředí realizovány na úrovni členských států (ať už ústřední nebo lokální) v souladu se zásadou</w:t>
      </w:r>
      <w:r w:rsidR="001B4D4F">
        <w:t xml:space="preserve"> </w:t>
      </w:r>
      <w:r w:rsidR="008E7171">
        <w:t>subsidiarity</w:t>
      </w:r>
      <w:r w:rsidR="008E7171">
        <w:rPr>
          <w:rStyle w:val="Znakapoznpodarou"/>
        </w:rPr>
        <w:footnoteReference w:id="77"/>
      </w:r>
      <w:r w:rsidR="008E7171">
        <w:t>.</w:t>
      </w:r>
      <w:r w:rsidR="003C0BF5">
        <w:t xml:space="preserve"> </w:t>
      </w:r>
      <w:r w:rsidR="008B383C">
        <w:t xml:space="preserve">Tyto činnosti jsou zakotveny ve směrnici 2003/4/ES. Pro větší přehlednost v následující tabulce uvedu srovnání požadavků Úmluvy, tak jak jsem je popsal výše s unijní právní úpravou. </w:t>
      </w:r>
    </w:p>
    <w:tbl>
      <w:tblPr>
        <w:tblStyle w:val="Mkatabulky"/>
        <w:tblW w:w="0" w:type="auto"/>
        <w:tblLook w:val="04A0" w:firstRow="1" w:lastRow="0" w:firstColumn="1" w:lastColumn="0" w:noHBand="0" w:noVBand="1"/>
      </w:tblPr>
      <w:tblGrid>
        <w:gridCol w:w="4605"/>
        <w:gridCol w:w="4606"/>
      </w:tblGrid>
      <w:tr w:rsidR="000F3DDE" w:rsidTr="000F3DDE">
        <w:tc>
          <w:tcPr>
            <w:tcW w:w="4605" w:type="dxa"/>
          </w:tcPr>
          <w:p w:rsidR="000F3DDE" w:rsidRPr="00175D92" w:rsidRDefault="000F3DDE" w:rsidP="00175D92">
            <w:pPr>
              <w:jc w:val="center"/>
              <w:rPr>
                <w:b/>
              </w:rPr>
            </w:pPr>
            <w:r w:rsidRPr="00175D92">
              <w:rPr>
                <w:b/>
              </w:rPr>
              <w:t>Aarhuská úmluva</w:t>
            </w:r>
          </w:p>
        </w:tc>
        <w:tc>
          <w:tcPr>
            <w:tcW w:w="4606" w:type="dxa"/>
          </w:tcPr>
          <w:p w:rsidR="000F3DDE" w:rsidRPr="00175D92" w:rsidRDefault="000F3DDE" w:rsidP="00175D92">
            <w:pPr>
              <w:jc w:val="center"/>
              <w:rPr>
                <w:b/>
              </w:rPr>
            </w:pPr>
            <w:r w:rsidRPr="00175D92">
              <w:rPr>
                <w:b/>
              </w:rPr>
              <w:t>Unijní úprava</w:t>
            </w:r>
          </w:p>
        </w:tc>
      </w:tr>
      <w:tr w:rsidR="000F3DDE" w:rsidTr="00B0174C">
        <w:tc>
          <w:tcPr>
            <w:tcW w:w="4605" w:type="dxa"/>
            <w:vAlign w:val="bottom"/>
          </w:tcPr>
          <w:p w:rsidR="000F3DDE" w:rsidRDefault="000F3DDE" w:rsidP="00376A19">
            <w:pPr>
              <w:spacing w:line="240" w:lineRule="auto"/>
              <w:jc w:val="left"/>
              <w:rPr>
                <w:rFonts w:ascii="Calibri" w:eastAsia="Times New Roman" w:hAnsi="Calibri" w:cs="Times New Roman"/>
                <w:color w:val="000000"/>
                <w:lang w:eastAsia="cs-CZ"/>
              </w:rPr>
            </w:pPr>
            <w:r w:rsidRPr="000368FF">
              <w:rPr>
                <w:rFonts w:ascii="Calibri" w:eastAsia="Times New Roman" w:hAnsi="Calibri" w:cs="Times New Roman"/>
                <w:color w:val="000000"/>
                <w:lang w:eastAsia="cs-CZ"/>
              </w:rPr>
              <w:t>čl. 5 odst. 1 písm.</w:t>
            </w:r>
            <w:r>
              <w:rPr>
                <w:rFonts w:ascii="Calibri" w:eastAsia="Times New Roman" w:hAnsi="Calibri" w:cs="Times New Roman"/>
                <w:color w:val="000000"/>
                <w:lang w:eastAsia="cs-CZ"/>
              </w:rPr>
              <w:t xml:space="preserve"> a) a b) </w:t>
            </w:r>
          </w:p>
          <w:p w:rsidR="000F3DDE" w:rsidRDefault="000F3DDE" w:rsidP="00376A19">
            <w:pPr>
              <w:pStyle w:val="Odstavecseseznamem"/>
              <w:numPr>
                <w:ilvl w:val="0"/>
                <w:numId w:val="11"/>
              </w:numPr>
              <w:spacing w:line="240" w:lineRule="auto"/>
              <w:jc w:val="left"/>
              <w:rPr>
                <w:rFonts w:ascii="Calibri" w:eastAsia="Times New Roman" w:hAnsi="Calibri" w:cs="Times New Roman"/>
                <w:color w:val="000000"/>
                <w:lang w:eastAsia="cs-CZ"/>
              </w:rPr>
            </w:pPr>
            <w:r w:rsidRPr="000F3DDE">
              <w:rPr>
                <w:rFonts w:ascii="Calibri" w:eastAsia="Times New Roman" w:hAnsi="Calibri" w:cs="Times New Roman"/>
                <w:color w:val="000000"/>
                <w:lang w:eastAsia="cs-CZ"/>
              </w:rPr>
              <w:t>povinnost orgánů mít informace</w:t>
            </w:r>
          </w:p>
          <w:p w:rsidR="000F3DDE" w:rsidRPr="000F3DDE" w:rsidRDefault="000F3DDE" w:rsidP="00376A19">
            <w:pPr>
              <w:pStyle w:val="Odstavecseseznamem"/>
              <w:numPr>
                <w:ilvl w:val="0"/>
                <w:numId w:val="11"/>
              </w:numPr>
              <w:spacing w:line="240" w:lineRule="auto"/>
              <w:jc w:val="left"/>
              <w:rPr>
                <w:rFonts w:ascii="Calibri" w:eastAsia="Times New Roman" w:hAnsi="Calibri" w:cs="Times New Roman"/>
                <w:color w:val="000000"/>
                <w:lang w:eastAsia="cs-CZ"/>
              </w:rPr>
            </w:pPr>
            <w:r w:rsidRPr="000F3DDE">
              <w:rPr>
                <w:rFonts w:ascii="Calibri" w:eastAsia="Times New Roman" w:hAnsi="Calibri" w:cs="Times New Roman"/>
                <w:color w:val="000000"/>
                <w:lang w:eastAsia="cs-CZ"/>
              </w:rPr>
              <w:t>zajištění informačních toků</w:t>
            </w:r>
          </w:p>
        </w:tc>
        <w:tc>
          <w:tcPr>
            <w:tcW w:w="4606" w:type="dxa"/>
          </w:tcPr>
          <w:p w:rsidR="000F3DDE" w:rsidRDefault="00376A19" w:rsidP="00376A19">
            <w:pPr>
              <w:spacing w:line="240" w:lineRule="auto"/>
              <w:rPr>
                <w:rFonts w:ascii="Calibri" w:eastAsia="Times New Roman" w:hAnsi="Calibri" w:cs="Times New Roman"/>
                <w:color w:val="000000"/>
                <w:lang w:eastAsia="cs-CZ"/>
              </w:rPr>
            </w:pPr>
            <w:r w:rsidRPr="000368FF">
              <w:rPr>
                <w:rFonts w:ascii="Calibri" w:eastAsia="Times New Roman" w:hAnsi="Calibri" w:cs="Times New Roman"/>
                <w:color w:val="000000"/>
                <w:lang w:eastAsia="cs-CZ"/>
              </w:rPr>
              <w:t>nařízení č. 1367/2006 čl. 4 odst. 1</w:t>
            </w:r>
          </w:p>
          <w:p w:rsidR="00376A19" w:rsidRDefault="00376A19" w:rsidP="00376A19">
            <w:pPr>
              <w:spacing w:line="240" w:lineRule="auto"/>
            </w:pPr>
            <w:r w:rsidRPr="000368FF">
              <w:rPr>
                <w:rFonts w:ascii="Calibri" w:eastAsia="Times New Roman" w:hAnsi="Calibri" w:cs="Times New Roman"/>
                <w:color w:val="000000"/>
                <w:lang w:eastAsia="cs-CZ"/>
              </w:rPr>
              <w:t>nařízení  EP a Rady č. 401/2009 čl. 2 a 4</w:t>
            </w:r>
          </w:p>
        </w:tc>
      </w:tr>
      <w:tr w:rsidR="000F3DDE" w:rsidTr="00B0174C">
        <w:tc>
          <w:tcPr>
            <w:tcW w:w="4605" w:type="dxa"/>
            <w:vAlign w:val="bottom"/>
          </w:tcPr>
          <w:p w:rsidR="000F3DDE" w:rsidRDefault="000F3DDE" w:rsidP="00376A19">
            <w:pPr>
              <w:spacing w:line="240" w:lineRule="auto"/>
              <w:jc w:val="left"/>
              <w:rPr>
                <w:rFonts w:ascii="Calibri" w:eastAsia="Times New Roman" w:hAnsi="Calibri" w:cs="Times New Roman"/>
                <w:color w:val="000000"/>
                <w:lang w:eastAsia="cs-CZ"/>
              </w:rPr>
            </w:pPr>
            <w:r>
              <w:rPr>
                <w:rFonts w:ascii="Calibri" w:eastAsia="Times New Roman" w:hAnsi="Calibri" w:cs="Times New Roman"/>
                <w:color w:val="000000"/>
                <w:lang w:eastAsia="cs-CZ"/>
              </w:rPr>
              <w:t>čl. 5 o</w:t>
            </w:r>
            <w:r w:rsidRPr="000368FF">
              <w:rPr>
                <w:rFonts w:ascii="Calibri" w:eastAsia="Times New Roman" w:hAnsi="Calibri" w:cs="Times New Roman"/>
                <w:color w:val="000000"/>
                <w:lang w:eastAsia="cs-CZ"/>
              </w:rPr>
              <w:t xml:space="preserve">dst. 1 písm. c) </w:t>
            </w:r>
          </w:p>
          <w:p w:rsidR="000F3DDE" w:rsidRPr="000F3DDE" w:rsidRDefault="000F3DDE" w:rsidP="00376A19">
            <w:pPr>
              <w:pStyle w:val="Odstavecseseznamem"/>
              <w:numPr>
                <w:ilvl w:val="0"/>
                <w:numId w:val="10"/>
              </w:numPr>
              <w:spacing w:line="240" w:lineRule="auto"/>
              <w:jc w:val="left"/>
              <w:rPr>
                <w:rFonts w:ascii="Calibri" w:eastAsia="Times New Roman" w:hAnsi="Calibri" w:cs="Times New Roman"/>
                <w:color w:val="000000"/>
                <w:lang w:eastAsia="cs-CZ"/>
              </w:rPr>
            </w:pPr>
            <w:r w:rsidRPr="000F3DDE">
              <w:rPr>
                <w:rFonts w:ascii="Calibri" w:eastAsia="Times New Roman" w:hAnsi="Calibri" w:cs="Times New Roman"/>
                <w:color w:val="000000"/>
                <w:lang w:eastAsia="cs-CZ"/>
              </w:rPr>
              <w:t>rozšiřování informací při ohrožení</w:t>
            </w:r>
          </w:p>
        </w:tc>
        <w:tc>
          <w:tcPr>
            <w:tcW w:w="4606" w:type="dxa"/>
          </w:tcPr>
          <w:p w:rsidR="00376A19" w:rsidRPr="00376A19" w:rsidRDefault="00376A19" w:rsidP="00376A19">
            <w:pPr>
              <w:spacing w:line="240" w:lineRule="auto"/>
              <w:rPr>
                <w:rFonts w:ascii="Calibri" w:eastAsia="Times New Roman" w:hAnsi="Calibri" w:cs="Times New Roman"/>
                <w:color w:val="000000"/>
                <w:lang w:eastAsia="cs-CZ"/>
              </w:rPr>
            </w:pPr>
            <w:r w:rsidRPr="000368FF">
              <w:rPr>
                <w:rFonts w:ascii="Calibri" w:eastAsia="Times New Roman" w:hAnsi="Calibri" w:cs="Times New Roman"/>
                <w:color w:val="000000"/>
                <w:lang w:eastAsia="cs-CZ"/>
              </w:rPr>
              <w:t>nařízení č. 1367/2006 čl. 8, směrnice č. 2003/4/ES</w:t>
            </w:r>
            <w:r>
              <w:rPr>
                <w:rFonts w:ascii="Calibri" w:eastAsia="Times New Roman" w:hAnsi="Calibri" w:cs="Times New Roman"/>
                <w:color w:val="000000"/>
                <w:lang w:eastAsia="cs-CZ"/>
              </w:rPr>
              <w:t xml:space="preserve"> čl. 7 odst. 4</w:t>
            </w:r>
          </w:p>
        </w:tc>
      </w:tr>
      <w:tr w:rsidR="000F3DDE" w:rsidTr="000F3DDE">
        <w:tc>
          <w:tcPr>
            <w:tcW w:w="4605" w:type="dxa"/>
          </w:tcPr>
          <w:p w:rsidR="000F3DDE" w:rsidRDefault="000F3DDE" w:rsidP="00376A19">
            <w:pPr>
              <w:spacing w:line="240" w:lineRule="auto"/>
              <w:rPr>
                <w:rFonts w:ascii="Calibri" w:eastAsia="Times New Roman" w:hAnsi="Calibri" w:cs="Times New Roman"/>
                <w:color w:val="000000"/>
                <w:lang w:eastAsia="cs-CZ"/>
              </w:rPr>
            </w:pPr>
            <w:r w:rsidRPr="000368FF">
              <w:rPr>
                <w:rFonts w:ascii="Calibri" w:eastAsia="Times New Roman" w:hAnsi="Calibri" w:cs="Times New Roman"/>
                <w:color w:val="000000"/>
                <w:lang w:eastAsia="cs-CZ"/>
              </w:rPr>
              <w:t xml:space="preserve">čl. 5 odst. 2 </w:t>
            </w:r>
          </w:p>
          <w:p w:rsidR="000F3DDE" w:rsidRPr="000F3DDE" w:rsidRDefault="000F3DDE" w:rsidP="00376A19">
            <w:pPr>
              <w:pStyle w:val="Odstavecseseznamem"/>
              <w:numPr>
                <w:ilvl w:val="0"/>
                <w:numId w:val="10"/>
              </w:numPr>
              <w:spacing w:line="240" w:lineRule="auto"/>
              <w:rPr>
                <w:rFonts w:ascii="Calibri" w:eastAsia="Times New Roman" w:hAnsi="Calibri" w:cs="Times New Roman"/>
                <w:color w:val="000000"/>
                <w:lang w:eastAsia="cs-CZ"/>
              </w:rPr>
            </w:pPr>
            <w:r w:rsidRPr="000F3DDE">
              <w:rPr>
                <w:rFonts w:ascii="Calibri" w:eastAsia="Times New Roman" w:hAnsi="Calibri" w:cs="Times New Roman"/>
                <w:color w:val="000000"/>
                <w:lang w:eastAsia="cs-CZ"/>
              </w:rPr>
              <w:t>zpřístupnění informací transparentním způsobem</w:t>
            </w:r>
          </w:p>
        </w:tc>
        <w:tc>
          <w:tcPr>
            <w:tcW w:w="4606" w:type="dxa"/>
          </w:tcPr>
          <w:p w:rsidR="000F3DDE" w:rsidRDefault="00376A19" w:rsidP="00376A19">
            <w:pPr>
              <w:spacing w:line="240" w:lineRule="auto"/>
              <w:rPr>
                <w:rFonts w:ascii="Calibri" w:eastAsia="Times New Roman" w:hAnsi="Calibri" w:cs="Times New Roman"/>
                <w:color w:val="000000"/>
                <w:lang w:eastAsia="cs-CZ"/>
              </w:rPr>
            </w:pPr>
            <w:r w:rsidRPr="000368FF">
              <w:rPr>
                <w:rFonts w:ascii="Calibri" w:eastAsia="Times New Roman" w:hAnsi="Calibri" w:cs="Times New Roman"/>
                <w:color w:val="000000"/>
                <w:lang w:eastAsia="cs-CZ"/>
              </w:rPr>
              <w:t>nařízení č. 1367/2006 čl. 1 odst. 2</w:t>
            </w:r>
          </w:p>
          <w:p w:rsidR="00376A19" w:rsidRDefault="00376A19" w:rsidP="00376A19">
            <w:pPr>
              <w:spacing w:line="240" w:lineRule="auto"/>
              <w:rPr>
                <w:rFonts w:ascii="Calibri" w:eastAsia="Times New Roman" w:hAnsi="Calibri" w:cs="Times New Roman"/>
                <w:color w:val="000000"/>
                <w:lang w:eastAsia="cs-CZ"/>
              </w:rPr>
            </w:pPr>
            <w:r w:rsidRPr="000368FF">
              <w:rPr>
                <w:rFonts w:ascii="Calibri" w:eastAsia="Times New Roman" w:hAnsi="Calibri" w:cs="Times New Roman"/>
                <w:color w:val="000000"/>
                <w:lang w:eastAsia="cs-CZ"/>
              </w:rPr>
              <w:t>nařízení č. 1049/2001 čl. 11</w:t>
            </w:r>
          </w:p>
          <w:p w:rsidR="00376A19" w:rsidRDefault="00376A19" w:rsidP="00376A19">
            <w:pPr>
              <w:spacing w:line="240" w:lineRule="auto"/>
            </w:pPr>
            <w:r w:rsidRPr="000368FF">
              <w:rPr>
                <w:rFonts w:ascii="Calibri" w:eastAsia="Times New Roman" w:hAnsi="Calibri" w:cs="Times New Roman"/>
                <w:color w:val="000000"/>
                <w:lang w:eastAsia="cs-CZ"/>
              </w:rPr>
              <w:t>směrnice č. 2003/4/ES čl. 3 odst. 5</w:t>
            </w:r>
          </w:p>
        </w:tc>
      </w:tr>
      <w:tr w:rsidR="000F3DDE" w:rsidTr="000F3DDE">
        <w:tc>
          <w:tcPr>
            <w:tcW w:w="4605" w:type="dxa"/>
          </w:tcPr>
          <w:p w:rsidR="000F3DDE" w:rsidRDefault="000F3DDE" w:rsidP="00376A19">
            <w:pPr>
              <w:spacing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čl. 5 odst. 3</w:t>
            </w:r>
          </w:p>
          <w:p w:rsidR="000F3DDE" w:rsidRPr="000F3DDE" w:rsidRDefault="000F3DDE" w:rsidP="00376A19">
            <w:pPr>
              <w:pStyle w:val="Odstavecseseznamem"/>
              <w:numPr>
                <w:ilvl w:val="0"/>
                <w:numId w:val="10"/>
              </w:numPr>
              <w:spacing w:line="240" w:lineRule="auto"/>
            </w:pPr>
            <w:r w:rsidRPr="000F3DDE">
              <w:rPr>
                <w:rFonts w:ascii="Calibri" w:eastAsia="Times New Roman" w:hAnsi="Calibri" w:cs="Times New Roman"/>
                <w:color w:val="000000"/>
                <w:lang w:eastAsia="cs-CZ"/>
              </w:rPr>
              <w:t>elektronizace informací o životním prostředí</w:t>
            </w:r>
          </w:p>
        </w:tc>
        <w:tc>
          <w:tcPr>
            <w:tcW w:w="4606" w:type="dxa"/>
          </w:tcPr>
          <w:p w:rsidR="000F3DDE" w:rsidRDefault="00376A19" w:rsidP="00376A19">
            <w:pPr>
              <w:spacing w:line="240" w:lineRule="auto"/>
              <w:rPr>
                <w:rFonts w:ascii="Calibri" w:eastAsia="Times New Roman" w:hAnsi="Calibri" w:cs="Times New Roman"/>
                <w:color w:val="000000"/>
                <w:lang w:eastAsia="cs-CZ"/>
              </w:rPr>
            </w:pPr>
            <w:r w:rsidRPr="000368FF">
              <w:rPr>
                <w:rFonts w:ascii="Calibri" w:eastAsia="Times New Roman" w:hAnsi="Calibri" w:cs="Times New Roman"/>
                <w:color w:val="000000"/>
                <w:lang w:eastAsia="cs-CZ"/>
              </w:rPr>
              <w:t>nařízení č. 1367/2001 čl. 4</w:t>
            </w:r>
          </w:p>
          <w:p w:rsidR="00376A19" w:rsidRDefault="00376A19" w:rsidP="00376A19">
            <w:pPr>
              <w:spacing w:line="240" w:lineRule="auto"/>
            </w:pPr>
            <w:r w:rsidRPr="000368FF">
              <w:rPr>
                <w:rFonts w:ascii="Calibri" w:eastAsia="Times New Roman" w:hAnsi="Calibri" w:cs="Times New Roman"/>
                <w:color w:val="000000"/>
                <w:lang w:eastAsia="cs-CZ"/>
              </w:rPr>
              <w:t>směrnice č. 2003/4/ES čl. 7 odst. 1 a 2</w:t>
            </w:r>
          </w:p>
        </w:tc>
      </w:tr>
      <w:tr w:rsidR="000F3DDE" w:rsidTr="000F3DDE">
        <w:tc>
          <w:tcPr>
            <w:tcW w:w="4605" w:type="dxa"/>
          </w:tcPr>
          <w:p w:rsidR="000F3DDE" w:rsidRDefault="000F3DDE" w:rsidP="00376A19">
            <w:pPr>
              <w:spacing w:line="240" w:lineRule="auto"/>
              <w:rPr>
                <w:rFonts w:ascii="Calibri" w:eastAsia="Times New Roman" w:hAnsi="Calibri" w:cs="Times New Roman"/>
                <w:color w:val="000000"/>
                <w:lang w:eastAsia="cs-CZ"/>
              </w:rPr>
            </w:pPr>
            <w:r w:rsidRPr="000368FF">
              <w:rPr>
                <w:rFonts w:ascii="Calibri" w:eastAsia="Times New Roman" w:hAnsi="Calibri" w:cs="Times New Roman"/>
                <w:color w:val="000000"/>
                <w:lang w:eastAsia="cs-CZ"/>
              </w:rPr>
              <w:t>čl. 5 ods</w:t>
            </w:r>
            <w:r>
              <w:rPr>
                <w:rFonts w:ascii="Calibri" w:eastAsia="Times New Roman" w:hAnsi="Calibri" w:cs="Times New Roman"/>
                <w:color w:val="000000"/>
                <w:lang w:eastAsia="cs-CZ"/>
              </w:rPr>
              <w:t xml:space="preserve">t. 4 </w:t>
            </w:r>
          </w:p>
          <w:p w:rsidR="000F3DDE" w:rsidRPr="000F3DDE" w:rsidRDefault="000F3DDE" w:rsidP="00376A19">
            <w:pPr>
              <w:pStyle w:val="Odstavecseseznamem"/>
              <w:numPr>
                <w:ilvl w:val="0"/>
                <w:numId w:val="10"/>
              </w:numPr>
              <w:spacing w:line="240" w:lineRule="auto"/>
            </w:pPr>
            <w:r w:rsidRPr="000F3DDE">
              <w:rPr>
                <w:rFonts w:ascii="Calibri" w:eastAsia="Times New Roman" w:hAnsi="Calibri" w:cs="Times New Roman"/>
                <w:color w:val="000000"/>
                <w:lang w:eastAsia="cs-CZ"/>
              </w:rPr>
              <w:t>pravidelné zprávy o stavu životního prostředí</w:t>
            </w:r>
          </w:p>
        </w:tc>
        <w:tc>
          <w:tcPr>
            <w:tcW w:w="4606" w:type="dxa"/>
          </w:tcPr>
          <w:p w:rsidR="000F3DDE" w:rsidRDefault="00376A19" w:rsidP="00376A19">
            <w:pPr>
              <w:spacing w:line="240" w:lineRule="auto"/>
              <w:rPr>
                <w:rFonts w:ascii="Calibri" w:eastAsia="Times New Roman" w:hAnsi="Calibri" w:cs="Times New Roman"/>
                <w:color w:val="000000"/>
                <w:lang w:eastAsia="cs-CZ"/>
              </w:rPr>
            </w:pPr>
            <w:r w:rsidRPr="000368FF">
              <w:rPr>
                <w:rFonts w:ascii="Calibri" w:eastAsia="Times New Roman" w:hAnsi="Calibri" w:cs="Times New Roman"/>
                <w:color w:val="000000"/>
                <w:lang w:eastAsia="cs-CZ"/>
              </w:rPr>
              <w:t>nařízení č. 1367/2006 čl. 4 odst. 4</w:t>
            </w:r>
          </w:p>
          <w:p w:rsidR="00376A19" w:rsidRDefault="00376A19" w:rsidP="00376A19">
            <w:pPr>
              <w:spacing w:line="240" w:lineRule="auto"/>
            </w:pPr>
            <w:r w:rsidRPr="000368FF">
              <w:rPr>
                <w:rFonts w:ascii="Calibri" w:eastAsia="Times New Roman" w:hAnsi="Calibri" w:cs="Times New Roman"/>
                <w:color w:val="000000"/>
                <w:lang w:eastAsia="cs-CZ"/>
              </w:rPr>
              <w:t>směrnice č. 2003/4/ES čl. 7 odst. 3</w:t>
            </w:r>
          </w:p>
        </w:tc>
      </w:tr>
      <w:tr w:rsidR="000F3DDE" w:rsidTr="000F3DDE">
        <w:tc>
          <w:tcPr>
            <w:tcW w:w="4605" w:type="dxa"/>
          </w:tcPr>
          <w:p w:rsidR="000F3DDE" w:rsidRDefault="000F3DDE" w:rsidP="00376A19">
            <w:pPr>
              <w:spacing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čl. 5 odst. 5 </w:t>
            </w:r>
          </w:p>
          <w:p w:rsidR="000F3DDE" w:rsidRPr="000F3DDE" w:rsidRDefault="000F3DDE" w:rsidP="00376A19">
            <w:pPr>
              <w:pStyle w:val="Odstavecseseznamem"/>
              <w:numPr>
                <w:ilvl w:val="0"/>
                <w:numId w:val="10"/>
              </w:numPr>
              <w:spacing w:line="240" w:lineRule="auto"/>
            </w:pPr>
            <w:r w:rsidRPr="000F3DDE">
              <w:rPr>
                <w:rFonts w:ascii="Calibri" w:eastAsia="Times New Roman" w:hAnsi="Calibri" w:cs="Times New Roman"/>
                <w:color w:val="000000"/>
                <w:lang w:eastAsia="cs-CZ"/>
              </w:rPr>
              <w:t>šíření právních předpisů a politických dokumentů</w:t>
            </w:r>
          </w:p>
        </w:tc>
        <w:tc>
          <w:tcPr>
            <w:tcW w:w="4606" w:type="dxa"/>
          </w:tcPr>
          <w:p w:rsidR="000F3DDE" w:rsidRDefault="00376A19" w:rsidP="00376A19">
            <w:pPr>
              <w:spacing w:line="240" w:lineRule="auto"/>
              <w:rPr>
                <w:rFonts w:ascii="Calibri" w:eastAsia="Times New Roman" w:hAnsi="Calibri" w:cs="Times New Roman"/>
                <w:color w:val="000000"/>
                <w:lang w:eastAsia="cs-CZ"/>
              </w:rPr>
            </w:pPr>
            <w:r w:rsidRPr="000368FF">
              <w:rPr>
                <w:rFonts w:ascii="Calibri" w:eastAsia="Times New Roman" w:hAnsi="Calibri" w:cs="Times New Roman"/>
                <w:color w:val="000000"/>
                <w:lang w:eastAsia="cs-CZ"/>
              </w:rPr>
              <w:t>nařízení č. 1367/2006 čl. 4 odst. 2</w:t>
            </w:r>
          </w:p>
          <w:p w:rsidR="00376A19" w:rsidRDefault="00376A19" w:rsidP="00376A19">
            <w:pPr>
              <w:spacing w:line="240" w:lineRule="auto"/>
            </w:pPr>
            <w:r w:rsidRPr="000368FF">
              <w:rPr>
                <w:rFonts w:ascii="Calibri" w:eastAsia="Times New Roman" w:hAnsi="Calibri" w:cs="Times New Roman"/>
                <w:color w:val="000000"/>
                <w:lang w:eastAsia="cs-CZ"/>
              </w:rPr>
              <w:t>směrnice č. 1367/2006 čl. 7 odst. 2</w:t>
            </w:r>
          </w:p>
        </w:tc>
      </w:tr>
      <w:tr w:rsidR="000F3DDE" w:rsidTr="000F3DDE">
        <w:tc>
          <w:tcPr>
            <w:tcW w:w="4605" w:type="dxa"/>
          </w:tcPr>
          <w:p w:rsidR="000F3DDE" w:rsidRDefault="000F3DDE" w:rsidP="00376A19">
            <w:pPr>
              <w:spacing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čl. 5 odst. 6 </w:t>
            </w:r>
          </w:p>
          <w:p w:rsidR="000F3DDE" w:rsidRPr="000F3DDE" w:rsidRDefault="000F3DDE" w:rsidP="00376A19">
            <w:pPr>
              <w:pStyle w:val="Odstavecseseznamem"/>
              <w:numPr>
                <w:ilvl w:val="0"/>
                <w:numId w:val="10"/>
              </w:numPr>
              <w:spacing w:line="240" w:lineRule="auto"/>
            </w:pPr>
            <w:r w:rsidRPr="000F3DDE">
              <w:rPr>
                <w:rFonts w:ascii="Calibri" w:eastAsia="Times New Roman" w:hAnsi="Calibri" w:cs="Times New Roman"/>
                <w:color w:val="000000"/>
                <w:lang w:eastAsia="cs-CZ"/>
              </w:rPr>
              <w:t>ecolabeling</w:t>
            </w:r>
          </w:p>
        </w:tc>
        <w:tc>
          <w:tcPr>
            <w:tcW w:w="4606" w:type="dxa"/>
          </w:tcPr>
          <w:p w:rsidR="000F3DDE" w:rsidRDefault="00376A19" w:rsidP="00376A19">
            <w:pPr>
              <w:spacing w:line="240" w:lineRule="auto"/>
              <w:rPr>
                <w:rFonts w:ascii="Calibri" w:eastAsia="Times New Roman" w:hAnsi="Calibri" w:cs="Times New Roman"/>
                <w:color w:val="000000"/>
                <w:lang w:eastAsia="cs-CZ"/>
              </w:rPr>
            </w:pPr>
            <w:r w:rsidRPr="000368FF">
              <w:rPr>
                <w:rFonts w:ascii="Calibri" w:eastAsia="Times New Roman" w:hAnsi="Calibri" w:cs="Times New Roman"/>
                <w:color w:val="000000"/>
                <w:lang w:eastAsia="cs-CZ"/>
              </w:rPr>
              <w:t>nařízení EP a Rady č. 66/2009</w:t>
            </w:r>
          </w:p>
          <w:p w:rsidR="00376A19" w:rsidRDefault="00376A19" w:rsidP="00376A19">
            <w:pPr>
              <w:spacing w:line="240" w:lineRule="auto"/>
            </w:pPr>
            <w:r w:rsidRPr="000368FF">
              <w:rPr>
                <w:rFonts w:ascii="Calibri" w:eastAsia="Times New Roman" w:hAnsi="Calibri" w:cs="Times New Roman"/>
                <w:color w:val="000000"/>
                <w:lang w:eastAsia="cs-CZ"/>
              </w:rPr>
              <w:t>nařízení EP a Rady č. 1221/2008</w:t>
            </w:r>
          </w:p>
        </w:tc>
      </w:tr>
      <w:tr w:rsidR="000F3DDE" w:rsidTr="000F3DDE">
        <w:tc>
          <w:tcPr>
            <w:tcW w:w="4605" w:type="dxa"/>
          </w:tcPr>
          <w:p w:rsidR="00376A19" w:rsidRDefault="00376A19" w:rsidP="00376A19">
            <w:pPr>
              <w:spacing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 xml:space="preserve">čl. 5 odst. 7 </w:t>
            </w:r>
          </w:p>
          <w:p w:rsidR="000F3DDE" w:rsidRPr="00376A19" w:rsidRDefault="00376A19" w:rsidP="00376A19">
            <w:pPr>
              <w:pStyle w:val="Odstavecseseznamem"/>
              <w:numPr>
                <w:ilvl w:val="0"/>
                <w:numId w:val="10"/>
              </w:numPr>
              <w:spacing w:line="240" w:lineRule="auto"/>
              <w:rPr>
                <w:rFonts w:ascii="Calibri" w:eastAsia="Times New Roman" w:hAnsi="Calibri" w:cs="Times New Roman"/>
                <w:color w:val="000000"/>
                <w:lang w:eastAsia="cs-CZ"/>
              </w:rPr>
            </w:pPr>
            <w:r w:rsidRPr="00376A19">
              <w:rPr>
                <w:rFonts w:ascii="Calibri" w:eastAsia="Times New Roman" w:hAnsi="Calibri" w:cs="Times New Roman"/>
                <w:color w:val="000000"/>
                <w:lang w:eastAsia="cs-CZ"/>
              </w:rPr>
              <w:t>zveřejňování dalších relevantních informací</w:t>
            </w:r>
          </w:p>
        </w:tc>
        <w:tc>
          <w:tcPr>
            <w:tcW w:w="4606" w:type="dxa"/>
          </w:tcPr>
          <w:p w:rsidR="000F3DDE" w:rsidRDefault="00376A19" w:rsidP="00376A19">
            <w:pPr>
              <w:spacing w:line="240" w:lineRule="auto"/>
              <w:rPr>
                <w:rFonts w:ascii="Calibri" w:eastAsia="Times New Roman" w:hAnsi="Calibri" w:cs="Times New Roman"/>
                <w:color w:val="000000"/>
                <w:lang w:eastAsia="cs-CZ"/>
              </w:rPr>
            </w:pPr>
            <w:r w:rsidRPr="000368FF">
              <w:rPr>
                <w:rFonts w:ascii="Calibri" w:eastAsia="Times New Roman" w:hAnsi="Calibri" w:cs="Times New Roman"/>
                <w:color w:val="000000"/>
                <w:lang w:eastAsia="cs-CZ"/>
              </w:rPr>
              <w:t>nařízení č. 1049/2001 čl. 12 odst. 3</w:t>
            </w:r>
          </w:p>
          <w:p w:rsidR="00376A19" w:rsidRDefault="00376A19" w:rsidP="00376A19">
            <w:pPr>
              <w:spacing w:line="240" w:lineRule="auto"/>
              <w:rPr>
                <w:rFonts w:ascii="Calibri" w:eastAsia="Times New Roman" w:hAnsi="Calibri" w:cs="Times New Roman"/>
                <w:color w:val="000000"/>
                <w:lang w:eastAsia="cs-CZ"/>
              </w:rPr>
            </w:pPr>
            <w:r w:rsidRPr="000368FF">
              <w:rPr>
                <w:rFonts w:ascii="Calibri" w:eastAsia="Times New Roman" w:hAnsi="Calibri" w:cs="Times New Roman"/>
                <w:color w:val="000000"/>
                <w:lang w:eastAsia="cs-CZ"/>
              </w:rPr>
              <w:t>nařízení č. 1367/2006 čl. 5 odst. 2 a čl. 1 odst. 2</w:t>
            </w:r>
          </w:p>
          <w:p w:rsidR="00376A19" w:rsidRDefault="00376A19" w:rsidP="00376A19">
            <w:pPr>
              <w:spacing w:line="240" w:lineRule="auto"/>
            </w:pPr>
          </w:p>
        </w:tc>
      </w:tr>
      <w:tr w:rsidR="00376A19" w:rsidTr="00B0174C">
        <w:tc>
          <w:tcPr>
            <w:tcW w:w="4605" w:type="dxa"/>
            <w:vAlign w:val="bottom"/>
          </w:tcPr>
          <w:p w:rsidR="00376A19" w:rsidRDefault="00376A19" w:rsidP="00376A19">
            <w:pPr>
              <w:spacing w:line="240" w:lineRule="auto"/>
              <w:jc w:val="left"/>
              <w:rPr>
                <w:rFonts w:ascii="Calibri" w:eastAsia="Times New Roman" w:hAnsi="Calibri" w:cs="Times New Roman"/>
                <w:color w:val="000000"/>
                <w:lang w:eastAsia="cs-CZ"/>
              </w:rPr>
            </w:pPr>
            <w:r>
              <w:rPr>
                <w:rFonts w:ascii="Calibri" w:eastAsia="Times New Roman" w:hAnsi="Calibri" w:cs="Times New Roman"/>
                <w:color w:val="000000"/>
                <w:lang w:eastAsia="cs-CZ"/>
              </w:rPr>
              <w:t>čl. 5 odst. 8</w:t>
            </w:r>
          </w:p>
          <w:p w:rsidR="00376A19" w:rsidRPr="00376A19" w:rsidRDefault="00376A19" w:rsidP="00376A19">
            <w:pPr>
              <w:pStyle w:val="Odstavecseseznamem"/>
              <w:numPr>
                <w:ilvl w:val="0"/>
                <w:numId w:val="10"/>
              </w:numPr>
              <w:spacing w:line="240" w:lineRule="auto"/>
              <w:jc w:val="left"/>
              <w:rPr>
                <w:rFonts w:ascii="Calibri" w:eastAsia="Times New Roman" w:hAnsi="Calibri" w:cs="Times New Roman"/>
                <w:color w:val="000000"/>
                <w:lang w:eastAsia="cs-CZ"/>
              </w:rPr>
            </w:pPr>
            <w:r w:rsidRPr="00376A19">
              <w:rPr>
                <w:rFonts w:ascii="Calibri" w:eastAsia="Times New Roman" w:hAnsi="Calibri" w:cs="Times New Roman"/>
                <w:color w:val="000000"/>
                <w:lang w:eastAsia="cs-CZ"/>
              </w:rPr>
              <w:t>informace o výrobcích</w:t>
            </w:r>
          </w:p>
        </w:tc>
        <w:tc>
          <w:tcPr>
            <w:tcW w:w="4606" w:type="dxa"/>
          </w:tcPr>
          <w:p w:rsidR="00376A19" w:rsidRDefault="00376A19" w:rsidP="00376A19">
            <w:pPr>
              <w:spacing w:line="240" w:lineRule="auto"/>
              <w:rPr>
                <w:rFonts w:ascii="Calibri" w:eastAsia="Times New Roman" w:hAnsi="Calibri" w:cs="Times New Roman"/>
                <w:color w:val="000000"/>
                <w:lang w:eastAsia="cs-CZ"/>
              </w:rPr>
            </w:pPr>
            <w:r w:rsidRPr="000368FF">
              <w:rPr>
                <w:rFonts w:ascii="Calibri" w:eastAsia="Times New Roman" w:hAnsi="Calibri" w:cs="Times New Roman"/>
                <w:color w:val="000000"/>
                <w:lang w:eastAsia="cs-CZ"/>
              </w:rPr>
              <w:t>směrnice EP a Rady č. 2010/30/EU</w:t>
            </w:r>
          </w:p>
          <w:p w:rsidR="00376A19" w:rsidRDefault="00376A19" w:rsidP="00376A19">
            <w:pPr>
              <w:spacing w:line="240" w:lineRule="auto"/>
              <w:rPr>
                <w:rFonts w:ascii="Calibri" w:eastAsia="Times New Roman" w:hAnsi="Calibri" w:cs="Times New Roman"/>
                <w:color w:val="000000"/>
                <w:lang w:eastAsia="cs-CZ"/>
              </w:rPr>
            </w:pPr>
            <w:r w:rsidRPr="000368FF">
              <w:rPr>
                <w:rFonts w:ascii="Calibri" w:eastAsia="Times New Roman" w:hAnsi="Calibri" w:cs="Times New Roman"/>
                <w:color w:val="000000"/>
                <w:lang w:eastAsia="cs-CZ"/>
              </w:rPr>
              <w:t>směrnice EP a Rady č. 1999/94/ES</w:t>
            </w:r>
          </w:p>
          <w:p w:rsidR="00376A19" w:rsidRDefault="00376A19" w:rsidP="00376A19">
            <w:pPr>
              <w:spacing w:line="240" w:lineRule="auto"/>
              <w:rPr>
                <w:rFonts w:ascii="Calibri" w:eastAsia="Times New Roman" w:hAnsi="Calibri" w:cs="Times New Roman"/>
                <w:color w:val="000000"/>
                <w:lang w:eastAsia="cs-CZ"/>
              </w:rPr>
            </w:pPr>
            <w:r w:rsidRPr="000368FF">
              <w:rPr>
                <w:rFonts w:ascii="Calibri" w:eastAsia="Times New Roman" w:hAnsi="Calibri" w:cs="Times New Roman"/>
                <w:color w:val="000000"/>
                <w:lang w:eastAsia="cs-CZ"/>
              </w:rPr>
              <w:lastRenderedPageBreak/>
              <w:t>nařízení EP a Rady č. 106/2008</w:t>
            </w:r>
          </w:p>
          <w:p w:rsidR="00376A19" w:rsidRDefault="00376A19" w:rsidP="00376A19">
            <w:pPr>
              <w:spacing w:line="240" w:lineRule="auto"/>
            </w:pPr>
            <w:r w:rsidRPr="000368FF">
              <w:rPr>
                <w:rFonts w:ascii="Calibri" w:eastAsia="Times New Roman" w:hAnsi="Calibri" w:cs="Times New Roman"/>
                <w:color w:val="000000"/>
                <w:lang w:eastAsia="cs-CZ"/>
              </w:rPr>
              <w:t>směrnice EP a Rady č. 125/2009/ES</w:t>
            </w:r>
          </w:p>
        </w:tc>
      </w:tr>
      <w:tr w:rsidR="00376A19" w:rsidTr="000F3DDE">
        <w:tc>
          <w:tcPr>
            <w:tcW w:w="4605" w:type="dxa"/>
          </w:tcPr>
          <w:p w:rsidR="00376A19" w:rsidRDefault="00376A19" w:rsidP="00376A19">
            <w:pPr>
              <w:spacing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lastRenderedPageBreak/>
              <w:t xml:space="preserve">čl. 5 odst. 9 </w:t>
            </w:r>
          </w:p>
          <w:p w:rsidR="00376A19" w:rsidRPr="00376A19" w:rsidRDefault="00376A19" w:rsidP="00376A19">
            <w:pPr>
              <w:pStyle w:val="Odstavecseseznamem"/>
              <w:numPr>
                <w:ilvl w:val="0"/>
                <w:numId w:val="10"/>
              </w:numPr>
              <w:spacing w:line="240" w:lineRule="auto"/>
              <w:rPr>
                <w:rFonts w:ascii="Calibri" w:eastAsia="Times New Roman" w:hAnsi="Calibri" w:cs="Times New Roman"/>
                <w:color w:val="000000"/>
                <w:lang w:eastAsia="cs-CZ"/>
              </w:rPr>
            </w:pPr>
            <w:r w:rsidRPr="00376A19">
              <w:rPr>
                <w:rFonts w:ascii="Calibri" w:eastAsia="Times New Roman" w:hAnsi="Calibri" w:cs="Times New Roman"/>
                <w:color w:val="000000"/>
                <w:lang w:eastAsia="cs-CZ"/>
              </w:rPr>
              <w:t>celostátní registr znečištění</w:t>
            </w:r>
          </w:p>
        </w:tc>
        <w:tc>
          <w:tcPr>
            <w:tcW w:w="4606" w:type="dxa"/>
          </w:tcPr>
          <w:p w:rsidR="00376A19" w:rsidRDefault="00376A19" w:rsidP="00376A19">
            <w:pPr>
              <w:spacing w:line="240" w:lineRule="auto"/>
              <w:rPr>
                <w:rFonts w:ascii="Calibri" w:eastAsia="Times New Roman" w:hAnsi="Calibri" w:cs="Times New Roman"/>
                <w:color w:val="000000"/>
                <w:lang w:eastAsia="cs-CZ"/>
              </w:rPr>
            </w:pPr>
            <w:r w:rsidRPr="000368FF">
              <w:rPr>
                <w:rFonts w:ascii="Calibri" w:eastAsia="Times New Roman" w:hAnsi="Calibri" w:cs="Times New Roman"/>
                <w:color w:val="000000"/>
                <w:lang w:eastAsia="cs-CZ"/>
              </w:rPr>
              <w:t>nařízení  EP a Rady č. 401/2009 čl. 3</w:t>
            </w:r>
          </w:p>
          <w:p w:rsidR="00376A19" w:rsidRDefault="00376A19" w:rsidP="00376A19">
            <w:pPr>
              <w:spacing w:line="240" w:lineRule="auto"/>
            </w:pPr>
            <w:r w:rsidRPr="000368FF">
              <w:rPr>
                <w:rFonts w:ascii="Calibri" w:eastAsia="Times New Roman" w:hAnsi="Calibri" w:cs="Times New Roman"/>
                <w:color w:val="000000"/>
                <w:lang w:eastAsia="cs-CZ"/>
              </w:rPr>
              <w:t>nařízení  EP a Rady č. 166/2006</w:t>
            </w:r>
          </w:p>
        </w:tc>
      </w:tr>
    </w:tbl>
    <w:p w:rsidR="008B383C" w:rsidRDefault="008B383C" w:rsidP="008B383C"/>
    <w:p w:rsidR="002F5DC4" w:rsidRDefault="00787B8E" w:rsidP="00C24BD4">
      <w:pPr>
        <w:ind w:firstLine="708"/>
      </w:pPr>
      <w:r>
        <w:t>Jak lze</w:t>
      </w:r>
      <w:r w:rsidR="00C24BD4">
        <w:t xml:space="preserve"> z výše uvedené tabulky vyčíst, z</w:t>
      </w:r>
      <w:r w:rsidR="002F5DC4">
        <w:t xml:space="preserve"> hlediska právní úpravy jsou v unijním právu </w:t>
      </w:r>
      <w:r w:rsidR="00C24BD4">
        <w:t xml:space="preserve">zaneseny všechny prvky shromažďování a šíření informací, které požaduje ve svém čl. 5 Úmluva. </w:t>
      </w:r>
      <w:r w:rsidR="00E41E1E">
        <w:t xml:space="preserve">Praktickým </w:t>
      </w:r>
      <w:r w:rsidR="00605686">
        <w:t>fungováním informačních toků a na něj navazujícím aktivním poskytování</w:t>
      </w:r>
      <w:r w:rsidR="00D015F7">
        <w:t>m</w:t>
      </w:r>
      <w:r w:rsidR="00605686">
        <w:t xml:space="preserve"> informací se budu zabývat v následující části.</w:t>
      </w:r>
    </w:p>
    <w:p w:rsidR="006D0D7E" w:rsidRDefault="006D0D7E" w:rsidP="00F57525">
      <w:pPr>
        <w:pStyle w:val="Nadpis3"/>
        <w:numPr>
          <w:ilvl w:val="2"/>
          <w:numId w:val="3"/>
        </w:numPr>
        <w:ind w:left="0" w:firstLine="0"/>
      </w:pPr>
      <w:bookmarkStart w:id="22" w:name="_Toc446336411"/>
      <w:r>
        <w:t>Systém informačních toků a poskytování informací</w:t>
      </w:r>
      <w:bookmarkEnd w:id="22"/>
    </w:p>
    <w:p w:rsidR="004C17C6" w:rsidRPr="000E141F" w:rsidRDefault="00587154" w:rsidP="004C17C6">
      <w:pPr>
        <w:ind w:firstLine="708"/>
      </w:pPr>
      <w:r>
        <w:t>Hlavní koordinační institucí shromažďování a šíření informací o ži</w:t>
      </w:r>
      <w:r w:rsidR="000368FF">
        <w:t>v</w:t>
      </w:r>
      <w:r>
        <w:t xml:space="preserve">otním prostředí je </w:t>
      </w:r>
      <w:r w:rsidR="00BD6E67" w:rsidRPr="00BD6E67">
        <w:rPr>
          <w:b/>
        </w:rPr>
        <w:t>Evropská agentura životního prostředí</w:t>
      </w:r>
      <w:r w:rsidR="0092022F" w:rsidRPr="00587154">
        <w:rPr>
          <w:rStyle w:val="Znakapoznpodarou"/>
        </w:rPr>
        <w:footnoteReference w:id="78"/>
      </w:r>
      <w:r w:rsidR="0063164B">
        <w:rPr>
          <w:b/>
        </w:rPr>
        <w:t xml:space="preserve"> </w:t>
      </w:r>
      <w:r w:rsidR="0063164B">
        <w:t>(déle jen EEA)</w:t>
      </w:r>
      <w:r w:rsidRPr="00587154">
        <w:t xml:space="preserve">. </w:t>
      </w:r>
      <w:r w:rsidR="00BD6E67">
        <w:t>Jejím hlavním úkolem je</w:t>
      </w:r>
      <w:r w:rsidR="00D92F4F">
        <w:t xml:space="preserve"> za účelem ochrany životního prostředí poskytovat členským státům a Společenství</w:t>
      </w:r>
      <w:r w:rsidR="00BD6E67">
        <w:t xml:space="preserve"> </w:t>
      </w:r>
      <w:r w:rsidR="000E141F">
        <w:rPr>
          <w:b/>
        </w:rPr>
        <w:t>„</w:t>
      </w:r>
      <w:r w:rsidR="000E141F" w:rsidRPr="000E141F">
        <w:rPr>
          <w:i/>
        </w:rPr>
        <w:t>objektivní, spolehlivé a v evropském měřítku srovnatelné informace, které jim umožní přijímat nezbytná opatření na ochranu životního prostředí, posoudit výsledky těchto opatření a zajistit, aby veřejnost byla řádně informována o stavu životního prostředí</w:t>
      </w:r>
      <w:r w:rsidR="000E141F">
        <w:t>“</w:t>
      </w:r>
      <w:r w:rsidR="00F51F57">
        <w:t>.</w:t>
      </w:r>
      <w:r w:rsidR="000E141F">
        <w:rPr>
          <w:rStyle w:val="Znakapoznpodarou"/>
        </w:rPr>
        <w:footnoteReference w:id="79"/>
      </w:r>
      <w:r w:rsidR="00F51F57">
        <w:t xml:space="preserve"> </w:t>
      </w:r>
      <w:r w:rsidR="004C17C6">
        <w:t xml:space="preserve">K dosažení tohoto účelu byla zřízena </w:t>
      </w:r>
      <w:r w:rsidR="004C17C6" w:rsidRPr="005931F8">
        <w:rPr>
          <w:b/>
        </w:rPr>
        <w:t>Evropská informační síť životního prostředí (EIONET).</w:t>
      </w:r>
      <w:r w:rsidR="004C17C6">
        <w:t xml:space="preserve"> Tato síť se skládá z</w:t>
      </w:r>
      <w:r w:rsidR="00315730">
        <w:t>e samotné EEA,</w:t>
      </w:r>
      <w:r w:rsidR="004C17C6">
        <w:t xml:space="preserve"> vnitrostátních sítí, národních kontaktních míst a </w:t>
      </w:r>
      <w:r w:rsidR="00315730">
        <w:t xml:space="preserve">evropských </w:t>
      </w:r>
      <w:r w:rsidR="004C17C6">
        <w:t>tematických center.</w:t>
      </w:r>
      <w:r w:rsidR="004C17C6">
        <w:rPr>
          <w:rStyle w:val="Znakapoznpodarou"/>
        </w:rPr>
        <w:footnoteReference w:id="80"/>
      </w:r>
      <w:r w:rsidR="004C17C6">
        <w:t xml:space="preserve"> Jejím základním posláním je sbírat informace od členských států,</w:t>
      </w:r>
      <w:r w:rsidR="004C17C6">
        <w:rPr>
          <w:rStyle w:val="Znakapoznpodarou"/>
        </w:rPr>
        <w:footnoteReference w:id="81"/>
      </w:r>
      <w:r w:rsidR="004C17C6">
        <w:t xml:space="preserve"> které může Evropská agentura životního prostředí zpracovat a na jejich základě poskytovat komplexní informace o životním prostředí. </w:t>
      </w:r>
    </w:p>
    <w:p w:rsidR="004C17C6" w:rsidRDefault="00BF4E4B" w:rsidP="000E141F">
      <w:pPr>
        <w:ind w:firstLine="708"/>
      </w:pPr>
      <w:r>
        <w:t>Národní kontaktní místo je hlavním partnerem EEA. Jeho účelem je ve spolupráci s EEA a ETC</w:t>
      </w:r>
      <w:r w:rsidR="00175D92">
        <w:t xml:space="preserve"> (Evropská tematická centra)</w:t>
      </w:r>
      <w:r>
        <w:t xml:space="preserve"> koordinovat na národní</w:t>
      </w:r>
      <w:r w:rsidR="006F2FD5">
        <w:t xml:space="preserve"> úrovni v rámci vnitrostátních sítí</w:t>
      </w:r>
      <w:r>
        <w:t xml:space="preserve"> dosahování cílů st</w:t>
      </w:r>
      <w:r w:rsidR="005D7539">
        <w:t xml:space="preserve">anovených víceletými plány EEA. </w:t>
      </w:r>
      <w:r w:rsidR="00893244">
        <w:t xml:space="preserve">Každé národní kontaktní místo přitom funguje rozdílným způsobem s ohledem na rozdílnou vnitrostátní právní úpravu. </w:t>
      </w:r>
      <w:r w:rsidR="001139E4">
        <w:t>V České republice je národním kontaktním místem příspěvková organizace Ministerstva životního prostředí – CENIA (Czech environmental informatic agency).</w:t>
      </w:r>
    </w:p>
    <w:p w:rsidR="006F2FD5" w:rsidRDefault="006F2FD5" w:rsidP="006F2FD5">
      <w:pPr>
        <w:ind w:firstLine="708"/>
      </w:pPr>
      <w:r>
        <w:lastRenderedPageBreak/>
        <w:t>Vnitrostátní sítě jsou tvořeny Národními referenčními centry</w:t>
      </w:r>
      <w:r w:rsidR="00893244">
        <w:t xml:space="preserve"> (NRC)</w:t>
      </w:r>
      <w:r w:rsidR="00D15498">
        <w:t>, které jsou stejně jako národní kontaktní místa zřízeny a financovány členským státem</w:t>
      </w:r>
      <w:r w:rsidR="00102B97">
        <w:t>. Ta</w:t>
      </w:r>
      <w:r>
        <w:t>to centra s</w:t>
      </w:r>
      <w:r w:rsidR="00893244">
        <w:t>e zabývají konkrétním</w:t>
      </w:r>
      <w:r w:rsidR="008947D8">
        <w:t xml:space="preserve">i oblastmi životního prostředí, shromažďují informace a poskytují svoji odbornost jednak národnímu kontaktnímu centru a jednak přímo spolupracují s Evropskými tematickými centry. Struktura národních referenčních center </w:t>
      </w:r>
      <w:r w:rsidR="00FE6262">
        <w:t>se mění podle aktuální potřeby a s oh</w:t>
      </w:r>
      <w:r w:rsidR="000B3EEA">
        <w:t>l</w:t>
      </w:r>
      <w:r w:rsidR="00FE6262">
        <w:t>edem na víceletý plán EEA.</w:t>
      </w:r>
      <w:r w:rsidR="00893244">
        <w:t xml:space="preserve"> </w:t>
      </w:r>
    </w:p>
    <w:p w:rsidR="00204306" w:rsidRDefault="0063164B" w:rsidP="000E141F">
      <w:pPr>
        <w:ind w:firstLine="708"/>
      </w:pPr>
      <w:r>
        <w:t xml:space="preserve">EEA zřídila k plnění </w:t>
      </w:r>
      <w:r w:rsidR="007B13CF">
        <w:t>svých úkolů šest</w:t>
      </w:r>
      <w:r>
        <w:t xml:space="preserve"> tzv. </w:t>
      </w:r>
      <w:r w:rsidR="008947D8">
        <w:t xml:space="preserve">Evropských </w:t>
      </w:r>
      <w:r>
        <w:t>tematických center</w:t>
      </w:r>
      <w:r w:rsidR="002761AC">
        <w:t xml:space="preserve"> (ETC)</w:t>
      </w:r>
      <w:r>
        <w:t>. Každé tematické centrum je zaměřeno na je</w:t>
      </w:r>
      <w:r w:rsidR="002A6226">
        <w:t xml:space="preserve">dnu oblast životního prostředí: </w:t>
      </w:r>
      <w:r w:rsidR="007B13CF" w:rsidRPr="007B13CF">
        <w:t>ovzduší</w:t>
      </w:r>
      <w:r w:rsidR="007B13CF">
        <w:t xml:space="preserve"> a změna klimatu; biologická rozmanitost;</w:t>
      </w:r>
      <w:r w:rsidR="007B13CF" w:rsidRPr="007B13CF">
        <w:t xml:space="preserve"> dopady změny k</w:t>
      </w:r>
      <w:r w:rsidR="007B13CF">
        <w:t>limatu, zranitelnost a adaptace; voda;</w:t>
      </w:r>
      <w:r w:rsidR="007B13CF" w:rsidRPr="007B13CF">
        <w:t xml:space="preserve"> využití půdy a územní informace a analýza a udržitelná spotřeba a výroba</w:t>
      </w:r>
      <w:r w:rsidR="002A6226">
        <w:t>. Tato centra</w:t>
      </w:r>
      <w:r w:rsidR="001466F5">
        <w:t xml:space="preserve"> ve spolupráci se specializovanými institucemi z členských zemí</w:t>
      </w:r>
      <w:r w:rsidR="002A6226">
        <w:t xml:space="preserve"> a</w:t>
      </w:r>
      <w:r w:rsidR="00DB459B">
        <w:t xml:space="preserve"> národními referenčními centry</w:t>
      </w:r>
      <w:r w:rsidR="004605E4">
        <w:t xml:space="preserve">, </w:t>
      </w:r>
      <w:r w:rsidR="002A6226">
        <w:t>pomáhají získávat</w:t>
      </w:r>
      <w:r w:rsidR="002761AC">
        <w:t xml:space="preserve"> dat z těchto zemí</w:t>
      </w:r>
      <w:r w:rsidR="004605E4">
        <w:t>,</w:t>
      </w:r>
      <w:r w:rsidR="004605E4" w:rsidRPr="004605E4">
        <w:t xml:space="preserve"> </w:t>
      </w:r>
      <w:r w:rsidR="004605E4">
        <w:t>kombinují své výzkumné zdroje, předávají informace EEA a EIONETu a poskytují jim další podporu.</w:t>
      </w:r>
    </w:p>
    <w:p w:rsidR="00F4676C" w:rsidRDefault="00762916" w:rsidP="000E141F">
      <w:pPr>
        <w:ind w:firstLine="708"/>
      </w:pPr>
      <w:r>
        <w:t xml:space="preserve">V rámci Evropské unie existují na poli životního prostředí i další informační sítě. </w:t>
      </w:r>
      <w:r w:rsidR="00A7270F">
        <w:t xml:space="preserve">Např. </w:t>
      </w:r>
      <w:r w:rsidR="00AC151E" w:rsidRPr="0049144F">
        <w:t>WISE</w:t>
      </w:r>
      <w:r w:rsidR="00AC151E">
        <w:t xml:space="preserve"> je informační síť vytvořená mezi Generálním ředitelstvím pro životní prostředí, které vytváří politiku v oblasti vod, EEA která shromažďuje a poskytuje informace, Joint Research centre, které vytváří modely současného stavu a </w:t>
      </w:r>
      <w:r w:rsidR="00C6241D">
        <w:t xml:space="preserve">vytváří předpovědi </w:t>
      </w:r>
      <w:r w:rsidR="00AC151E">
        <w:t>a Eurostatem</w:t>
      </w:r>
      <w:r w:rsidR="00C6241D">
        <w:t>, který tvoří statistiky a poskytuje a propojuje data do dalších systémů a modelů</w:t>
      </w:r>
      <w:r w:rsidR="00321C80">
        <w:t>, např. GIS</w:t>
      </w:r>
      <w:r w:rsidR="00321C80">
        <w:rPr>
          <w:rStyle w:val="Znakapoznpodarou"/>
        </w:rPr>
        <w:footnoteReference w:id="82"/>
      </w:r>
      <w:r w:rsidR="00AC151E">
        <w:t xml:space="preserve">. </w:t>
      </w:r>
    </w:p>
    <w:p w:rsidR="00762916" w:rsidRDefault="0092549F" w:rsidP="000E141F">
      <w:pPr>
        <w:ind w:firstLine="708"/>
      </w:pPr>
      <w:r>
        <w:t>Dalšími informačními sítěmi jsou ESDAC (The Eurpean soil data centre)</w:t>
      </w:r>
      <w:r w:rsidR="00D23BEA">
        <w:t xml:space="preserve"> a EFDAC (The Eurpean forest data centre)</w:t>
      </w:r>
      <w:r w:rsidR="00165BB2">
        <w:t>. Tyto datová centra shromažďují za účelem výzkumu informace o půdě resp. lesích v členských státech a spolupracují s tamními specializovanými organizacemi.</w:t>
      </w:r>
      <w:r>
        <w:t xml:space="preserve"> </w:t>
      </w:r>
      <w:r w:rsidR="00B250E7">
        <w:t>COPERNICUS – pozorovací síť, která má na poli životního prostředí za cíl propojit data získaná ze satelitů s daty získanými na místě a tím docílit uceleného obrazu o stavu životního prostředí</w:t>
      </w:r>
      <w:r w:rsidR="00D23BEA">
        <w:t>.</w:t>
      </w:r>
      <w:r>
        <w:t xml:space="preserve"> REACH (Registration, authorization, evaluation and restriction on chemicals</w:t>
      </w:r>
      <w:r w:rsidR="0049144F">
        <w:t xml:space="preserve">), </w:t>
      </w:r>
      <w:r>
        <w:t>NATURA 2000</w:t>
      </w:r>
      <w:r w:rsidR="0049144F">
        <w:t xml:space="preserve"> a IPPC</w:t>
      </w:r>
      <w:r>
        <w:t>.</w:t>
      </w:r>
    </w:p>
    <w:p w:rsidR="00812CC2" w:rsidRDefault="00812CC2" w:rsidP="000E141F">
      <w:pPr>
        <w:ind w:firstLine="708"/>
      </w:pPr>
      <w:r>
        <w:t>Jako příklad</w:t>
      </w:r>
      <w:r w:rsidR="00A7270F">
        <w:t xml:space="preserve"> informačních toků</w:t>
      </w:r>
      <w:r>
        <w:t xml:space="preserve"> lze uvézt kvalitu pitné vody. V </w:t>
      </w:r>
      <w:r w:rsidR="00002A1D">
        <w:t>Č</w:t>
      </w:r>
      <w:r>
        <w:t>eské republice funguje v rámci Státního zdravotnického ústavu Národní referenční centrum pro pitnou vodu. To spolupracuje s krajskými hygienickými stanicemi, získává od nich informace a zpracovává na konkrétní rok Zprávu o kvalitě pitné vody</w:t>
      </w:r>
      <w:r>
        <w:rPr>
          <w:rStyle w:val="Znakapoznpodarou"/>
        </w:rPr>
        <w:footnoteReference w:id="83"/>
      </w:r>
      <w:r w:rsidR="00002A1D">
        <w:t xml:space="preserve">. Tuto zprávu pak v rámci EIONETu postupuje </w:t>
      </w:r>
      <w:r w:rsidR="00002A1D">
        <w:lastRenderedPageBreak/>
        <w:t xml:space="preserve">Evropskému tematickému centru pro vnitrozemní, pobřežní a mořské vody, které tuto zprávu společně s informacemi z ostatních zemí zpracuje a poskytne EEA, Komisi jakož i široké veřejnosti ucelené informace o stavu vody. </w:t>
      </w:r>
      <w:r w:rsidR="00D23FC7">
        <w:t>Odtud data putují do systému WISE, kde jsou dále zpracovávána a poskytována například do systému GIS.</w:t>
      </w:r>
      <w:r w:rsidR="00762916">
        <w:t xml:space="preserve"> </w:t>
      </w:r>
    </w:p>
    <w:p w:rsidR="00B54E41" w:rsidRDefault="00B54E41" w:rsidP="00B54E41">
      <w:pPr>
        <w:ind w:firstLine="708"/>
      </w:pPr>
      <w:r w:rsidRPr="00B54E41">
        <w:rPr>
          <w:b/>
        </w:rPr>
        <w:t>V případě nebezpeční</w:t>
      </w:r>
      <w:r>
        <w:t>, na které odkazuje čl. 5 odst. 1 písm. c) Úmluvy leží hlavní zodpovědnost za šíření informací na členských státech. Toto je též v souladu se zásadou subsidiarity, kdy členské státy mohu mezi postižené obyvatelstvo rozšířit informace mnohem efektivněji než unijní orgány. Unijní orgány poskytují členským státům veškerou pomoc, v tomto případě jim především poskytují aktuální a přesné informace o životním prostředí vztahující se ke konkrétní situaci.</w:t>
      </w:r>
    </w:p>
    <w:p w:rsidR="00733A11" w:rsidRDefault="006E036E" w:rsidP="006E036E">
      <w:pPr>
        <w:ind w:firstLine="708"/>
      </w:pPr>
      <w:r w:rsidRPr="00B54E41">
        <w:rPr>
          <w:b/>
        </w:rPr>
        <w:t>Všechny informační toky</w:t>
      </w:r>
      <w:r>
        <w:t xml:space="preserve"> se sbíhají v EEA. </w:t>
      </w:r>
      <w:r w:rsidR="00681738">
        <w:t>Hlavním posláním EEA je</w:t>
      </w:r>
      <w:r w:rsidR="00BE767B">
        <w:t>,</w:t>
      </w:r>
      <w:r w:rsidR="00681738">
        <w:t xml:space="preserve"> </w:t>
      </w:r>
      <w:r w:rsidR="00BE767B">
        <w:t xml:space="preserve">jak již bylo zmíněno výše, poskytovat členským státům a Evropské unii kvalitní informace o stavu životního prostředí. </w:t>
      </w:r>
      <w:r w:rsidR="008A047F">
        <w:t xml:space="preserve">EEA má dva hlavní informační výstupy. </w:t>
      </w:r>
    </w:p>
    <w:p w:rsidR="00232DB3" w:rsidRDefault="00733A11" w:rsidP="006E036E">
      <w:pPr>
        <w:ind w:firstLine="708"/>
      </w:pPr>
      <w:r>
        <w:t>Prvním</w:t>
      </w:r>
      <w:r w:rsidR="00B83036">
        <w:t xml:space="preserve"> výstupem jsou pravidelné zprávy o stavu životního pros</w:t>
      </w:r>
      <w:r w:rsidR="00A60C1E">
        <w:t>tředí a jeho jednotlivých složkách</w:t>
      </w:r>
      <w:r w:rsidR="00B83036">
        <w:t>,</w:t>
      </w:r>
      <w:r>
        <w:t xml:space="preserve"> </w:t>
      </w:r>
      <w:r w:rsidR="002A2067">
        <w:t>které zpravidla každoročně EEA vydává</w:t>
      </w:r>
      <w:r>
        <w:rPr>
          <w:rStyle w:val="Znakapoznpodarou"/>
        </w:rPr>
        <w:footnoteReference w:id="84"/>
      </w:r>
      <w:r>
        <w:t xml:space="preserve">. </w:t>
      </w:r>
      <w:r w:rsidR="00BF48C0">
        <w:t xml:space="preserve">Mimo tyto specializované zprávy vydává </w:t>
      </w:r>
      <w:r w:rsidR="00F811F8">
        <w:t>EEA v pětiletých intervalech</w:t>
      </w:r>
      <w:r w:rsidR="00BF48C0">
        <w:t xml:space="preserve"> souhrnnou zprávu o stavu a životního prostředí</w:t>
      </w:r>
      <w:r w:rsidR="00F811F8">
        <w:t xml:space="preserve"> </w:t>
      </w:r>
      <w:r w:rsidR="00BF48C0">
        <w:t>a výhledu na další období</w:t>
      </w:r>
      <w:r w:rsidR="00F811F8">
        <w:t xml:space="preserve"> (SOER)</w:t>
      </w:r>
      <w:r w:rsidR="00BF48C0">
        <w:t xml:space="preserve">. </w:t>
      </w:r>
      <w:r w:rsidR="00F811F8">
        <w:t>Tato zpráva zpracovává</w:t>
      </w:r>
      <w:r w:rsidR="00BF48C0">
        <w:t xml:space="preserve"> data ze všech členských států EEA </w:t>
      </w:r>
      <w:r w:rsidR="00F811F8">
        <w:t xml:space="preserve">a podává ucelený pohled na stav na stav životního prostředí včetně jeho výhledu a též na dopad politik, které jsou ze strany Evropské unie prováděny ve vztahu k životnímu prostředí. </w:t>
      </w:r>
      <w:r w:rsidR="0049144F">
        <w:t>V roce 2015 byla vydána zpráva o stavu životního prostředí za období 2010 – 2015 s výhledem na období let 2015-2020.</w:t>
      </w:r>
      <w:r w:rsidR="00F01410">
        <w:rPr>
          <w:rStyle w:val="Znakapoznpodarou"/>
        </w:rPr>
        <w:footnoteReference w:id="85"/>
      </w:r>
      <w:r w:rsidR="0049144F">
        <w:t xml:space="preserve"> </w:t>
      </w:r>
    </w:p>
    <w:p w:rsidR="00733A11" w:rsidRDefault="00733A11" w:rsidP="00733A11">
      <w:pPr>
        <w:ind w:firstLine="708"/>
      </w:pPr>
      <w:r>
        <w:t>Druhým a z hlediska přístupu veřejnosti k informacím zásadním</w:t>
      </w:r>
      <w:r w:rsidR="00A60C1E">
        <w:t xml:space="preserve"> výstupem</w:t>
      </w:r>
      <w:r>
        <w:t>, je databáze všech shromážděných a</w:t>
      </w:r>
      <w:r w:rsidR="00B908A9">
        <w:t xml:space="preserve"> zpracovaných dat, která</w:t>
      </w:r>
      <w:r>
        <w:t xml:space="preserve"> se v rámci výše</w:t>
      </w:r>
      <w:r w:rsidR="00B908A9">
        <w:t xml:space="preserve"> popsaných procesů k EEA dostala</w:t>
      </w:r>
      <w:r>
        <w:t>.</w:t>
      </w:r>
      <w:r w:rsidR="00290380">
        <w:rPr>
          <w:rStyle w:val="Znakapoznpodarou"/>
        </w:rPr>
        <w:footnoteReference w:id="86"/>
      </w:r>
      <w:r>
        <w:t xml:space="preserve"> </w:t>
      </w:r>
      <w:r w:rsidR="003676F2">
        <w:t>Databáze je přístupná skrze internetové stránky EEA, je vybavena uživatelsky přátelským rozhraním</w:t>
      </w:r>
      <w:r w:rsidR="00A50C36">
        <w:t xml:space="preserve"> a umožňuje veřejnosti přístup k široké škále informací o životním prostředí. </w:t>
      </w:r>
      <w:r w:rsidR="003676F2">
        <w:t xml:space="preserve">  </w:t>
      </w:r>
    </w:p>
    <w:p w:rsidR="00BA2064" w:rsidRPr="00E54715" w:rsidRDefault="00D81369" w:rsidP="00E54715">
      <w:pPr>
        <w:ind w:firstLine="708"/>
        <w:rPr>
          <w:b/>
        </w:rPr>
      </w:pPr>
      <w:r>
        <w:t>Právě tyto dva výstupy jsou hlavními kanály</w:t>
      </w:r>
      <w:r w:rsidR="000B056B">
        <w:t xml:space="preserve">, </w:t>
      </w:r>
      <w:r>
        <w:t xml:space="preserve">skrze které </w:t>
      </w:r>
      <w:r w:rsidRPr="00290380">
        <w:rPr>
          <w:b/>
        </w:rPr>
        <w:t>může veřejnost čerpat informace o stavu životního pr</w:t>
      </w:r>
      <w:r w:rsidR="000B056B" w:rsidRPr="00290380">
        <w:rPr>
          <w:b/>
        </w:rPr>
        <w:t>o</w:t>
      </w:r>
      <w:r w:rsidRPr="00290380">
        <w:rPr>
          <w:b/>
        </w:rPr>
        <w:t>středí.</w:t>
      </w:r>
      <w:r w:rsidR="00BA2064">
        <w:br w:type="page"/>
      </w:r>
    </w:p>
    <w:p w:rsidR="00552AA2" w:rsidRDefault="00BA2064" w:rsidP="00F57525">
      <w:pPr>
        <w:pStyle w:val="Nadpis1"/>
        <w:numPr>
          <w:ilvl w:val="0"/>
          <w:numId w:val="3"/>
        </w:numPr>
      </w:pPr>
      <w:bookmarkStart w:id="23" w:name="_Toc446336412"/>
      <w:r>
        <w:lastRenderedPageBreak/>
        <w:t xml:space="preserve">Účast veřejnosti na rozhodování o </w:t>
      </w:r>
      <w:r w:rsidR="00E74444">
        <w:t>životním prostředí</w:t>
      </w:r>
      <w:bookmarkEnd w:id="23"/>
    </w:p>
    <w:p w:rsidR="00552AA2" w:rsidRDefault="00E74444" w:rsidP="00F57525">
      <w:pPr>
        <w:pStyle w:val="Nadpis2"/>
        <w:numPr>
          <w:ilvl w:val="1"/>
          <w:numId w:val="3"/>
        </w:numPr>
      </w:pPr>
      <w:bookmarkStart w:id="24" w:name="_Toc446336413"/>
      <w:r>
        <w:t>Požadavky Aarhuské Úmluvy</w:t>
      </w:r>
      <w:bookmarkEnd w:id="24"/>
    </w:p>
    <w:p w:rsidR="00BE47C0" w:rsidRDefault="00BE47C0" w:rsidP="00253654">
      <w:pPr>
        <w:ind w:firstLine="708"/>
      </w:pPr>
      <w:r>
        <w:t>Účast veřejnosti na rozhodovacích procesech týkajících se životního prostředí je druhým pilířem Aarhuské úmluvy.</w:t>
      </w:r>
    </w:p>
    <w:p w:rsidR="00E74444" w:rsidRDefault="00E74444" w:rsidP="00253654">
      <w:pPr>
        <w:ind w:firstLine="708"/>
      </w:pPr>
      <w:r>
        <w:t xml:space="preserve">Úmluva </w:t>
      </w:r>
      <w:r w:rsidR="00DE1ED4">
        <w:t>do</w:t>
      </w:r>
      <w:r w:rsidR="00EC4CDC">
        <w:t xml:space="preserve"> druhého pilíře zahrnuje tři</w:t>
      </w:r>
      <w:r w:rsidR="00DE1ED4">
        <w:t xml:space="preserve"> skupiny činností: rozhodování o specifických činnostech, tvorbu plánů</w:t>
      </w:r>
      <w:r w:rsidR="003E7A95">
        <w:t>,</w:t>
      </w:r>
      <w:r w:rsidR="00DE1ED4">
        <w:t xml:space="preserve"> programů a politik týkajících se životního prostředí a přípravu prováděcích předpisů a obecně použitelných normativních nástrojů</w:t>
      </w:r>
      <w:r w:rsidR="00253654">
        <w:t xml:space="preserve"> týkajících se životního prostředí. Vzhledem k zaměření této práce se budu zabývat pouze posledními dvěma činnostmi</w:t>
      </w:r>
      <w:r w:rsidR="00B26184">
        <w:t>,</w:t>
      </w:r>
      <w:r w:rsidR="00253654">
        <w:t xml:space="preserve"> </w:t>
      </w:r>
      <w:r w:rsidR="00CD7C9F">
        <w:t xml:space="preserve">neboť </w:t>
      </w:r>
      <w:r w:rsidR="0070279C">
        <w:t>rozhodování o specifických činnostech týkajících se životního prostředí probíhá především na úrovni členských států.</w:t>
      </w:r>
      <w:r w:rsidR="00BE47C0">
        <w:rPr>
          <w:rStyle w:val="Znakapoznpodarou"/>
        </w:rPr>
        <w:footnoteReference w:id="87"/>
      </w:r>
      <w:r w:rsidR="00B26184">
        <w:t xml:space="preserve"> </w:t>
      </w:r>
    </w:p>
    <w:p w:rsidR="00B8290D" w:rsidRDefault="003E7A95" w:rsidP="003933BD">
      <w:r>
        <w:tab/>
      </w:r>
      <w:r w:rsidR="00F80547">
        <w:t xml:space="preserve">Základní povinností členských států je umožnit veřejnosti účast při přípravě </w:t>
      </w:r>
      <w:r w:rsidR="00F80547" w:rsidRPr="00D236D0">
        <w:rPr>
          <w:b/>
        </w:rPr>
        <w:t>plánů, programů a politik týkajících se životního prostředí.</w:t>
      </w:r>
      <w:r w:rsidR="00F80547">
        <w:t xml:space="preserve"> </w:t>
      </w:r>
      <w:r w:rsidR="005C078A">
        <w:t>Úmluva rozlišuje přípravu plánů a programů od přípravy politik.</w:t>
      </w:r>
      <w:r w:rsidR="00B45E54">
        <w:t xml:space="preserve"> Při tvorbě plánů a programů musí být uplatněny odst. 3, 4 a 8 čl. 6, tedy – veřejnost musí mít být informována </w:t>
      </w:r>
      <w:r w:rsidR="009905F9">
        <w:t>o záměru tvorby plánů a programů</w:t>
      </w:r>
      <w:r w:rsidR="00B45E54">
        <w:t xml:space="preserve">, </w:t>
      </w:r>
      <w:r w:rsidR="004140AA">
        <w:t>musí jí být dána dostatečná lhůta k přípravě účinné účasti a musí jí být umožněna účast</w:t>
      </w:r>
      <w:r w:rsidR="00B45E54">
        <w:t xml:space="preserve"> od samého počátku </w:t>
      </w:r>
      <w:r w:rsidR="004140AA">
        <w:t xml:space="preserve">jejich tvorby. </w:t>
      </w:r>
      <w:r w:rsidR="00614645">
        <w:t>Při tvorbě politik je</w:t>
      </w:r>
      <w:r w:rsidR="007D043D">
        <w:t xml:space="preserve"> dán</w:t>
      </w:r>
      <w:r w:rsidR="00614645">
        <w:t xml:space="preserve"> pouze obecný požadavek</w:t>
      </w:r>
      <w:r w:rsidR="0073001B">
        <w:t xml:space="preserve"> na poskytnutí možnosti účasti veřejnosti v přiměřeném rozsahu. </w:t>
      </w:r>
    </w:p>
    <w:p w:rsidR="00817698" w:rsidRDefault="00B8290D" w:rsidP="00B8290D">
      <w:r>
        <w:tab/>
        <w:t xml:space="preserve">Úmluva sama o sobě nedává žádné rozlišení pro pojmy plán, program a politika. </w:t>
      </w:r>
      <w:r w:rsidR="0077498B">
        <w:t>Taktéž činnost ACCC se soustředí především na rozlišení mezi specifickými činnostmi podle čl. 6 a činnostmi podle čl. 7 Úmluvy</w:t>
      </w:r>
      <w:r w:rsidR="003667C6">
        <w:rPr>
          <w:rStyle w:val="Znakapoznpodarou"/>
        </w:rPr>
        <w:footnoteReference w:id="88"/>
      </w:r>
      <w:r w:rsidR="0077498B">
        <w:t xml:space="preserve">. Vzhledem k úzkému </w:t>
      </w:r>
      <w:r w:rsidR="00205FFF">
        <w:t>provázání si lze,</w:t>
      </w:r>
      <w:r w:rsidR="0077498B">
        <w:t xml:space="preserve"> pomoci </w:t>
      </w:r>
      <w:r w:rsidR="00205FFF">
        <w:t>definicí plánů a programů obsažené v protokolu SEA k Espoo Úmluvě. Podle ní jsou plány a programy ty plány a programy, „</w:t>
      </w:r>
      <w:r w:rsidR="00205FFF" w:rsidRPr="00205FFF">
        <w:rPr>
          <w:i/>
        </w:rPr>
        <w:t>které jsou vyžadovány právními, řídícími nebo správními opatřeními a zpracovávány, popřípadě schvalovány orgánem nebo jsou připravovány orgánem ke schválení po oficiálním projednání v parlamentu nebo ve vládě.</w:t>
      </w:r>
      <w:r w:rsidR="00205FFF">
        <w:t>“</w:t>
      </w:r>
      <w:r w:rsidR="00205FFF">
        <w:rPr>
          <w:rStyle w:val="Znakapoznpodarou"/>
        </w:rPr>
        <w:footnoteReference w:id="89"/>
      </w:r>
      <w:r w:rsidR="00714EB4">
        <w:t xml:space="preserve">. </w:t>
      </w:r>
      <w:r w:rsidR="00EC4CDC">
        <w:t>Pojem politika –</w:t>
      </w:r>
      <w:r w:rsidR="00714EB4">
        <w:t xml:space="preserve"> </w:t>
      </w:r>
      <w:r w:rsidR="005A6081">
        <w:t>„</w:t>
      </w:r>
      <w:r w:rsidR="00714EB4" w:rsidRPr="00714EB4">
        <w:rPr>
          <w:i/>
        </w:rPr>
        <w:t>policy</w:t>
      </w:r>
      <w:r w:rsidR="005A6081">
        <w:rPr>
          <w:i/>
        </w:rPr>
        <w:t>“</w:t>
      </w:r>
      <w:r w:rsidR="00714EB4">
        <w:t xml:space="preserve"> jde vyložit jako „</w:t>
      </w:r>
      <w:r w:rsidR="00714EB4" w:rsidRPr="00714EB4">
        <w:rPr>
          <w:i/>
        </w:rPr>
        <w:t>konkrétní politická rozhodnutí, opatření a „výstup</w:t>
      </w:r>
      <w:r w:rsidR="00A736F7">
        <w:rPr>
          <w:i/>
        </w:rPr>
        <w:t>y</w:t>
      </w:r>
      <w:r w:rsidR="00714EB4" w:rsidRPr="00714EB4">
        <w:rPr>
          <w:i/>
        </w:rPr>
        <w:t>“ (zákony a nařízení, programy atd.), jež se přímo týkají občanů,</w:t>
      </w:r>
      <w:r w:rsidR="00714EB4">
        <w:t>“</w:t>
      </w:r>
      <w:r w:rsidR="00714EB4">
        <w:rPr>
          <w:rStyle w:val="Znakapoznpodarou"/>
        </w:rPr>
        <w:footnoteReference w:id="90"/>
      </w:r>
      <w:r w:rsidR="00921B8C">
        <w:t>.</w:t>
      </w:r>
      <w:r w:rsidR="00D236D0">
        <w:t xml:space="preserve"> </w:t>
      </w:r>
    </w:p>
    <w:p w:rsidR="00FA4C96" w:rsidRDefault="00D236D0" w:rsidP="00817698">
      <w:pPr>
        <w:ind w:firstLine="708"/>
      </w:pPr>
      <w:r>
        <w:lastRenderedPageBreak/>
        <w:t>Dá se shrnout</w:t>
      </w:r>
      <w:r w:rsidR="0081406C">
        <w:t>, že v na nejvyšší úrovni se tvoří politika (k účasti veřejnosti na ní se vztahuje</w:t>
      </w:r>
      <w:r w:rsidR="00747E50">
        <w:t xml:space="preserve"> věta čtvrtá čl. 7) v rámci které se pak tvoří plány a programy (k účasti veřejnosti na nich se vztahují první tři věty čl. 7) </w:t>
      </w:r>
      <w:r w:rsidR="008A3513">
        <w:t>na základě kterých se rozhoduje o specifických činnostech (čl. 6 Úmluvy).</w:t>
      </w:r>
    </w:p>
    <w:p w:rsidR="00A83D81" w:rsidRDefault="00787074" w:rsidP="00787074">
      <w:pPr>
        <w:ind w:firstLine="708"/>
      </w:pPr>
      <w:r>
        <w:t xml:space="preserve">Úmluva ve své preambuli </w:t>
      </w:r>
      <w:r w:rsidR="007B22B5">
        <w:t>hovoří o</w:t>
      </w:r>
      <w:r>
        <w:t xml:space="preserve"> transparentnost</w:t>
      </w:r>
      <w:r w:rsidR="007B22B5">
        <w:t>i</w:t>
      </w:r>
      <w:r>
        <w:t xml:space="preserve"> ve všech odvětvích veřejné správy včetně zákonodárných orgánů. K jejich činnosti se vztahuje čl. 8 Úmluvy, kter</w:t>
      </w:r>
      <w:r w:rsidR="007B22B5">
        <w:t xml:space="preserve">ý se zabývá </w:t>
      </w:r>
      <w:r w:rsidR="007B22B5" w:rsidRPr="000B02D0">
        <w:rPr>
          <w:b/>
        </w:rPr>
        <w:t>účastí v</w:t>
      </w:r>
      <w:r w:rsidR="00FF746F">
        <w:rPr>
          <w:b/>
        </w:rPr>
        <w:t>eřejnosti při přípravě obecně použitelných prá</w:t>
      </w:r>
      <w:r w:rsidR="00245150">
        <w:rPr>
          <w:b/>
        </w:rPr>
        <w:t>vně závazných normativních nást</w:t>
      </w:r>
      <w:r w:rsidR="00FF746F">
        <w:rPr>
          <w:b/>
        </w:rPr>
        <w:t>r</w:t>
      </w:r>
      <w:r w:rsidR="0096319B">
        <w:rPr>
          <w:b/>
        </w:rPr>
        <w:t>o</w:t>
      </w:r>
      <w:r w:rsidR="00FF746F">
        <w:rPr>
          <w:b/>
        </w:rPr>
        <w:t>jů</w:t>
      </w:r>
      <w:r w:rsidR="007B22B5">
        <w:t>.</w:t>
      </w:r>
      <w:r w:rsidR="00601794">
        <w:t xml:space="preserve"> </w:t>
      </w:r>
      <w:r w:rsidR="000B02D0">
        <w:t xml:space="preserve">Zvláštností tohoto článku je, že </w:t>
      </w:r>
      <w:r w:rsidR="00A83D81">
        <w:t>neurčuje výslovný závazek</w:t>
      </w:r>
      <w:r w:rsidR="00691290">
        <w:t>,</w:t>
      </w:r>
      <w:r w:rsidR="005C0C8E">
        <w:t xml:space="preserve"> ale určuje cíl, k</w:t>
      </w:r>
      <w:r w:rsidR="000B02D0">
        <w:t> jehož naplnění by měly strany směřovat s</w:t>
      </w:r>
      <w:r w:rsidR="00691290">
        <w:t xml:space="preserve">voji činnost. Strany mají podporovat účinnou účast, veřejnosti na tvorbě právních předpisů v takovém stádiu jejich tvorby, kdy jejich zapojení do procesu může mít reálný dopad na podobu právního předpisu. </w:t>
      </w:r>
      <w:r w:rsidR="00D144E1">
        <w:t xml:space="preserve">Návrh právního předpisu by měl být zveřejněn a veřejnost by měla mít právo </w:t>
      </w:r>
      <w:r w:rsidR="00AC59B9">
        <w:t xml:space="preserve">k návrhu </w:t>
      </w:r>
      <w:r w:rsidR="00D144E1">
        <w:t>podávat připomínky návrhu.</w:t>
      </w:r>
      <w:r w:rsidR="00B60401">
        <w:t xml:space="preserve"> Způsob zveřejnění by měl ctít cíl pro co největší transparentnost a umožnění účasti veřejnosti. </w:t>
      </w:r>
      <w:r w:rsidR="00C94F97">
        <w:t xml:space="preserve">Pro přípravu připomínek a návrhů veřejnosti by měl pak být </w:t>
      </w:r>
      <w:r w:rsidR="00AC59B9">
        <w:t xml:space="preserve">potom </w:t>
      </w:r>
      <w:r w:rsidR="00C94F97">
        <w:t xml:space="preserve">dán dostatečný časový rámec tak, aby zapojení veřejnosti mohlo být účinné. Názor veřejnosti by </w:t>
      </w:r>
      <w:r w:rsidR="00A343E8">
        <w:t>měl být</w:t>
      </w:r>
      <w:r w:rsidR="00C94F97">
        <w:t xml:space="preserve"> při rozhodování</w:t>
      </w:r>
      <w:r w:rsidR="00A83D81">
        <w:t xml:space="preserve"> brán v maximální míře v potaz. </w:t>
      </w:r>
    </w:p>
    <w:p w:rsidR="00B60401" w:rsidRDefault="00A83D81" w:rsidP="00A46A7A">
      <w:pPr>
        <w:ind w:firstLine="708"/>
      </w:pPr>
      <w:r>
        <w:t>I přes výše</w:t>
      </w:r>
      <w:r w:rsidR="004D107C">
        <w:t xml:space="preserve"> uvedenou „nezávaz</w:t>
      </w:r>
      <w:r w:rsidR="00E26778">
        <w:t>nost“ je</w:t>
      </w:r>
      <w:r>
        <w:t xml:space="preserve"> cíl těchto ustanovení</w:t>
      </w:r>
      <w:r w:rsidR="001A2B86">
        <w:t xml:space="preserve"> zřejmý</w:t>
      </w:r>
      <w:r>
        <w:t xml:space="preserve">. Při posuzování unijní úpravy proto budu hledat odpověď, jak jsou jednotlivé cíle naplňovány. </w:t>
      </w:r>
      <w:r w:rsidR="00A46A7A">
        <w:t xml:space="preserve"> </w:t>
      </w:r>
    </w:p>
    <w:p w:rsidR="00C94F97" w:rsidRDefault="00FA4C96" w:rsidP="00F57525">
      <w:pPr>
        <w:pStyle w:val="Nadpis2"/>
        <w:numPr>
          <w:ilvl w:val="1"/>
          <w:numId w:val="3"/>
        </w:numPr>
      </w:pPr>
      <w:bookmarkStart w:id="25" w:name="_Toc446336414"/>
      <w:r>
        <w:t>Unijní právní úprava</w:t>
      </w:r>
      <w:bookmarkEnd w:id="25"/>
      <w:r w:rsidR="004B55A3">
        <w:t xml:space="preserve"> </w:t>
      </w:r>
      <w:r w:rsidR="0081406C">
        <w:t xml:space="preserve"> </w:t>
      </w:r>
      <w:r w:rsidR="00714EB4">
        <w:t xml:space="preserve">  </w:t>
      </w:r>
    </w:p>
    <w:p w:rsidR="003310BA" w:rsidRDefault="00C759FC" w:rsidP="00C759FC">
      <w:pPr>
        <w:ind w:firstLine="708"/>
      </w:pPr>
      <w:r>
        <w:t xml:space="preserve">Na úrovni Evropské unie tvoří </w:t>
      </w:r>
      <w:r w:rsidRPr="00C759FC">
        <w:rPr>
          <w:b/>
        </w:rPr>
        <w:t>politiku životního prostředí</w:t>
      </w:r>
      <w:r>
        <w:t xml:space="preserve"> (ve smyslu „</w:t>
      </w:r>
      <w:r w:rsidRPr="00C759FC">
        <w:rPr>
          <w:i/>
        </w:rPr>
        <w:t>policy</w:t>
      </w:r>
      <w:r w:rsidR="0083418C">
        <w:t>“) Evropská komise, která</w:t>
      </w:r>
      <w:r w:rsidR="00093D49">
        <w:t xml:space="preserve"> má monopol na legislativní iniciativu</w:t>
      </w:r>
      <w:r w:rsidR="0083418C">
        <w:t xml:space="preserve">. </w:t>
      </w:r>
      <w:r w:rsidR="003310BA">
        <w:t>Právním základem pr</w:t>
      </w:r>
      <w:r w:rsidR="005F5B6C">
        <w:t>o environmentální legislativu jsou články 191 a 192 SFEU</w:t>
      </w:r>
      <w:r w:rsidR="00B86BC0">
        <w:rPr>
          <w:rStyle w:val="Znakapoznpodarou"/>
        </w:rPr>
        <w:footnoteReference w:id="91"/>
      </w:r>
      <w:r w:rsidR="005F5B6C">
        <w:t xml:space="preserve">. </w:t>
      </w:r>
      <w:r w:rsidR="007E03E3">
        <w:t>P</w:t>
      </w:r>
      <w:r w:rsidR="00E13A0F">
        <w:t xml:space="preserve">ři vytváření </w:t>
      </w:r>
      <w:r w:rsidR="007E03E3">
        <w:t>právních norem týkajících se</w:t>
      </w:r>
      <w:r w:rsidR="00E13A0F">
        <w:t xml:space="preserve"> životního prostředí</w:t>
      </w:r>
      <w:r w:rsidR="00265776">
        <w:t xml:space="preserve"> je</w:t>
      </w:r>
      <w:r w:rsidR="00E13A0F">
        <w:t xml:space="preserve"> naprosto zásadní či</w:t>
      </w:r>
      <w:r w:rsidR="0023497E">
        <w:t>nnost Generální</w:t>
      </w:r>
      <w:r w:rsidR="004F6BD3">
        <w:t>ho</w:t>
      </w:r>
      <w:r w:rsidR="0023497E">
        <w:t xml:space="preserve"> ředitelství</w:t>
      </w:r>
      <w:r w:rsidR="007E03E3">
        <w:t xml:space="preserve"> pro životní prostředí</w:t>
      </w:r>
      <w:r w:rsidR="0023497E">
        <w:t xml:space="preserve"> (DG ENV)</w:t>
      </w:r>
      <w:r w:rsidR="007E03E3">
        <w:t>, které spadá pod portfolio Komisaře pro životní prostředí</w:t>
      </w:r>
      <w:r w:rsidR="00365F42">
        <w:t xml:space="preserve">, námořní věci a rybolov. </w:t>
      </w:r>
    </w:p>
    <w:p w:rsidR="00744188" w:rsidRDefault="00396956" w:rsidP="00386FC6">
      <w:pPr>
        <w:ind w:firstLine="708"/>
      </w:pPr>
      <w:r>
        <w:t xml:space="preserve">Právním základem pro účast veřejnosti je čl. 11 odst. 2 SEU. Ten dává orgánům povinnost vézt otevřený, transparentní a pravidelný dialog s reprezentativními sdruženími a s občanskou společností. </w:t>
      </w:r>
      <w:r w:rsidR="00554B94">
        <w:t>Na toto ustanovení navazuje hlava III nařízení č. 1367/2006</w:t>
      </w:r>
      <w:r w:rsidR="00601414">
        <w:t>.</w:t>
      </w:r>
      <w:r w:rsidR="00A736F7">
        <w:t xml:space="preserve"> </w:t>
      </w:r>
    </w:p>
    <w:p w:rsidR="0027715B" w:rsidRDefault="001B358E" w:rsidP="002E1C3F">
      <w:pPr>
        <w:ind w:firstLine="708"/>
      </w:pPr>
      <w:r>
        <w:lastRenderedPageBreak/>
        <w:t xml:space="preserve">Právní úprava Úmluvy a unijní právní úprava se nacházejí </w:t>
      </w:r>
      <w:r w:rsidRPr="00CE2322">
        <w:rPr>
          <w:b/>
        </w:rPr>
        <w:t>v </w:t>
      </w:r>
      <w:r w:rsidR="00A46A7A">
        <w:rPr>
          <w:b/>
        </w:rPr>
        <w:t>terminologickém</w:t>
      </w:r>
      <w:r w:rsidRPr="00CE2322">
        <w:rPr>
          <w:b/>
        </w:rPr>
        <w:t xml:space="preserve"> nesouladu</w:t>
      </w:r>
      <w:r>
        <w:t xml:space="preserve">. Úmluva rozlišuje plány a programy – politiky – obecně použitelné právně závazné normativní nástroje. Oproti tomu unijní úprava zná </w:t>
      </w:r>
      <w:r w:rsidR="004F6BD3">
        <w:t xml:space="preserve">na straně jedné </w:t>
      </w:r>
      <w:r>
        <w:t xml:space="preserve">pouze </w:t>
      </w:r>
      <w:r w:rsidR="00983E80">
        <w:t>plány a programy</w:t>
      </w:r>
      <w:r w:rsidR="0030688B">
        <w:t xml:space="preserve">, </w:t>
      </w:r>
      <w:r w:rsidR="00C62E9E">
        <w:t>tyto spadají pod režim nařízení č.</w:t>
      </w:r>
      <w:r w:rsidR="0030688B">
        <w:t xml:space="preserve"> 1367/2006</w:t>
      </w:r>
      <w:r w:rsidR="00983E80">
        <w:t>. D</w:t>
      </w:r>
      <w:r w:rsidR="00C62E9E">
        <w:t>alší akty připravované a případně i vydávané Komisí</w:t>
      </w:r>
      <w:r w:rsidR="0030688B">
        <w:t xml:space="preserve"> </w:t>
      </w:r>
      <w:r w:rsidR="00983E80">
        <w:t xml:space="preserve">jsou </w:t>
      </w:r>
      <w:r w:rsidR="0030688B">
        <w:t>na straně druhé</w:t>
      </w:r>
      <w:r w:rsidR="00C62E9E">
        <w:rPr>
          <w:rStyle w:val="Znakapoznpodarou"/>
        </w:rPr>
        <w:footnoteReference w:id="92"/>
      </w:r>
      <w:r w:rsidR="00983E80">
        <w:t>, u nich</w:t>
      </w:r>
      <w:r w:rsidR="00C62E9E">
        <w:t xml:space="preserve"> účast veřejnosti spadá pod režim sdělení Komise č. 704/2002</w:t>
      </w:r>
      <w:r w:rsidR="004042AD">
        <w:t xml:space="preserve"> Towards a reinforced culture of consultation and dialogue - General principles and minimum standards for consultation of interested parties by the Commission (dále jen sdělení Komise č. 704/2002</w:t>
      </w:r>
      <w:r w:rsidR="00A32727">
        <w:t>)</w:t>
      </w:r>
      <w:r w:rsidR="0030688B">
        <w:t>.</w:t>
      </w:r>
      <w:r>
        <w:t xml:space="preserve"> Přitom právě</w:t>
      </w:r>
      <w:r w:rsidR="003C501F">
        <w:t xml:space="preserve"> správné</w:t>
      </w:r>
      <w:r>
        <w:t xml:space="preserve"> určení povahy toho kterého aktu má za následek rozdílný režim účasti veřejnosti zaručené dle Úmluvy.</w:t>
      </w:r>
      <w:r w:rsidR="00906321">
        <w:t xml:space="preserve"> </w:t>
      </w:r>
    </w:p>
    <w:p w:rsidR="00D70280" w:rsidRDefault="00B86BC0" w:rsidP="00906321">
      <w:pPr>
        <w:ind w:firstLine="708"/>
      </w:pPr>
      <w:r>
        <w:t>Vzhledem k výše uvedené definici pojmu „</w:t>
      </w:r>
      <w:r w:rsidRPr="00DE01A1">
        <w:rPr>
          <w:i/>
        </w:rPr>
        <w:t>policy</w:t>
      </w:r>
      <w:r>
        <w:t>“ lze dle mého názoru dovodit, že se na něj čl. 9 nařízení č. 1367/2006 vztahuje</w:t>
      </w:r>
      <w:r w:rsidR="00E272C3">
        <w:t xml:space="preserve"> i když jej výslovně neuvádí</w:t>
      </w:r>
      <w:r>
        <w:t xml:space="preserve">. Toto lze dokázat na příkladu akčních plánů životního prostředí. </w:t>
      </w:r>
    </w:p>
    <w:p w:rsidR="00E272C3" w:rsidRDefault="00D70280" w:rsidP="00906321">
      <w:pPr>
        <w:ind w:firstLine="708"/>
      </w:pPr>
      <w:r>
        <w:t xml:space="preserve">Právním základem pro akční plány je čl. 192 odst. 3 SFEU, který je definuje jako všeobecné programy činnosti, které jsou schvalovány řádným legislativním postupem. </w:t>
      </w:r>
      <w:r w:rsidR="00E272C3">
        <w:t>Čl. 9 nařízení ve vě</w:t>
      </w:r>
      <w:r w:rsidR="00AE6684">
        <w:t xml:space="preserve">tě druhé </w:t>
      </w:r>
      <w:r w:rsidR="00E272C3">
        <w:t>stanoví: „</w:t>
      </w:r>
      <w:r w:rsidR="00E272C3" w:rsidRPr="00DF00CB">
        <w:rPr>
          <w:i/>
        </w:rPr>
        <w:t>Zejm</w:t>
      </w:r>
      <w:r w:rsidR="00E272C3" w:rsidRPr="00DF00CB">
        <w:rPr>
          <w:rFonts w:hint="eastAsia"/>
          <w:i/>
        </w:rPr>
        <w:t>é</w:t>
      </w:r>
      <w:r w:rsidR="00E272C3" w:rsidRPr="00DF00CB">
        <w:rPr>
          <w:i/>
        </w:rPr>
        <w:t>na jestli</w:t>
      </w:r>
      <w:r w:rsidR="00E272C3" w:rsidRPr="00DF00CB">
        <w:rPr>
          <w:rFonts w:hint="eastAsia"/>
          <w:i/>
        </w:rPr>
        <w:t>ž</w:t>
      </w:r>
      <w:r w:rsidR="00E272C3" w:rsidRPr="00DF00CB">
        <w:rPr>
          <w:i/>
        </w:rPr>
        <w:t>e Komise p</w:t>
      </w:r>
      <w:r w:rsidR="00E272C3" w:rsidRPr="00DF00CB">
        <w:rPr>
          <w:rFonts w:hint="eastAsia"/>
          <w:i/>
        </w:rPr>
        <w:t>ř</w:t>
      </w:r>
      <w:r w:rsidR="00E272C3" w:rsidRPr="00DF00CB">
        <w:rPr>
          <w:i/>
        </w:rPr>
        <w:t>ipravuje n</w:t>
      </w:r>
      <w:r w:rsidR="00E272C3" w:rsidRPr="00DF00CB">
        <w:rPr>
          <w:rFonts w:hint="eastAsia"/>
          <w:i/>
        </w:rPr>
        <w:t>á</w:t>
      </w:r>
      <w:r w:rsidR="00E272C3" w:rsidRPr="00DF00CB">
        <w:rPr>
          <w:i/>
        </w:rPr>
        <w:t>vrh takov</w:t>
      </w:r>
      <w:r w:rsidR="00E272C3" w:rsidRPr="00DF00CB">
        <w:rPr>
          <w:rFonts w:hint="eastAsia"/>
          <w:i/>
        </w:rPr>
        <w:t>é</w:t>
      </w:r>
      <w:r w:rsidR="00E272C3" w:rsidRPr="00DF00CB">
        <w:rPr>
          <w:i/>
        </w:rPr>
        <w:t>ho pl</w:t>
      </w:r>
      <w:r w:rsidR="00E272C3" w:rsidRPr="00DF00CB">
        <w:rPr>
          <w:rFonts w:hint="eastAsia"/>
          <w:i/>
        </w:rPr>
        <w:t>á</w:t>
      </w:r>
      <w:r w:rsidR="00E272C3" w:rsidRPr="00DF00CB">
        <w:rPr>
          <w:i/>
        </w:rPr>
        <w:t>nu nebo programu, kter</w:t>
      </w:r>
      <w:r w:rsidR="00E272C3" w:rsidRPr="00DF00CB">
        <w:rPr>
          <w:rFonts w:hint="eastAsia"/>
          <w:i/>
        </w:rPr>
        <w:t>ý</w:t>
      </w:r>
      <w:r w:rsidR="00E272C3" w:rsidRPr="00DF00CB">
        <w:rPr>
          <w:i/>
        </w:rPr>
        <w:t xml:space="preserve"> p</w:t>
      </w:r>
      <w:r w:rsidR="00E272C3" w:rsidRPr="00DF00CB">
        <w:rPr>
          <w:rFonts w:hint="eastAsia"/>
          <w:i/>
        </w:rPr>
        <w:t>ř</w:t>
      </w:r>
      <w:r w:rsidR="00E272C3" w:rsidRPr="00DF00CB">
        <w:rPr>
          <w:i/>
        </w:rPr>
        <w:t>edkl</w:t>
      </w:r>
      <w:r w:rsidR="00E272C3" w:rsidRPr="00DF00CB">
        <w:rPr>
          <w:rFonts w:hint="eastAsia"/>
          <w:i/>
        </w:rPr>
        <w:t>á</w:t>
      </w:r>
      <w:r w:rsidR="00E272C3" w:rsidRPr="00DF00CB">
        <w:rPr>
          <w:i/>
        </w:rPr>
        <w:t>d</w:t>
      </w:r>
      <w:r w:rsidR="00E272C3" w:rsidRPr="00DF00CB">
        <w:rPr>
          <w:rFonts w:hint="eastAsia"/>
          <w:i/>
        </w:rPr>
        <w:t>á</w:t>
      </w:r>
      <w:r w:rsidR="00E272C3" w:rsidRPr="00DF00CB">
        <w:rPr>
          <w:i/>
        </w:rPr>
        <w:t xml:space="preserve"> jin</w:t>
      </w:r>
      <w:r w:rsidR="00E272C3" w:rsidRPr="00DF00CB">
        <w:rPr>
          <w:rFonts w:hint="eastAsia"/>
          <w:i/>
        </w:rPr>
        <w:t>ý</w:t>
      </w:r>
      <w:r w:rsidR="00E272C3" w:rsidRPr="00DF00CB">
        <w:rPr>
          <w:i/>
        </w:rPr>
        <w:t>m org</w:t>
      </w:r>
      <w:r w:rsidR="00E272C3" w:rsidRPr="00DF00CB">
        <w:rPr>
          <w:rFonts w:hint="eastAsia"/>
          <w:i/>
        </w:rPr>
        <w:t>á</w:t>
      </w:r>
      <w:r w:rsidR="00E272C3" w:rsidRPr="00DF00CB">
        <w:rPr>
          <w:i/>
        </w:rPr>
        <w:t>n</w:t>
      </w:r>
      <w:r w:rsidR="00E272C3" w:rsidRPr="00DF00CB">
        <w:rPr>
          <w:rFonts w:hint="eastAsia"/>
          <w:i/>
        </w:rPr>
        <w:t>ů</w:t>
      </w:r>
      <w:r w:rsidR="00E272C3" w:rsidRPr="00DF00CB">
        <w:rPr>
          <w:i/>
        </w:rPr>
        <w:t>m nebo subjekt</w:t>
      </w:r>
      <w:r w:rsidR="00E272C3" w:rsidRPr="00DF00CB">
        <w:rPr>
          <w:rFonts w:hint="eastAsia"/>
          <w:i/>
        </w:rPr>
        <w:t>ů</w:t>
      </w:r>
      <w:r w:rsidR="00E272C3" w:rsidRPr="00DF00CB">
        <w:rPr>
          <w:i/>
        </w:rPr>
        <w:t>m Spole</w:t>
      </w:r>
      <w:r w:rsidR="00E272C3" w:rsidRPr="00DF00CB">
        <w:rPr>
          <w:rFonts w:hint="eastAsia"/>
          <w:i/>
        </w:rPr>
        <w:t>č</w:t>
      </w:r>
      <w:r w:rsidR="00E272C3" w:rsidRPr="00DF00CB">
        <w:rPr>
          <w:i/>
        </w:rPr>
        <w:t>enstv</w:t>
      </w:r>
      <w:r w:rsidR="00E272C3" w:rsidRPr="00DF00CB">
        <w:rPr>
          <w:rFonts w:hint="eastAsia"/>
          <w:i/>
        </w:rPr>
        <w:t>í</w:t>
      </w:r>
      <w:r w:rsidR="00E272C3" w:rsidRPr="00DF00CB">
        <w:rPr>
          <w:i/>
        </w:rPr>
        <w:t xml:space="preserve"> k rozhodnut</w:t>
      </w:r>
      <w:r w:rsidR="00E272C3" w:rsidRPr="00DF00CB">
        <w:rPr>
          <w:rFonts w:hint="eastAsia"/>
          <w:i/>
        </w:rPr>
        <w:t>í</w:t>
      </w:r>
      <w:r w:rsidR="00E272C3" w:rsidRPr="00DF00CB">
        <w:rPr>
          <w:i/>
        </w:rPr>
        <w:t>, zajist</w:t>
      </w:r>
      <w:r w:rsidR="00E272C3" w:rsidRPr="00DF00CB">
        <w:rPr>
          <w:rFonts w:hint="eastAsia"/>
          <w:i/>
        </w:rPr>
        <w:t>í</w:t>
      </w:r>
      <w:r w:rsidR="00E272C3" w:rsidRPr="00DF00CB">
        <w:rPr>
          <w:i/>
        </w:rPr>
        <w:t xml:space="preserve"> v t</w:t>
      </w:r>
      <w:r w:rsidR="00E272C3" w:rsidRPr="00DF00CB">
        <w:rPr>
          <w:rFonts w:hint="eastAsia"/>
          <w:i/>
        </w:rPr>
        <w:t>é</w:t>
      </w:r>
      <w:r w:rsidR="00E272C3" w:rsidRPr="00DF00CB">
        <w:rPr>
          <w:i/>
        </w:rPr>
        <w:t>to p</w:t>
      </w:r>
      <w:r w:rsidR="00E272C3" w:rsidRPr="00DF00CB">
        <w:rPr>
          <w:rFonts w:hint="eastAsia"/>
          <w:i/>
        </w:rPr>
        <w:t>ří</w:t>
      </w:r>
      <w:r w:rsidR="00E272C3" w:rsidRPr="00DF00CB">
        <w:rPr>
          <w:i/>
        </w:rPr>
        <w:t>pravn</w:t>
      </w:r>
      <w:r w:rsidR="00E272C3" w:rsidRPr="00DF00CB">
        <w:rPr>
          <w:rFonts w:hint="eastAsia"/>
          <w:i/>
        </w:rPr>
        <w:t>é</w:t>
      </w:r>
      <w:r w:rsidR="00E272C3" w:rsidRPr="00DF00CB">
        <w:rPr>
          <w:i/>
        </w:rPr>
        <w:t xml:space="preserve"> f</w:t>
      </w:r>
      <w:r w:rsidR="00E272C3" w:rsidRPr="00DF00CB">
        <w:rPr>
          <w:rFonts w:hint="eastAsia"/>
          <w:i/>
        </w:rPr>
        <w:t>á</w:t>
      </w:r>
      <w:r w:rsidR="00E272C3" w:rsidRPr="00DF00CB">
        <w:rPr>
          <w:i/>
        </w:rPr>
        <w:t xml:space="preserve">zi </w:t>
      </w:r>
      <w:r w:rsidR="00E272C3" w:rsidRPr="00DF00CB">
        <w:rPr>
          <w:rFonts w:hint="eastAsia"/>
          <w:i/>
        </w:rPr>
        <w:t>úč</w:t>
      </w:r>
      <w:r w:rsidR="00E272C3" w:rsidRPr="00DF00CB">
        <w:rPr>
          <w:i/>
        </w:rPr>
        <w:t>ast ve</w:t>
      </w:r>
      <w:r w:rsidR="00E272C3" w:rsidRPr="00DF00CB">
        <w:rPr>
          <w:rFonts w:hint="eastAsia"/>
          <w:i/>
        </w:rPr>
        <w:t>ř</w:t>
      </w:r>
      <w:r w:rsidR="00E272C3" w:rsidRPr="00DF00CB">
        <w:rPr>
          <w:i/>
        </w:rPr>
        <w:t>ejnosti.</w:t>
      </w:r>
      <w:r w:rsidR="00E272C3" w:rsidRPr="00DF00CB">
        <w:t>“</w:t>
      </w:r>
      <w:r w:rsidR="00E272C3">
        <w:t xml:space="preserve"> Z této formulace jde dovodit, že plány a programy mohou být postoupeny jiným orgánům nebo subjektům Společenství – tedy, že mohou být přijímány v rámci řádného nebo zvláštního legislativního procesu</w:t>
      </w:r>
      <w:r>
        <w:t xml:space="preserve"> – tedy, že sem mohou spadat i akční plány. Pokud toto</w:t>
      </w:r>
      <w:r w:rsidR="00E272C3">
        <w:t xml:space="preserve"> pr</w:t>
      </w:r>
      <w:r>
        <w:t>opojíme s definicí pojmu „</w:t>
      </w:r>
      <w:r w:rsidRPr="0020021A">
        <w:rPr>
          <w:i/>
        </w:rPr>
        <w:t>policy</w:t>
      </w:r>
      <w:r>
        <w:t>“ jako</w:t>
      </w:r>
      <w:r w:rsidR="00E272C3">
        <w:t xml:space="preserve"> </w:t>
      </w:r>
      <w:r>
        <w:t>„</w:t>
      </w:r>
      <w:r w:rsidRPr="00714EB4">
        <w:rPr>
          <w:i/>
        </w:rPr>
        <w:t>konkrétní politická rozhodnutí, opatření a „výstup</w:t>
      </w:r>
      <w:r>
        <w:rPr>
          <w:i/>
        </w:rPr>
        <w:t>y</w:t>
      </w:r>
      <w:r w:rsidRPr="00714EB4">
        <w:rPr>
          <w:i/>
        </w:rPr>
        <w:t>“ (zákony a nařízení, programy atd.), jež se přímo týkají občanů,</w:t>
      </w:r>
      <w:r>
        <w:t>“ jde jednoznačně konstatovat, že akční plány jsou politikou ve smyslu „</w:t>
      </w:r>
      <w:r w:rsidRPr="0020021A">
        <w:rPr>
          <w:i/>
        </w:rPr>
        <w:t>policy</w:t>
      </w:r>
      <w:r>
        <w:t>“ Evropské unie</w:t>
      </w:r>
      <w:r w:rsidR="00B731CE">
        <w:t xml:space="preserve"> a vztahují</w:t>
      </w:r>
      <w:r w:rsidR="003C0C1B">
        <w:t xml:space="preserve"> se na ně požadavky věty čtvrté Úmluvy.</w:t>
      </w:r>
      <w:r w:rsidR="003A5719">
        <w:t xml:space="preserve"> </w:t>
      </w:r>
    </w:p>
    <w:p w:rsidR="004478DB" w:rsidRDefault="004478DB" w:rsidP="004478DB">
      <w:pPr>
        <w:ind w:firstLine="708"/>
      </w:pPr>
      <w:r>
        <w:t>Vzhledem k tomu, že se politika životního prostředí tvoří v rámci legislativního procesu, je třeba do zkoumání zapojit též sdělení Komise č. 704/2002. Jedná se o nezávazný akt navazující na bílou knihu Evropská vládní moc</w:t>
      </w:r>
      <w:r>
        <w:rPr>
          <w:rStyle w:val="Znakapoznpodarou"/>
        </w:rPr>
        <w:footnoteReference w:id="93"/>
      </w:r>
      <w:r>
        <w:t>, který má za cíl sjednotit přístup jednotlivých oddělení Komise ke konzultacím s veřejností. Č</w:t>
      </w:r>
      <w:r w:rsidR="003260DD">
        <w:t>l. 13 nařízení č. 1367/2006</w:t>
      </w:r>
      <w:r>
        <w:t xml:space="preserve"> umožňuje orgánům a subjektům Společenství upravit své jednací řády tak, aby se dostaly do souladu s tímto nařízením (a tím i</w:t>
      </w:r>
      <w:r w:rsidR="00ED18B4">
        <w:t xml:space="preserve"> s</w:t>
      </w:r>
      <w:r>
        <w:t xml:space="preserve"> Úmluvou). </w:t>
      </w:r>
      <w:r w:rsidR="003260DD">
        <w:t>Např. Komise proto přijala rozhodnutí</w:t>
      </w:r>
      <w:r>
        <w:t xml:space="preserve"> č. </w:t>
      </w:r>
      <w:r w:rsidRPr="008C6967">
        <w:t>2008/401/ES</w:t>
      </w:r>
      <w:r>
        <w:t xml:space="preserve"> </w:t>
      </w:r>
      <w:r w:rsidRPr="008C6967">
        <w:t>kterým se mění její jednací řád</w:t>
      </w:r>
      <w:r>
        <w:t xml:space="preserve">. V čl. 2 přílohy tohoto rozhodnutí je stanoveno, </w:t>
      </w:r>
      <w:r>
        <w:lastRenderedPageBreak/>
        <w:t>že pro provádění č</w:t>
      </w:r>
      <w:r w:rsidR="00ED11EB">
        <w:t>l</w:t>
      </w:r>
      <w:r>
        <w:t xml:space="preserve">. 9 odst. 1 nařízení č. 1367/2006 zajistí Komise účast veřejnosti v souladu se sdělením Komise č. 704/2002. Tímto </w:t>
      </w:r>
      <w:r w:rsidR="00AC43FF">
        <w:t xml:space="preserve">pro oblast čl. 9 odst. 1 získalo sdělení </w:t>
      </w:r>
      <w:r w:rsidR="003260DD">
        <w:t>K</w:t>
      </w:r>
      <w:r w:rsidR="00AC43FF">
        <w:t xml:space="preserve">omise č. 704/2002 právně závazný charakter. </w:t>
      </w:r>
      <w:r>
        <w:t xml:space="preserve"> </w:t>
      </w:r>
    </w:p>
    <w:p w:rsidR="002E1C3F" w:rsidRDefault="002E1C3F" w:rsidP="001E270F">
      <w:pPr>
        <w:ind w:firstLine="708"/>
      </w:pPr>
      <w:r>
        <w:t>V následující tabulce srovnám právní akty podle Úml</w:t>
      </w:r>
      <w:r w:rsidR="004478DB">
        <w:t xml:space="preserve">uvy s akty rozeznávanými unijní </w:t>
      </w:r>
      <w:r w:rsidR="001E270F">
        <w:t xml:space="preserve">právní úpravou.  </w:t>
      </w:r>
    </w:p>
    <w:tbl>
      <w:tblPr>
        <w:tblStyle w:val="Mkatabulky"/>
        <w:tblW w:w="9210" w:type="dxa"/>
        <w:tblLook w:val="04A0" w:firstRow="1" w:lastRow="0" w:firstColumn="1" w:lastColumn="0" w:noHBand="0" w:noVBand="1"/>
      </w:tblPr>
      <w:tblGrid>
        <w:gridCol w:w="4605"/>
        <w:gridCol w:w="4605"/>
      </w:tblGrid>
      <w:tr w:rsidR="001E270F" w:rsidTr="001E270F">
        <w:trPr>
          <w:trHeight w:val="439"/>
        </w:trPr>
        <w:tc>
          <w:tcPr>
            <w:tcW w:w="4605" w:type="dxa"/>
          </w:tcPr>
          <w:p w:rsidR="001E270F" w:rsidRPr="00B0174C" w:rsidRDefault="001E270F" w:rsidP="001E270F">
            <w:pPr>
              <w:spacing w:line="240" w:lineRule="auto"/>
              <w:jc w:val="center"/>
              <w:rPr>
                <w:b/>
                <w:sz w:val="24"/>
                <w:szCs w:val="24"/>
              </w:rPr>
            </w:pPr>
            <w:r w:rsidRPr="00B0174C">
              <w:rPr>
                <w:b/>
                <w:sz w:val="24"/>
                <w:szCs w:val="24"/>
              </w:rPr>
              <w:t>Aarhuská úmluva</w:t>
            </w:r>
          </w:p>
        </w:tc>
        <w:tc>
          <w:tcPr>
            <w:tcW w:w="4605" w:type="dxa"/>
          </w:tcPr>
          <w:p w:rsidR="001E270F" w:rsidRPr="00B0174C" w:rsidRDefault="001E270F" w:rsidP="001E270F">
            <w:pPr>
              <w:spacing w:line="240" w:lineRule="auto"/>
              <w:jc w:val="center"/>
              <w:rPr>
                <w:b/>
                <w:sz w:val="24"/>
                <w:szCs w:val="24"/>
              </w:rPr>
            </w:pPr>
            <w:r w:rsidRPr="00B0174C">
              <w:rPr>
                <w:b/>
                <w:sz w:val="24"/>
                <w:szCs w:val="24"/>
              </w:rPr>
              <w:t>Unijní úprava</w:t>
            </w:r>
          </w:p>
        </w:tc>
      </w:tr>
      <w:tr w:rsidR="001E270F" w:rsidTr="001E270F">
        <w:trPr>
          <w:trHeight w:val="417"/>
        </w:trPr>
        <w:tc>
          <w:tcPr>
            <w:tcW w:w="4605" w:type="dxa"/>
          </w:tcPr>
          <w:p w:rsidR="001E270F" w:rsidRPr="00B0174C" w:rsidRDefault="001E270F" w:rsidP="001E270F">
            <w:pPr>
              <w:spacing w:line="240" w:lineRule="auto"/>
              <w:rPr>
                <w:sz w:val="24"/>
                <w:szCs w:val="24"/>
              </w:rPr>
            </w:pPr>
            <w:r w:rsidRPr="00B0174C">
              <w:rPr>
                <w:sz w:val="24"/>
                <w:szCs w:val="24"/>
              </w:rPr>
              <w:t>Individuální záměry</w:t>
            </w:r>
          </w:p>
        </w:tc>
        <w:tc>
          <w:tcPr>
            <w:tcW w:w="4605" w:type="dxa"/>
          </w:tcPr>
          <w:p w:rsidR="001E270F" w:rsidRPr="00B0174C" w:rsidRDefault="001E270F" w:rsidP="001E270F">
            <w:pPr>
              <w:spacing w:line="240" w:lineRule="auto"/>
              <w:rPr>
                <w:sz w:val="24"/>
                <w:szCs w:val="24"/>
              </w:rPr>
            </w:pPr>
            <w:r w:rsidRPr="00B0174C">
              <w:rPr>
                <w:sz w:val="24"/>
                <w:szCs w:val="24"/>
              </w:rPr>
              <w:t>Členské státy (EIA, SEA)</w:t>
            </w:r>
          </w:p>
        </w:tc>
      </w:tr>
      <w:tr w:rsidR="001E270F" w:rsidTr="001E270F">
        <w:trPr>
          <w:trHeight w:val="422"/>
        </w:trPr>
        <w:tc>
          <w:tcPr>
            <w:tcW w:w="4605" w:type="dxa"/>
          </w:tcPr>
          <w:p w:rsidR="001E270F" w:rsidRPr="00B0174C" w:rsidRDefault="001E270F" w:rsidP="001E270F">
            <w:pPr>
              <w:spacing w:line="240" w:lineRule="auto"/>
              <w:rPr>
                <w:sz w:val="24"/>
                <w:szCs w:val="24"/>
              </w:rPr>
            </w:pPr>
            <w:r w:rsidRPr="00B0174C">
              <w:rPr>
                <w:sz w:val="24"/>
                <w:szCs w:val="24"/>
              </w:rPr>
              <w:t>Plány a programy</w:t>
            </w:r>
          </w:p>
        </w:tc>
        <w:tc>
          <w:tcPr>
            <w:tcW w:w="4605" w:type="dxa"/>
          </w:tcPr>
          <w:p w:rsidR="001E270F" w:rsidRPr="00B0174C" w:rsidRDefault="001E270F" w:rsidP="001E270F">
            <w:pPr>
              <w:spacing w:line="240" w:lineRule="auto"/>
              <w:rPr>
                <w:sz w:val="24"/>
                <w:szCs w:val="24"/>
              </w:rPr>
            </w:pPr>
            <w:r w:rsidRPr="00B0174C">
              <w:rPr>
                <w:sz w:val="24"/>
                <w:szCs w:val="24"/>
              </w:rPr>
              <w:t>Čl. 9 věta první, nařízení č. 1367/2006</w:t>
            </w:r>
          </w:p>
        </w:tc>
      </w:tr>
      <w:tr w:rsidR="001E270F" w:rsidTr="001E270F">
        <w:tc>
          <w:tcPr>
            <w:tcW w:w="4605" w:type="dxa"/>
          </w:tcPr>
          <w:p w:rsidR="001E270F" w:rsidRPr="00B0174C" w:rsidRDefault="001E270F" w:rsidP="001E270F">
            <w:pPr>
              <w:spacing w:line="240" w:lineRule="auto"/>
              <w:rPr>
                <w:sz w:val="24"/>
                <w:szCs w:val="24"/>
              </w:rPr>
            </w:pPr>
            <w:r w:rsidRPr="00B0174C">
              <w:rPr>
                <w:sz w:val="24"/>
                <w:szCs w:val="24"/>
              </w:rPr>
              <w:t>Politiky</w:t>
            </w:r>
          </w:p>
        </w:tc>
        <w:tc>
          <w:tcPr>
            <w:tcW w:w="4605" w:type="dxa"/>
          </w:tcPr>
          <w:p w:rsidR="001E270F" w:rsidRPr="00B0174C" w:rsidRDefault="001E270F" w:rsidP="001E270F">
            <w:pPr>
              <w:spacing w:line="240" w:lineRule="auto"/>
              <w:rPr>
                <w:sz w:val="24"/>
                <w:szCs w:val="24"/>
              </w:rPr>
            </w:pPr>
            <w:r w:rsidRPr="00B0174C">
              <w:rPr>
                <w:sz w:val="24"/>
                <w:szCs w:val="24"/>
              </w:rPr>
              <w:t>Čl. 9 věta druhá, nařízení č. 1367/2006</w:t>
            </w:r>
          </w:p>
          <w:p w:rsidR="001E270F" w:rsidRPr="00B0174C" w:rsidRDefault="001E270F" w:rsidP="001E270F">
            <w:pPr>
              <w:spacing w:line="240" w:lineRule="auto"/>
              <w:rPr>
                <w:sz w:val="24"/>
                <w:szCs w:val="24"/>
              </w:rPr>
            </w:pPr>
            <w:r w:rsidRPr="00B0174C">
              <w:rPr>
                <w:sz w:val="24"/>
                <w:szCs w:val="24"/>
              </w:rPr>
              <w:t xml:space="preserve">Sdělení Komise č. 704/2002 </w:t>
            </w:r>
          </w:p>
        </w:tc>
      </w:tr>
      <w:tr w:rsidR="001E270F" w:rsidTr="001E270F">
        <w:tc>
          <w:tcPr>
            <w:tcW w:w="4605" w:type="dxa"/>
          </w:tcPr>
          <w:p w:rsidR="001E270F" w:rsidRPr="00B0174C" w:rsidRDefault="001E270F" w:rsidP="001E270F">
            <w:pPr>
              <w:spacing w:line="240" w:lineRule="auto"/>
              <w:rPr>
                <w:sz w:val="24"/>
                <w:szCs w:val="24"/>
              </w:rPr>
            </w:pPr>
            <w:r w:rsidRPr="00B0174C">
              <w:rPr>
                <w:sz w:val="24"/>
                <w:szCs w:val="24"/>
              </w:rPr>
              <w:t>Obecně použitelné právně závazné normativní nástroje</w:t>
            </w:r>
          </w:p>
        </w:tc>
        <w:tc>
          <w:tcPr>
            <w:tcW w:w="4605" w:type="dxa"/>
          </w:tcPr>
          <w:p w:rsidR="001E270F" w:rsidRPr="00B0174C" w:rsidRDefault="001E270F" w:rsidP="001E270F">
            <w:pPr>
              <w:spacing w:line="240" w:lineRule="auto"/>
              <w:rPr>
                <w:sz w:val="24"/>
                <w:szCs w:val="24"/>
              </w:rPr>
            </w:pPr>
            <w:r w:rsidRPr="00B0174C">
              <w:rPr>
                <w:sz w:val="24"/>
                <w:szCs w:val="24"/>
              </w:rPr>
              <w:t xml:space="preserve">Sdělení Komise č. 704/2002 </w:t>
            </w:r>
          </w:p>
        </w:tc>
      </w:tr>
    </w:tbl>
    <w:p w:rsidR="001E270F" w:rsidRDefault="001E270F" w:rsidP="003260DD"/>
    <w:p w:rsidR="00B0174C" w:rsidRDefault="004E5A91" w:rsidP="00F34A24">
      <w:pPr>
        <w:ind w:firstLine="708"/>
      </w:pPr>
      <w:r>
        <w:t>Protože unijní úpra</w:t>
      </w:r>
      <w:r w:rsidR="00F82BCC">
        <w:t>va nerozlišuje plány a</w:t>
      </w:r>
      <w:r w:rsidR="00BC32F6">
        <w:t xml:space="preserve"> programy od politik</w:t>
      </w:r>
      <w:r>
        <w:t xml:space="preserve"> a pro všechny zavádí stejný režim, je vhodné srovnat i požadavky na účast veřejnosti při tvorbě plánů a programů dle Úmluvy s unijní právní úpravou (nezabývám se zde</w:t>
      </w:r>
      <w:r w:rsidR="00906321">
        <w:t xml:space="preserve"> sdělením Komise č. 704/2002)</w:t>
      </w:r>
      <w:r w:rsidR="0011236B">
        <w:t>.</w:t>
      </w:r>
      <w:r w:rsidR="0063287E">
        <w:t xml:space="preserve"> </w:t>
      </w:r>
    </w:p>
    <w:tbl>
      <w:tblPr>
        <w:tblStyle w:val="Mkatabulky"/>
        <w:tblW w:w="0" w:type="auto"/>
        <w:tblLook w:val="04A0" w:firstRow="1" w:lastRow="0" w:firstColumn="1" w:lastColumn="0" w:noHBand="0" w:noVBand="1"/>
      </w:tblPr>
      <w:tblGrid>
        <w:gridCol w:w="4605"/>
        <w:gridCol w:w="4606"/>
      </w:tblGrid>
      <w:tr w:rsidR="001E270F" w:rsidTr="001E270F">
        <w:tc>
          <w:tcPr>
            <w:tcW w:w="4605" w:type="dxa"/>
          </w:tcPr>
          <w:p w:rsidR="001E270F" w:rsidRPr="00F34A24" w:rsidRDefault="001E270F" w:rsidP="00F34A24">
            <w:pPr>
              <w:jc w:val="center"/>
              <w:rPr>
                <w:b/>
              </w:rPr>
            </w:pPr>
            <w:r w:rsidRPr="00F34A24">
              <w:rPr>
                <w:b/>
              </w:rPr>
              <w:t>Aarhuská úmluva</w:t>
            </w:r>
          </w:p>
        </w:tc>
        <w:tc>
          <w:tcPr>
            <w:tcW w:w="4606" w:type="dxa"/>
          </w:tcPr>
          <w:p w:rsidR="001E270F" w:rsidRPr="00F34A24" w:rsidRDefault="001E270F" w:rsidP="00F34A24">
            <w:pPr>
              <w:jc w:val="center"/>
              <w:rPr>
                <w:b/>
              </w:rPr>
            </w:pPr>
            <w:r w:rsidRPr="00F34A24">
              <w:rPr>
                <w:b/>
              </w:rPr>
              <w:t>Unijní úprava</w:t>
            </w:r>
          </w:p>
        </w:tc>
      </w:tr>
      <w:tr w:rsidR="001E270F" w:rsidTr="001E270F">
        <w:tc>
          <w:tcPr>
            <w:tcW w:w="4605" w:type="dxa"/>
          </w:tcPr>
          <w:p w:rsidR="001E270F" w:rsidRDefault="001E270F" w:rsidP="00AF0471">
            <w:r>
              <w:t>Článek 7</w:t>
            </w:r>
          </w:p>
          <w:p w:rsidR="001E270F" w:rsidRDefault="001E270F" w:rsidP="001E270F">
            <w:pPr>
              <w:pStyle w:val="Odstavecseseznamem"/>
              <w:numPr>
                <w:ilvl w:val="0"/>
                <w:numId w:val="10"/>
              </w:numPr>
            </w:pPr>
            <w:r>
              <w:t>Účast veřejnosti při přípravě plánů a programů</w:t>
            </w:r>
          </w:p>
          <w:p w:rsidR="001E270F" w:rsidRDefault="001E270F" w:rsidP="001E270F">
            <w:pPr>
              <w:pStyle w:val="Odstavecseseznamem"/>
              <w:numPr>
                <w:ilvl w:val="0"/>
                <w:numId w:val="10"/>
              </w:numPr>
            </w:pPr>
            <w:r>
              <w:t>Transparentnost, spravedlnost</w:t>
            </w:r>
          </w:p>
          <w:p w:rsidR="001E270F" w:rsidRPr="001E270F" w:rsidRDefault="001E270F" w:rsidP="001E270F">
            <w:pPr>
              <w:pStyle w:val="Odstavecseseznamem"/>
              <w:numPr>
                <w:ilvl w:val="0"/>
                <w:numId w:val="10"/>
              </w:numPr>
            </w:pPr>
            <w:r>
              <w:t>Poskytnutí nezbytných informací</w:t>
            </w:r>
          </w:p>
        </w:tc>
        <w:tc>
          <w:tcPr>
            <w:tcW w:w="4606" w:type="dxa"/>
          </w:tcPr>
          <w:p w:rsidR="001E270F" w:rsidRDefault="001E270F" w:rsidP="00AF0471"/>
          <w:p w:rsidR="001E270F" w:rsidRDefault="001E270F" w:rsidP="00AF0471">
            <w:r>
              <w:t>Čl. 9 odst. 1 nařízení č. 1367/2006</w:t>
            </w:r>
          </w:p>
          <w:p w:rsidR="001E270F" w:rsidRDefault="001E270F" w:rsidP="00AF0471"/>
          <w:p w:rsidR="001E270F" w:rsidRDefault="001E270F" w:rsidP="00AF0471">
            <w:r>
              <w:t>Čl. 9 odst. 3 nařízení č. 1367/2006</w:t>
            </w:r>
          </w:p>
          <w:p w:rsidR="001E270F" w:rsidRDefault="001E270F" w:rsidP="00AF0471">
            <w:r>
              <w:t>Čl. 9 odst. 3 nařízení č. 1367/2006 +</w:t>
            </w:r>
          </w:p>
          <w:p w:rsidR="001E270F" w:rsidRDefault="001E270F" w:rsidP="00AF0471">
            <w:r>
              <w:t>Nařízení č. 1049/2001</w:t>
            </w:r>
          </w:p>
        </w:tc>
      </w:tr>
      <w:tr w:rsidR="001E270F" w:rsidTr="001E270F">
        <w:tc>
          <w:tcPr>
            <w:tcW w:w="4605" w:type="dxa"/>
          </w:tcPr>
          <w:p w:rsidR="001E270F" w:rsidRDefault="00F34A24" w:rsidP="00AF0471">
            <w:r>
              <w:t xml:space="preserve">Článek 6 odst. 3 </w:t>
            </w:r>
          </w:p>
          <w:p w:rsidR="00F34A24" w:rsidRPr="00F34A24" w:rsidRDefault="00F34A24" w:rsidP="00F34A24">
            <w:pPr>
              <w:pStyle w:val="Odstavecseseznamem"/>
              <w:numPr>
                <w:ilvl w:val="0"/>
                <w:numId w:val="10"/>
              </w:numPr>
            </w:pPr>
            <w:r>
              <w:t>Rozumné lhůty</w:t>
            </w:r>
          </w:p>
        </w:tc>
        <w:tc>
          <w:tcPr>
            <w:tcW w:w="4606" w:type="dxa"/>
          </w:tcPr>
          <w:p w:rsidR="001E270F" w:rsidRDefault="001E270F" w:rsidP="00AF0471"/>
          <w:p w:rsidR="00F34A24" w:rsidRDefault="00F34A24" w:rsidP="00AF0471">
            <w:r>
              <w:t>Čl. 9 odst. 4 nařízení č. 1367/2006</w:t>
            </w:r>
          </w:p>
        </w:tc>
      </w:tr>
      <w:tr w:rsidR="001E270F" w:rsidTr="001E270F">
        <w:tc>
          <w:tcPr>
            <w:tcW w:w="4605" w:type="dxa"/>
          </w:tcPr>
          <w:p w:rsidR="001E270F" w:rsidRDefault="00F34A24" w:rsidP="00AF0471">
            <w:r>
              <w:t>Čl. 6 odst. 4</w:t>
            </w:r>
          </w:p>
          <w:p w:rsidR="00F34A24" w:rsidRPr="00F34A24" w:rsidRDefault="00F34A24" w:rsidP="00F34A24">
            <w:pPr>
              <w:pStyle w:val="Odstavecseseznamem"/>
              <w:numPr>
                <w:ilvl w:val="0"/>
                <w:numId w:val="10"/>
              </w:numPr>
            </w:pPr>
            <w:r>
              <w:t>Účast v počátečním stádiu</w:t>
            </w:r>
          </w:p>
        </w:tc>
        <w:tc>
          <w:tcPr>
            <w:tcW w:w="4606" w:type="dxa"/>
          </w:tcPr>
          <w:p w:rsidR="001E270F" w:rsidRDefault="001E270F" w:rsidP="00AF0471"/>
          <w:p w:rsidR="00F34A24" w:rsidRDefault="00F34A24" w:rsidP="00AF0471">
            <w:r>
              <w:t>Čl. 9 odst. 1 nařízení č. 1367/2006</w:t>
            </w:r>
          </w:p>
        </w:tc>
      </w:tr>
      <w:tr w:rsidR="001E270F" w:rsidTr="001E270F">
        <w:tc>
          <w:tcPr>
            <w:tcW w:w="4605" w:type="dxa"/>
          </w:tcPr>
          <w:p w:rsidR="001E270F" w:rsidRDefault="00F34A24" w:rsidP="00AF0471">
            <w:r>
              <w:t xml:space="preserve">Čl. 6 odst. 8 </w:t>
            </w:r>
          </w:p>
          <w:p w:rsidR="00F34A24" w:rsidRPr="00F34A24" w:rsidRDefault="00F34A24" w:rsidP="00F34A24">
            <w:pPr>
              <w:pStyle w:val="Odstavecseseznamem"/>
              <w:numPr>
                <w:ilvl w:val="0"/>
                <w:numId w:val="10"/>
              </w:numPr>
            </w:pPr>
            <w:r>
              <w:t>Ohled na výsledky účasti veřejnosti</w:t>
            </w:r>
          </w:p>
        </w:tc>
        <w:tc>
          <w:tcPr>
            <w:tcW w:w="4606" w:type="dxa"/>
          </w:tcPr>
          <w:p w:rsidR="001E270F" w:rsidRDefault="001E270F" w:rsidP="00AF0471"/>
          <w:p w:rsidR="00F34A24" w:rsidRDefault="00F34A24" w:rsidP="00AF0471">
            <w:r>
              <w:t>Čl. 9 odst. 5 nařízení č. 1367/2006</w:t>
            </w:r>
          </w:p>
        </w:tc>
      </w:tr>
      <w:tr w:rsidR="00F34A24" w:rsidTr="001E270F">
        <w:tc>
          <w:tcPr>
            <w:tcW w:w="4605" w:type="dxa"/>
          </w:tcPr>
          <w:p w:rsidR="00F34A24" w:rsidRDefault="00F34A24" w:rsidP="00AF0471">
            <w:r>
              <w:t xml:space="preserve">Článek 7 </w:t>
            </w:r>
          </w:p>
          <w:p w:rsidR="00F34A24" w:rsidRPr="00F34A24" w:rsidRDefault="00F34A24" w:rsidP="00F34A24">
            <w:pPr>
              <w:pStyle w:val="Odstavecseseznamem"/>
              <w:numPr>
                <w:ilvl w:val="0"/>
                <w:numId w:val="10"/>
              </w:numPr>
            </w:pPr>
            <w:r>
              <w:t>Vymezení veřejnosti, která se může účastnit</w:t>
            </w:r>
          </w:p>
        </w:tc>
        <w:tc>
          <w:tcPr>
            <w:tcW w:w="4606" w:type="dxa"/>
          </w:tcPr>
          <w:p w:rsidR="00F34A24" w:rsidRDefault="00F34A24" w:rsidP="00AF0471"/>
          <w:p w:rsidR="00F34A24" w:rsidRDefault="00F34A24" w:rsidP="00AF0471">
            <w:r>
              <w:t>Čl. 9 odst. 2 nařízení č. 1367/2006</w:t>
            </w:r>
          </w:p>
        </w:tc>
      </w:tr>
    </w:tbl>
    <w:p w:rsidR="001E270F" w:rsidRDefault="001E270F" w:rsidP="00AF0471"/>
    <w:p w:rsidR="00793185" w:rsidRDefault="00793185" w:rsidP="00537C8C">
      <w:pPr>
        <w:ind w:firstLine="708"/>
      </w:pPr>
      <w:r>
        <w:lastRenderedPageBreak/>
        <w:t>Ze srovnání ustanovení Úmluvy a unijní právní úpravy uvedené v pře</w:t>
      </w:r>
      <w:r w:rsidR="00F34A24">
        <w:t>dchozí tabulce, vyplý</w:t>
      </w:r>
      <w:r>
        <w:t xml:space="preserve">vá, že minimálně po formální stránce byly požadavky Aarhuské úmluvy splněny. </w:t>
      </w:r>
      <w:r w:rsidR="008B3907">
        <w:t>Předtím, než se budu zabývat praktickým fungováním účasti veřejnosti na rozhodovacích procesech, je</w:t>
      </w:r>
      <w:r w:rsidR="00660C1B">
        <w:t xml:space="preserve"> třeba</w:t>
      </w:r>
      <w:r w:rsidR="008B3907">
        <w:t xml:space="preserve"> z hlediska systematiky třeba zmínit institut evropské občanské iniciativy.</w:t>
      </w:r>
    </w:p>
    <w:p w:rsidR="00A718A7" w:rsidRDefault="00A718A7" w:rsidP="00F57525">
      <w:pPr>
        <w:pStyle w:val="Nadpis3"/>
        <w:numPr>
          <w:ilvl w:val="2"/>
          <w:numId w:val="3"/>
        </w:numPr>
      </w:pPr>
      <w:bookmarkStart w:id="26" w:name="_Toc446336415"/>
      <w:r>
        <w:t>Evropská občanská iniciativa</w:t>
      </w:r>
      <w:bookmarkEnd w:id="26"/>
    </w:p>
    <w:p w:rsidR="00A718A7" w:rsidRDefault="00A718A7" w:rsidP="00A718A7">
      <w:pPr>
        <w:ind w:firstLine="708"/>
      </w:pPr>
      <w:r>
        <w:t xml:space="preserve">Evropská občanská iniciativa je </w:t>
      </w:r>
      <w:r w:rsidR="004D1F2E">
        <w:t>Lisabonskou smlouvou zavedený nástroj k posílení přímé demokracie v EU</w:t>
      </w:r>
      <w:r w:rsidRPr="007C6ABA">
        <w:t>.</w:t>
      </w:r>
      <w:r>
        <w:rPr>
          <w:b/>
        </w:rPr>
        <w:t xml:space="preserve"> </w:t>
      </w:r>
      <w:r>
        <w:t>Její právní základ se nachází</w:t>
      </w:r>
      <w:r w:rsidR="001F3AF8">
        <w:t xml:space="preserve"> v</w:t>
      </w:r>
      <w:r>
        <w:t xml:space="preserve"> čl. 11 odst. 4 SEU, čl. 24 odst. 1 SFEU a na ně navazujícím nařízení Evropského parlamentu a Rady č. 211/2011, o občanské iniciativě (dále jen nařízení č. 211/2011).</w:t>
      </w:r>
      <w:r w:rsidRPr="007C6ABA">
        <w:rPr>
          <w:b/>
        </w:rPr>
        <w:t xml:space="preserve"> </w:t>
      </w:r>
      <w:r>
        <w:t>Evropská občanská iniciativa je jedním z nástrojů pomocí, kterých se Evropská unie snaží snížit svůj demokratický deficit v rámci legislativního procesu. Pomocí evropské občanské iniciativy může nejméně jeden milion občanů Unie pocházejících alespoň z jedné čtvrtiny členských států vyzvat Evropskou komisi, aby navrhla takový akt sekundárního práva, který je podle mínění podporujících občanů nezbytný. Pro každý členský stát je navíc určen minimální počet</w:t>
      </w:r>
      <w:r>
        <w:rPr>
          <w:rStyle w:val="Znakapoznpodarou"/>
        </w:rPr>
        <w:footnoteReference w:id="94"/>
      </w:r>
      <w:r>
        <w:t xml:space="preserve"> petentů, který musí být dosažen.</w:t>
      </w:r>
    </w:p>
    <w:p w:rsidR="00A718A7" w:rsidRDefault="00A718A7" w:rsidP="00A718A7">
      <w:pPr>
        <w:ind w:firstLine="708"/>
      </w:pPr>
      <w:r>
        <w:t xml:space="preserve">Proces podání a vyřízení Evropské občanské iniciativy </w:t>
      </w:r>
      <w:r w:rsidR="00FA5A6F">
        <w:t>je upraven v</w:t>
      </w:r>
      <w:r>
        <w:t xml:space="preserve"> nařízení č. 211/2011. Před samotným sběrem podpisů je třeba evropskou občanskou iniciativu zaregistrovat u Komise</w:t>
      </w:r>
      <w:r w:rsidR="004D1F2E">
        <w:t>. Na samotnou registraci je</w:t>
      </w:r>
      <w:r>
        <w:t xml:space="preserve"> právní nárok a v případě jeho porušení je možné se domáhat ochrany u Evropského soudního dvora. Od okamžiku registrace běží lhůta jednoho roku pro získání minimálního počtu podporovatelů. Po jeho dosažení je třeba ověřit podpisy u příslušných orgánů jednotlivých členských států. Následně je evropská občanská iniciativa</w:t>
      </w:r>
      <w:r w:rsidR="00665FD7">
        <w:t xml:space="preserve"> předložena Komisi. Ta ji</w:t>
      </w:r>
      <w:r>
        <w:t xml:space="preserve"> zveřejní a </w:t>
      </w:r>
      <w:r w:rsidR="00665FD7">
        <w:t>následně</w:t>
      </w:r>
      <w:r>
        <w:t xml:space="preserve"> přijme organizátory, aby podrobně vysvětlili problematiku a záměr</w:t>
      </w:r>
      <w:r w:rsidR="00665FD7">
        <w:t xml:space="preserve"> iniciativy</w:t>
      </w:r>
      <w:r>
        <w:t>. Komise má pak povinnost vydat do třech měsíců sdělení obsahující její právní a politické závěry ohledně této iniciativy, případná opatření, která zamýšlí učinit, a odůvodnění, proč tato opatření hodlá či nehodlá učinit.</w:t>
      </w:r>
      <w:r>
        <w:rPr>
          <w:rStyle w:val="Znakapoznpodarou"/>
        </w:rPr>
        <w:footnoteReference w:id="95"/>
      </w:r>
      <w:r>
        <w:t xml:space="preserve"> </w:t>
      </w:r>
    </w:p>
    <w:p w:rsidR="00A718A7" w:rsidRDefault="00A718A7" w:rsidP="00A718A7">
      <w:pPr>
        <w:ind w:firstLine="708"/>
      </w:pPr>
      <w:r>
        <w:t>Evropská občanská iniciativa má několik omezení. Tím nejzásadně</w:t>
      </w:r>
      <w:r w:rsidR="00FA5A6F">
        <w:t>jším je, že je omezena pravomocemi</w:t>
      </w:r>
      <w:r>
        <w:t xml:space="preserve"> Komise. Vzhledem k tomu, že jejím cílem je aktivita Komise ve formě návrhu právního aktu, nemůže směřovat do oblastí, kde Komise nemá pravomoc tyto akty navrhovat</w:t>
      </w:r>
      <w:r>
        <w:rPr>
          <w:rStyle w:val="Znakapoznpodarou"/>
        </w:rPr>
        <w:footnoteReference w:id="96"/>
      </w:r>
      <w:r>
        <w:t>. Jedná se především o oblast Společné zahraniční a bezpečnostní politiky</w:t>
      </w:r>
      <w:r>
        <w:rPr>
          <w:rStyle w:val="Znakapoznpodarou"/>
        </w:rPr>
        <w:footnoteReference w:id="97"/>
      </w:r>
      <w:r>
        <w:t xml:space="preserve"> a </w:t>
      </w:r>
      <w:r>
        <w:lastRenderedPageBreak/>
        <w:t>dále o oblast primárního práva. Samotné zorganizování evropské občanské iniciativy je organizačně i časově náročné. Z tohoto důvodu jsou jejími iniciátory především neziskové organizace, které mají dostatečné zdroje.</w:t>
      </w:r>
    </w:p>
    <w:p w:rsidR="00A718A7" w:rsidRDefault="00A718A7" w:rsidP="00A718A7">
      <w:pPr>
        <w:ind w:firstLine="708"/>
      </w:pPr>
      <w:r>
        <w:t>Úspěšnost občanských inciativ vzhledem k jejich náročnosti</w:t>
      </w:r>
      <w:r w:rsidR="00B50441">
        <w:t xml:space="preserve"> tohoto institutu</w:t>
      </w:r>
      <w:r>
        <w:t xml:space="preserve"> není příliš vysoká. Od roku 2012 bylo zaregistrováno 30 iniciativ z toho: 11 jich bylo staženo, 15 nesehnalo dostatečnou podporu, u jedné byl dokončen sběr podpisů, ale nebyla </w:t>
      </w:r>
      <w:r w:rsidR="00B50441">
        <w:t>pro</w:t>
      </w:r>
      <w:r>
        <w:t>zatím předložena Komisi. Ke třem</w:t>
      </w:r>
      <w:r w:rsidR="00CA358D">
        <w:t xml:space="preserve"> iniciativám</w:t>
      </w:r>
      <w:r>
        <w:t xml:space="preserve"> se Komise vyjádřila, přičemž záměr jednat pojala pouze u jediné.</w:t>
      </w:r>
      <w:r>
        <w:rPr>
          <w:rStyle w:val="Znakapoznpodarou"/>
        </w:rPr>
        <w:footnoteReference w:id="98"/>
      </w:r>
    </w:p>
    <w:p w:rsidR="00A718A7" w:rsidRDefault="00A718A7" w:rsidP="00A718A7">
      <w:pPr>
        <w:ind w:firstLine="708"/>
      </w:pPr>
      <w:r>
        <w:t xml:space="preserve">Oblast primárního práva je dle mého názoru slabinou evropské občanské iniciativy. Za současného právního stavu nemají občané Unie </w:t>
      </w:r>
      <w:r w:rsidR="005111D4">
        <w:t xml:space="preserve">v podstatě </w:t>
      </w:r>
      <w:r>
        <w:t>možnost promluvit do otázky změny primárního práva. Návrh na změnu primárního práva vychází výlučně z Evropské rady, tedy ze shromáždění vrcholných představitelů států a následně je schvalován v rámci jednotlivých států,</w:t>
      </w:r>
      <w:r>
        <w:rPr>
          <w:rStyle w:val="Znakapoznpodarou"/>
        </w:rPr>
        <w:footnoteReference w:id="99"/>
      </w:r>
      <w:r>
        <w:t xml:space="preserve"> kde je převládající trend od referend o změně primárního práva ustupovat.</w:t>
      </w:r>
      <w:r>
        <w:rPr>
          <w:rStyle w:val="Znakapoznpodarou"/>
        </w:rPr>
        <w:footnoteReference w:id="100"/>
      </w:r>
      <w:r>
        <w:t xml:space="preserve"> </w:t>
      </w:r>
    </w:p>
    <w:p w:rsidR="00A718A7" w:rsidRDefault="00A718A7" w:rsidP="00A718A7">
      <w:pPr>
        <w:ind w:firstLine="708"/>
      </w:pPr>
      <w:r>
        <w:t xml:space="preserve">Dle mého názoru by občané Unie měli mít možnost obrátit se na Evropskou radu s návrhem na změnu primárního práva </w:t>
      </w:r>
      <w:r w:rsidR="000C3DE8">
        <w:t xml:space="preserve">přímo </w:t>
      </w:r>
      <w:r>
        <w:t>a Evropská rada by se s tímto návrhem musela vypořádat. Pro tento návrh by bylo muselo být sa</w:t>
      </w:r>
      <w:r w:rsidR="00C6383C">
        <w:t>mozřejmě stanoveno přísnější kvo</w:t>
      </w:r>
      <w:r>
        <w:t>rum než pro návrh Komisi, které by zaručovalo, vzhledem k organizační, časové a nakonec i finanční náročnosti sběru podpisů</w:t>
      </w:r>
      <w:r>
        <w:rPr>
          <w:rStyle w:val="Znakapoznpodarou"/>
        </w:rPr>
        <w:footnoteReference w:id="101"/>
      </w:r>
      <w:r>
        <w:t xml:space="preserve">, že by se na program Evropské rady dostala pouze dobře zorganizovaná a vysoce podporovaná iniciativa. </w:t>
      </w:r>
    </w:p>
    <w:p w:rsidR="00A718A7" w:rsidRDefault="00A718A7" w:rsidP="00A718A7">
      <w:pPr>
        <w:ind w:firstLine="708"/>
      </w:pPr>
      <w:r>
        <w:t>Vzhledem k poměru Úmluvy k unijnímu primárnímu právu</w:t>
      </w:r>
      <w:r w:rsidR="0089164A">
        <w:rPr>
          <w:rStyle w:val="Znakapoznpodarou"/>
        </w:rPr>
        <w:footnoteReference w:id="102"/>
      </w:r>
      <w:r>
        <w:t>, nelze d</w:t>
      </w:r>
      <w:r w:rsidR="008A6259">
        <w:t>ovodit, že se ustanovení čl. 8 Ú</w:t>
      </w:r>
      <w:r>
        <w:t>mluvy vztahuje i na změny primárního práva</w:t>
      </w:r>
      <w:r w:rsidR="00910F1B">
        <w:t>. Úmluva se navíc zabývá toliko účastí veřejnosti na ochraně životního prostředí, kdežto zde prezentovaná úvaha se týká systémového ne sektorového řešení</w:t>
      </w:r>
      <w:r>
        <w:t xml:space="preserve">. Nelze tedy tvrdit, že na tomto místě Unie selhala s implementací cílů předvídaných Úmluvou. Nicméně je zde, jak jsem popsal výše, potenciál </w:t>
      </w:r>
      <w:r>
        <w:lastRenderedPageBreak/>
        <w:t>pro možné větší zapojení veřejnosti, který by mimo jiné přispěl k</w:t>
      </w:r>
      <w:r w:rsidR="00B24A5C">
        <w:t xml:space="preserve"> demokratické legitimitě Evropské unie. </w:t>
      </w:r>
    </w:p>
    <w:p w:rsidR="00537C8C" w:rsidRDefault="00537C8C" w:rsidP="00F57525">
      <w:pPr>
        <w:pStyle w:val="Nadpis3"/>
        <w:numPr>
          <w:ilvl w:val="2"/>
          <w:numId w:val="3"/>
        </w:numPr>
      </w:pPr>
      <w:bookmarkStart w:id="27" w:name="_Toc446336416"/>
      <w:r>
        <w:t>Your voice in Europe</w:t>
      </w:r>
      <w:bookmarkEnd w:id="27"/>
    </w:p>
    <w:p w:rsidR="0066666E" w:rsidRDefault="009647A2" w:rsidP="00DC1FE5">
      <w:pPr>
        <w:pStyle w:val="Odstavecseseznamem"/>
        <w:ind w:left="0" w:firstLine="708"/>
      </w:pPr>
      <w:r w:rsidRPr="009647A2">
        <w:rPr>
          <w:b/>
        </w:rPr>
        <w:t>Možností účasti veřejnosti na přípravě prováděcích předpisů a obecně použitelných právně závazných normativních nástrojů</w:t>
      </w:r>
      <w:r>
        <w:t xml:space="preserve"> se zabývá sdělení Komise č. 704/2002. Po deseti letech došlo k částečnému zhodnocení dosažených pokroků v konzultaci veřejnosti v rámci sdělení Komise č. 746/2012, Účelnost právních předpisů EU.</w:t>
      </w:r>
      <w:r w:rsidR="00552979">
        <w:t xml:space="preserve"> V nedávné době na ně</w:t>
      </w:r>
      <w:r w:rsidR="00386A8B">
        <w:t xml:space="preserve"> navázalo sdělení Komise č. 215/2015, Zlepšování právní úpravy k dosažení lepších výsledků – agenda EU.</w:t>
      </w:r>
      <w:r w:rsidR="000E6A86">
        <w:rPr>
          <w:rStyle w:val="Znakapoznpodarou"/>
        </w:rPr>
        <w:footnoteReference w:id="103"/>
      </w:r>
      <w:r w:rsidR="00C55AA6">
        <w:t xml:space="preserve"> </w:t>
      </w:r>
    </w:p>
    <w:p w:rsidR="0066666E" w:rsidRDefault="0066666E" w:rsidP="00DC1FE5">
      <w:pPr>
        <w:ind w:firstLine="708"/>
      </w:pPr>
      <w:r>
        <w:t>Konzultace v zásadě nabývají tří podo</w:t>
      </w:r>
      <w:r w:rsidR="00B67AD9">
        <w:t xml:space="preserve">b. </w:t>
      </w:r>
      <w:r w:rsidR="00552979">
        <w:t>První jsou k</w:t>
      </w:r>
      <w:r w:rsidR="00B67AD9">
        <w:t>onzultace široké veřejnosti probíhají</w:t>
      </w:r>
      <w:r w:rsidR="00552979">
        <w:t>cí</w:t>
      </w:r>
      <w:r w:rsidR="00B67AD9">
        <w:t xml:space="preserve"> skrze portál Your voice in Europe. </w:t>
      </w:r>
      <w:r w:rsidR="00552979">
        <w:t>Dále se jedná o c</w:t>
      </w:r>
      <w:r>
        <w:t>ílen</w:t>
      </w:r>
      <w:r w:rsidR="00B67AD9">
        <w:t>é konzultace vybraných</w:t>
      </w:r>
      <w:r>
        <w:t xml:space="preserve"> skupin</w:t>
      </w:r>
      <w:r w:rsidR="00B67AD9">
        <w:t xml:space="preserve"> a též institucionalizov</w:t>
      </w:r>
      <w:r w:rsidR="0037453B">
        <w:t xml:space="preserve">aných partnerů (Výbor regionů, Hospodářský a sociální výbor), které </w:t>
      </w:r>
      <w:r w:rsidR="00DC1FE5">
        <w:t>mimo výše uvedené zahrnují i semináře, workshopy a konference. Expertní konzultace v rámci poradních skupin, externích analýz, seminářů a podobně</w:t>
      </w:r>
      <w:r w:rsidR="00993113">
        <w:t xml:space="preserve"> jsou poslední podobou</w:t>
      </w:r>
      <w:r w:rsidR="00DC1FE5">
        <w:t>.</w:t>
      </w:r>
      <w:r>
        <w:t xml:space="preserve"> </w:t>
      </w:r>
      <w:r w:rsidR="00D10F31">
        <w:t>Pro širokou veřejnost s environmentálními zájmy je určena především první varianta konzultací, případně druhá</w:t>
      </w:r>
      <w:r w:rsidR="009E11A0">
        <w:t xml:space="preserve"> typicky pro environmentální NGO</w:t>
      </w:r>
      <w:r w:rsidR="00D10F31">
        <w:t>.</w:t>
      </w:r>
      <w:r>
        <w:t xml:space="preserve"> </w:t>
      </w:r>
      <w:r w:rsidR="00AA2C56">
        <w:t>Ve</w:t>
      </w:r>
      <w:r w:rsidR="0089581B">
        <w:t xml:space="preserve">řejné konzultace se provádějí u </w:t>
      </w:r>
      <w:r w:rsidR="00AA2C56">
        <w:t>iniciativ, u kterých se vypracovává posouzení dopadů</w:t>
      </w:r>
      <w:r w:rsidR="0089581B">
        <w:t xml:space="preserve"> (RIA)</w:t>
      </w:r>
      <w:r w:rsidR="00AA2C56">
        <w:t>, u iniciativ, které procházejí hodnocením a kontrolou účelnosti a u zelených knih. Jedná se tedy o návrhy všech legislativních aktů, nelegislativních aktů, prováděcích aktů a aktů v přenesené působnosti.</w:t>
      </w:r>
    </w:p>
    <w:p w:rsidR="00D10F31" w:rsidRDefault="00AA2C56" w:rsidP="00D10F31">
      <w:pPr>
        <w:ind w:firstLine="708"/>
      </w:pPr>
      <w:r>
        <w:t xml:space="preserve">Pro konzultace široké veřejnosti je stěžejní internetový portál </w:t>
      </w:r>
      <w:r w:rsidR="00D10F31" w:rsidRPr="00703852">
        <w:rPr>
          <w:b/>
        </w:rPr>
        <w:t>Your voice in Europe</w:t>
      </w:r>
      <w:r w:rsidR="00D10F31">
        <w:rPr>
          <w:rStyle w:val="Znakapoznpodarou"/>
        </w:rPr>
        <w:footnoteReference w:id="104"/>
      </w:r>
      <w:r w:rsidRPr="00AA2C56">
        <w:t>.</w:t>
      </w:r>
      <w:r w:rsidR="00D10F31">
        <w:t xml:space="preserve"> </w:t>
      </w:r>
      <w:r>
        <w:t>Jedná se o komunikační platformu</w:t>
      </w:r>
      <w:r w:rsidR="00D10F31">
        <w:t xml:space="preserve"> mezi Komisí a zúčastněnou veřejností při konzultaci politik a pří</w:t>
      </w:r>
      <w:r w:rsidR="00080729">
        <w:t>pravy návrhů právních předpisů.</w:t>
      </w:r>
    </w:p>
    <w:p w:rsidR="00A274C2" w:rsidRDefault="00352373" w:rsidP="00DC1FE5">
      <w:pPr>
        <w:ind w:firstLine="708"/>
      </w:pPr>
      <w:r>
        <w:t>Konzultace</w:t>
      </w:r>
      <w:r w:rsidR="00672967">
        <w:t xml:space="preserve"> široké veřejnosti</w:t>
      </w:r>
      <w:r>
        <w:t xml:space="preserve"> probíhají v několika fázích.</w:t>
      </w:r>
      <w:r w:rsidR="00DC1FE5">
        <w:t xml:space="preserve"> </w:t>
      </w:r>
      <w:r>
        <w:t xml:space="preserve">První fází je </w:t>
      </w:r>
      <w:r w:rsidRPr="000F6955">
        <w:rPr>
          <w:b/>
        </w:rPr>
        <w:t>oznámení o zamýšlené iniciativě</w:t>
      </w:r>
      <w:r>
        <w:t>.</w:t>
      </w:r>
      <w:r w:rsidR="00D42D68">
        <w:t xml:space="preserve"> </w:t>
      </w:r>
      <w:r w:rsidR="00076445">
        <w:t xml:space="preserve">Jedná se o tzv. plány a cestovní mapy nebo prvotní posouzení dopadů. </w:t>
      </w:r>
      <w:r w:rsidR="00B55109">
        <w:t xml:space="preserve">Občané </w:t>
      </w:r>
      <w:r w:rsidR="000F6955">
        <w:t xml:space="preserve">i zájmové organizace </w:t>
      </w:r>
      <w:r w:rsidR="00B55109">
        <w:t>m</w:t>
      </w:r>
      <w:r w:rsidR="005444E4">
        <w:t>ají možnost se zaregistrovat na stránkách Komise a následně jsou jim zasílány všechny</w:t>
      </w:r>
      <w:r w:rsidR="00E8267B">
        <w:t xml:space="preserve"> </w:t>
      </w:r>
      <w:r w:rsidR="003E0F21">
        <w:t>jimi tematicky vybrané, chystané plány a veřejné konzultace.</w:t>
      </w:r>
      <w:r w:rsidR="000F6955">
        <w:rPr>
          <w:rStyle w:val="Znakapoznpodarou"/>
        </w:rPr>
        <w:footnoteReference w:id="105"/>
      </w:r>
      <w:r w:rsidR="00E8267B">
        <w:t xml:space="preserve"> </w:t>
      </w:r>
      <w:r w:rsidR="000F6955">
        <w:t>Pro zájmové organizace, kter</w:t>
      </w:r>
      <w:r w:rsidR="001A6828">
        <w:t xml:space="preserve">é se chtějí podílet na přípravě, </w:t>
      </w:r>
      <w:r w:rsidR="00E8267B">
        <w:t>zřídila</w:t>
      </w:r>
      <w:r w:rsidR="00D42D68">
        <w:t xml:space="preserve"> Komise</w:t>
      </w:r>
      <w:r w:rsidR="00A81289">
        <w:t xml:space="preserve"> a Evropský parlament</w:t>
      </w:r>
      <w:r w:rsidR="00D42D68">
        <w:t xml:space="preserve"> </w:t>
      </w:r>
      <w:r w:rsidR="00D42D68">
        <w:lastRenderedPageBreak/>
        <w:t xml:space="preserve">tzv. </w:t>
      </w:r>
      <w:r w:rsidR="003961D6">
        <w:rPr>
          <w:b/>
        </w:rPr>
        <w:t>R</w:t>
      </w:r>
      <w:r w:rsidR="00D42D68" w:rsidRPr="003961D6">
        <w:rPr>
          <w:b/>
        </w:rPr>
        <w:t>ejstřík transparentnosti</w:t>
      </w:r>
      <w:r w:rsidR="00D42D68">
        <w:rPr>
          <w:rStyle w:val="Znakapoznpodarou"/>
        </w:rPr>
        <w:footnoteReference w:id="106"/>
      </w:r>
      <w:r w:rsidR="00031A51">
        <w:t>, kde</w:t>
      </w:r>
      <w:r w:rsidR="001A6828">
        <w:t xml:space="preserve"> se jednotlivé subjekty registrují</w:t>
      </w:r>
      <w:r w:rsidR="00031A51">
        <w:t>. Rejstřík má pomoci co největší transparentnosti při procesu konzultací a dát odpovědi na otázky „</w:t>
      </w:r>
      <w:r w:rsidR="00031A51" w:rsidRPr="00031A51">
        <w:t>jaké zájmy kdo sleduje a za kolik peněz.</w:t>
      </w:r>
      <w:r w:rsidR="00031A51">
        <w:t xml:space="preserve">“ </w:t>
      </w:r>
      <w:r w:rsidR="00B64395">
        <w:t xml:space="preserve">K plánům, cestovním mapám a prvotním posouzením dopadu lze </w:t>
      </w:r>
      <w:r w:rsidR="007B4011">
        <w:t>podávat připomínky zpravidla během čtyř týdnů od jejich zveřejnění.</w:t>
      </w:r>
    </w:p>
    <w:p w:rsidR="00475483" w:rsidRDefault="00A274C2" w:rsidP="00475483">
      <w:r>
        <w:tab/>
        <w:t xml:space="preserve">Hlavní fáze účasti veřejnosti je soustředěna do </w:t>
      </w:r>
      <w:r w:rsidRPr="00A274C2">
        <w:rPr>
          <w:b/>
        </w:rPr>
        <w:t>veřejných konzultací</w:t>
      </w:r>
      <w:r w:rsidR="006437C4">
        <w:t xml:space="preserve"> pořádaných K</w:t>
      </w:r>
      <w:r>
        <w:t>omisí.</w:t>
      </w:r>
      <w:r w:rsidR="006437C4">
        <w:t xml:space="preserve"> </w:t>
      </w:r>
      <w:r w:rsidR="00635249">
        <w:t xml:space="preserve">Veřejné konzultace probíhají </w:t>
      </w:r>
      <w:r w:rsidR="00E8267B">
        <w:t xml:space="preserve">zpravidla </w:t>
      </w:r>
      <w:r w:rsidR="00635249">
        <w:t xml:space="preserve">12 týdnů. </w:t>
      </w:r>
      <w:r w:rsidR="0089581B">
        <w:t>Po u</w:t>
      </w:r>
      <w:r w:rsidR="00FF3043">
        <w:t xml:space="preserve">končení konzultací zpracuje Komise zprávu o jejich průběhu a výsledku. </w:t>
      </w:r>
      <w:r w:rsidR="00475483">
        <w:t xml:space="preserve">Tuto zprávu opět zveřejní. Zároveň je tato zpráva součástí „balíčku“ informací které postupují s návrhem dále v legislativním procesu a tudíž i další zapojené instituce z něj mohou čerpat.   </w:t>
      </w:r>
    </w:p>
    <w:p w:rsidR="00475483" w:rsidRDefault="00C50C00" w:rsidP="00F57525">
      <w:pPr>
        <w:pStyle w:val="Nadpis2"/>
        <w:numPr>
          <w:ilvl w:val="1"/>
          <w:numId w:val="3"/>
        </w:numPr>
      </w:pPr>
      <w:bookmarkStart w:id="28" w:name="_Toc446336417"/>
      <w:r>
        <w:t>Analýza: Right2Water</w:t>
      </w:r>
      <w:bookmarkEnd w:id="28"/>
    </w:p>
    <w:p w:rsidR="00950A52" w:rsidRDefault="00950A52" w:rsidP="00F57525">
      <w:pPr>
        <w:pStyle w:val="Nadpis3"/>
        <w:numPr>
          <w:ilvl w:val="2"/>
          <w:numId w:val="3"/>
        </w:numPr>
        <w:ind w:left="0" w:firstLine="0"/>
      </w:pPr>
      <w:bookmarkStart w:id="29" w:name="_Toc446336418"/>
      <w:r>
        <w:t xml:space="preserve">Průběh </w:t>
      </w:r>
      <w:r w:rsidR="00EE5887">
        <w:t>iniciativy Right2Water</w:t>
      </w:r>
      <w:bookmarkEnd w:id="29"/>
    </w:p>
    <w:p w:rsidR="006D3611" w:rsidRDefault="00FF3043" w:rsidP="00FF3043">
      <w:pPr>
        <w:ind w:firstLine="708"/>
      </w:pPr>
      <w:r>
        <w:t>Jako příklad uvedu konzultaci ke kvalitě pitné vody v EU. Iniciativa pro změnu legislativy vzešla z evropské občanské iniciativ</w:t>
      </w:r>
      <w:r w:rsidR="00475483">
        <w:t>y Right2Water.</w:t>
      </w:r>
      <w:r w:rsidR="00F40CF6">
        <w:t xml:space="preserve"> Požadavky iniciativy jsou následující: „</w:t>
      </w:r>
      <w:r w:rsidR="00F40CF6" w:rsidRPr="00F40CF6">
        <w:rPr>
          <w:i/>
        </w:rPr>
        <w:t>Legislativa EU by měla po vládách požadovat zajištění a poskytování dostatku čisté pitné vody a hygieny všem občanům. Požadujeme, aby: 1. měly instituce a členské státy EU povinnost zajistit všem obyvatelům právo na vodu a hygienu. 2. zásobování vodou a správa vodních zdrojů nespadaly do „pravidel vnitřního trhu“ a aby bylo vodohospodářství osvobozeno od liberalizace. 3. EU zvyšovala své snahy o zajištění univerzálního přístupu k vodě a hygieně.</w:t>
      </w:r>
      <w:r w:rsidR="00F40CF6">
        <w:t>“</w:t>
      </w:r>
      <w:r w:rsidR="00F40CF6">
        <w:rPr>
          <w:rStyle w:val="Znakapoznpodarou"/>
        </w:rPr>
        <w:footnoteReference w:id="107"/>
      </w:r>
      <w:r w:rsidR="00FD5958">
        <w:t xml:space="preserve"> Iniciativu</w:t>
      </w:r>
      <w:r w:rsidR="003D6013">
        <w:t xml:space="preserve"> zorganizovala</w:t>
      </w:r>
      <w:r w:rsidR="002A512E">
        <w:t xml:space="preserve"> </w:t>
      </w:r>
      <w:r w:rsidR="002A512E" w:rsidRPr="002A512E">
        <w:t>European Federation of Public Service Unions</w:t>
      </w:r>
      <w:r w:rsidR="002A512E">
        <w:t>.</w:t>
      </w:r>
      <w:r w:rsidR="00C50C00">
        <w:t xml:space="preserve"> Zaregistrována byla 10.</w:t>
      </w:r>
      <w:r w:rsidR="00FD5958">
        <w:t xml:space="preserve"> </w:t>
      </w:r>
      <w:r w:rsidR="00C50C00">
        <w:t>5.</w:t>
      </w:r>
      <w:r w:rsidR="00FD5958">
        <w:t xml:space="preserve"> </w:t>
      </w:r>
      <w:r w:rsidR="00C50C00">
        <w:t>2012 sběr podpisů byl uzavřen 1.</w:t>
      </w:r>
      <w:r w:rsidR="00FD5958">
        <w:t xml:space="preserve"> </w:t>
      </w:r>
      <w:r w:rsidR="00C50C00">
        <w:t>11.</w:t>
      </w:r>
      <w:r w:rsidR="00FD5958">
        <w:t xml:space="preserve"> </w:t>
      </w:r>
      <w:r w:rsidR="00C50C00">
        <w:t>2013.</w:t>
      </w:r>
      <w:r w:rsidR="002A512E">
        <w:t xml:space="preserve"> Iniciativa získala 1,65 milionů petentů z 26 zemí, přičemž minimální hranice byla překročena u </w:t>
      </w:r>
      <w:r w:rsidR="00C50C00">
        <w:t>13 zemí</w:t>
      </w:r>
      <w:r w:rsidR="0001277E">
        <w:rPr>
          <w:rStyle w:val="Znakapoznpodarou"/>
        </w:rPr>
        <w:footnoteReference w:id="108"/>
      </w:r>
      <w:r w:rsidR="00C50C00">
        <w:t xml:space="preserve">. </w:t>
      </w:r>
    </w:p>
    <w:p w:rsidR="00E900B3" w:rsidRDefault="003A5F09" w:rsidP="00FF3043">
      <w:pPr>
        <w:ind w:firstLine="708"/>
      </w:pPr>
      <w:r>
        <w:t>Iniciativa byla Komisi předložena 20.</w:t>
      </w:r>
      <w:r w:rsidR="00FD5958">
        <w:t xml:space="preserve"> </w:t>
      </w:r>
      <w:r>
        <w:t>12.</w:t>
      </w:r>
      <w:r w:rsidR="00FD5958">
        <w:t xml:space="preserve"> </w:t>
      </w:r>
      <w:r>
        <w:t>2013</w:t>
      </w:r>
      <w:r w:rsidRPr="004F2E2D">
        <w:t xml:space="preserve">. </w:t>
      </w:r>
      <w:r w:rsidR="002D62F4">
        <w:t xml:space="preserve">Dne </w:t>
      </w:r>
      <w:r w:rsidR="004F2E2D" w:rsidRPr="004F2E2D">
        <w:t>7.</w:t>
      </w:r>
      <w:r w:rsidR="00FD5958">
        <w:t xml:space="preserve"> </w:t>
      </w:r>
      <w:r w:rsidR="004F2E2D" w:rsidRPr="004F2E2D">
        <w:t>2.</w:t>
      </w:r>
      <w:r w:rsidR="00FD5958">
        <w:t xml:space="preserve"> </w:t>
      </w:r>
      <w:r w:rsidR="004F2E2D" w:rsidRPr="004F2E2D">
        <w:t>2014 se organizátoři sešli s místopředsedou Evropské komise Marošem Šefčovičem</w:t>
      </w:r>
      <w:r w:rsidR="002D62F4">
        <w:t>, aby</w:t>
      </w:r>
      <w:r w:rsidR="004F2E2D">
        <w:t xml:space="preserve"> mu </w:t>
      </w:r>
      <w:r w:rsidR="002D62F4">
        <w:t>přivblízili</w:t>
      </w:r>
      <w:r w:rsidR="004F2E2D">
        <w:t xml:space="preserve"> cíle iniciativy. Komise se k iniciativě </w:t>
      </w:r>
      <w:r w:rsidR="00B30AAB">
        <w:t xml:space="preserve">vyjádřila </w:t>
      </w:r>
      <w:r w:rsidR="002A6578">
        <w:t>19.</w:t>
      </w:r>
      <w:r w:rsidR="00FD5958">
        <w:t xml:space="preserve"> </w:t>
      </w:r>
      <w:r w:rsidR="002A6578">
        <w:t>4.</w:t>
      </w:r>
      <w:r w:rsidR="00FD5958">
        <w:t xml:space="preserve"> </w:t>
      </w:r>
      <w:r w:rsidR="002A6578">
        <w:t>2014</w:t>
      </w:r>
      <w:r w:rsidR="004F2E2D">
        <w:t>.</w:t>
      </w:r>
      <w:r w:rsidR="002A6578">
        <w:t xml:space="preserve"> </w:t>
      </w:r>
      <w:r w:rsidR="004F2E2D">
        <w:t>Ve své</w:t>
      </w:r>
      <w:r w:rsidR="00B30AAB">
        <w:t>m sdělení</w:t>
      </w:r>
      <w:r w:rsidR="004F2E2D">
        <w:t xml:space="preserve"> se </w:t>
      </w:r>
      <w:r w:rsidR="002A6578">
        <w:t xml:space="preserve">Komise nejdříve vypořádala s přípustností iniciativy. Dále zhodnotila současný právní stav na mezinárodní a evropské úrovni. </w:t>
      </w:r>
      <w:r w:rsidR="00DF2248">
        <w:t xml:space="preserve">Poukázala přitom na rezoluci Valného shromáždění OSN č. 64/292 kde je právo na čistou vodu a nezávadné hygienické podmínky uznáno jako základní lidské právo. Na </w:t>
      </w:r>
      <w:r w:rsidR="00DF2248">
        <w:lastRenderedPageBreak/>
        <w:t>evropské úrovni poukázala na rámcovou směrnici o vodě</w:t>
      </w:r>
      <w:r w:rsidR="00DF2248">
        <w:rPr>
          <w:rStyle w:val="Znakapoznpodarou"/>
        </w:rPr>
        <w:footnoteReference w:id="109"/>
      </w:r>
      <w:r w:rsidR="003B22A6">
        <w:t xml:space="preserve"> a na Listinu základních práv EU. </w:t>
      </w:r>
      <w:r w:rsidR="006D3611">
        <w:t>Komise</w:t>
      </w:r>
      <w:r w:rsidR="003B22A6">
        <w:t xml:space="preserve"> </w:t>
      </w:r>
      <w:r w:rsidR="006D3611">
        <w:t xml:space="preserve">podrobně </w:t>
      </w:r>
      <w:r w:rsidR="003B22A6">
        <w:t>analyzovala přístu</w:t>
      </w:r>
      <w:r w:rsidR="006D3611">
        <w:t xml:space="preserve">p k vodě a hygieně z hlediska její kvality, fyzické a ekonomické dostupnosti, z hlediska fungování vnitřního trhu a z hlediska probíhajících aktivit. </w:t>
      </w:r>
      <w:r w:rsidR="00B95B46">
        <w:t xml:space="preserve">V závěru svého vyjádření Komise </w:t>
      </w:r>
      <w:r w:rsidR="004F2E2D">
        <w:t>vymezila sedm opatření</w:t>
      </w:r>
      <w:r w:rsidR="00E900B3">
        <w:t>,</w:t>
      </w:r>
      <w:r w:rsidR="004F2E2D">
        <w:t xml:space="preserve"> k nimž bude směřovat svoji činnost. Z hlediska další analýzy je zásadní opatření: „</w:t>
      </w:r>
      <w:r w:rsidR="004F2E2D" w:rsidRPr="004F2E2D">
        <w:rPr>
          <w:i/>
        </w:rPr>
        <w:t>Komise zahájí veřejnou konzultaci po celé EU o směrnici o pitné vodě, zejména s cílem zlepšit přístup ke kvalitní vodě v Unii</w:t>
      </w:r>
      <w:r w:rsidR="004F2E2D">
        <w:t>“</w:t>
      </w:r>
      <w:r w:rsidR="00E900B3">
        <w:t xml:space="preserve">. </w:t>
      </w:r>
    </w:p>
    <w:p w:rsidR="00EA6D7D" w:rsidRDefault="006D3611" w:rsidP="00EA6D7D">
      <w:pPr>
        <w:ind w:firstLine="708"/>
      </w:pPr>
      <w:r>
        <w:t xml:space="preserve"> </w:t>
      </w:r>
      <w:r w:rsidR="00861D99">
        <w:t>Veřejná konzultace pomocí portálu Your voice in Europe byla zahájena 23.</w:t>
      </w:r>
      <w:r w:rsidR="00FD5958">
        <w:t xml:space="preserve"> </w:t>
      </w:r>
      <w:r w:rsidR="00861D99">
        <w:t>6.</w:t>
      </w:r>
      <w:r w:rsidR="00FD5958">
        <w:t xml:space="preserve"> </w:t>
      </w:r>
      <w:r w:rsidR="00861D99">
        <w:t>2014 a trvala do 23.</w:t>
      </w:r>
      <w:r w:rsidR="00FD5958">
        <w:t xml:space="preserve"> </w:t>
      </w:r>
      <w:r w:rsidR="00861D99">
        <w:t>9.</w:t>
      </w:r>
      <w:r w:rsidR="00FD5958">
        <w:t xml:space="preserve"> </w:t>
      </w:r>
      <w:r w:rsidR="00861D99">
        <w:t xml:space="preserve">2014, tedy 12 týdnů. Jednalo se o konzultaci otevřenou široké veřejnosti bez specifikace sílových skupin. </w:t>
      </w:r>
      <w:r w:rsidR="004210A8">
        <w:t>Konzultace probíhala formou dotazníků</w:t>
      </w:r>
      <w:r w:rsidR="00BA18F7">
        <w:t xml:space="preserve"> a osobních konzultací</w:t>
      </w:r>
      <w:r w:rsidR="0013408E">
        <w:t>.</w:t>
      </w:r>
      <w:r w:rsidR="004210A8">
        <w:rPr>
          <w:rStyle w:val="Znakapoznpodarou"/>
        </w:rPr>
        <w:footnoteReference w:id="110"/>
      </w:r>
      <w:r w:rsidR="0013408E">
        <w:t xml:space="preserve"> Dotazník byl tvořen několika tematickými částmi</w:t>
      </w:r>
      <w:r w:rsidR="00EA6D7D">
        <w:t>.</w:t>
      </w:r>
      <w:r w:rsidR="00A02661">
        <w:rPr>
          <w:rStyle w:val="Znakapoznpodarou"/>
        </w:rPr>
        <w:footnoteReference w:id="111"/>
      </w:r>
      <w:r w:rsidR="0013408E">
        <w:t xml:space="preserve"> </w:t>
      </w:r>
      <w:r w:rsidR="00EA6D7D">
        <w:t xml:space="preserve">Každá část obsahovala otázky, kde bylo na výběr z více odpovědí. Každá část byla navíc uzavřena oddílem, kde bylo možné vyjádřit svůj názor nad rámec otázek. </w:t>
      </w:r>
    </w:p>
    <w:p w:rsidR="00635249" w:rsidRDefault="00EA6D7D" w:rsidP="00EA6D7D">
      <w:pPr>
        <w:ind w:firstLine="708"/>
      </w:pPr>
      <w:r>
        <w:t xml:space="preserve">Během konzultací bylo vyplněno 5908 dotazníků, přičemž 670 jich bylo ze strany zájmových skupin a expertů. </w:t>
      </w:r>
      <w:r w:rsidR="00BA18F7">
        <w:t>Na základě této odezvy byla v prosinci 2014 zpracována a zveřejněna statistická zpráva</w:t>
      </w:r>
      <w:r w:rsidR="00BA18F7">
        <w:rPr>
          <w:rStyle w:val="Znakapoznpodarou"/>
        </w:rPr>
        <w:footnoteReference w:id="112"/>
      </w:r>
    </w:p>
    <w:p w:rsidR="00BA18F7" w:rsidRDefault="00BA18F7" w:rsidP="00EA6D7D">
      <w:pPr>
        <w:ind w:firstLine="708"/>
      </w:pPr>
      <w:r>
        <w:t>Osobní konzultace proběhly se všemi významnými zainteresovanými stranami 9.</w:t>
      </w:r>
      <w:r w:rsidR="00962B9D">
        <w:t xml:space="preserve"> </w:t>
      </w:r>
      <w:r>
        <w:t>9.</w:t>
      </w:r>
      <w:r w:rsidR="00962B9D">
        <w:t xml:space="preserve"> </w:t>
      </w:r>
      <w:r>
        <w:t>2014</w:t>
      </w:r>
      <w:r w:rsidR="00981CBF">
        <w:t xml:space="preserve">. </w:t>
      </w:r>
      <w:r w:rsidR="006838B3">
        <w:t xml:space="preserve">Cílem schůzky bylo stanovit referenční hodnoty pro jakost pitné vody a </w:t>
      </w:r>
      <w:r w:rsidR="005C3ED0">
        <w:t xml:space="preserve">vodohospodářských služeb. Schůzka byla moderována zástupcem EBC Foundation </w:t>
      </w:r>
      <w:r w:rsidR="00782AE3">
        <w:t xml:space="preserve">pro politiku vodního hospodářství. </w:t>
      </w:r>
    </w:p>
    <w:p w:rsidR="00782AE3" w:rsidRDefault="00782AE3" w:rsidP="00EA6D7D">
      <w:pPr>
        <w:ind w:firstLine="708"/>
      </w:pPr>
      <w:r>
        <w:t>15.</w:t>
      </w:r>
      <w:r w:rsidR="00962B9D">
        <w:t xml:space="preserve"> </w:t>
      </w:r>
      <w:r>
        <w:t>10.</w:t>
      </w:r>
      <w:r w:rsidR="00962B9D">
        <w:t xml:space="preserve"> </w:t>
      </w:r>
      <w:r>
        <w:t>2014 přijal ke sdělení Komise stanovisko Evropský sociální a hospodářský výbor.</w:t>
      </w:r>
      <w:r>
        <w:rPr>
          <w:rStyle w:val="Znakapoznpodarou"/>
        </w:rPr>
        <w:footnoteReference w:id="113"/>
      </w:r>
      <w:r>
        <w:t xml:space="preserve"> </w:t>
      </w:r>
      <w:r w:rsidR="006B1AC4">
        <w:t>5.</w:t>
      </w:r>
      <w:r w:rsidR="00962B9D">
        <w:t xml:space="preserve"> </w:t>
      </w:r>
      <w:r w:rsidR="006B1AC4">
        <w:t>1.</w:t>
      </w:r>
      <w:r w:rsidR="00962B9D">
        <w:t xml:space="preserve"> </w:t>
      </w:r>
      <w:r w:rsidR="006B1AC4">
        <w:t xml:space="preserve">2015 Evropský parlament zadal svému výboru pro životní prostředí za úkol zpracovat zprávu </w:t>
      </w:r>
      <w:r w:rsidR="008A07B2">
        <w:t>o iniciativě Right2Water.</w:t>
      </w:r>
    </w:p>
    <w:p w:rsidR="00EA1EDB" w:rsidRDefault="00254A39" w:rsidP="00C21680">
      <w:pPr>
        <w:ind w:firstLine="708"/>
      </w:pPr>
      <w:r>
        <w:lastRenderedPageBreak/>
        <w:t>V únoru 2015 by z</w:t>
      </w:r>
      <w:r w:rsidR="00277D2B">
        <w:t xml:space="preserve">veřejněn pracovní plán Komise, </w:t>
      </w:r>
      <w:r>
        <w:t xml:space="preserve">ve kterém se rámcová směrnice o vodě dostala do programu </w:t>
      </w:r>
      <w:r w:rsidRPr="00254A39">
        <w:t>pro účelnost a účinnost právních předpisů EU</w:t>
      </w:r>
      <w:r w:rsidR="001D13F6">
        <w:t>.</w:t>
      </w:r>
      <w:r w:rsidR="00277D2B">
        <w:t xml:space="preserve"> </w:t>
      </w:r>
      <w:r w:rsidR="009021EC">
        <w:t>Bylo rozhodnuto, že v</w:t>
      </w:r>
      <w:r w:rsidR="00277D2B">
        <w:t xml:space="preserve"> rámci tohoto programu má být </w:t>
      </w:r>
      <w:r w:rsidR="009021EC">
        <w:t xml:space="preserve">směrnice </w:t>
      </w:r>
      <w:r w:rsidR="00277D2B">
        <w:t xml:space="preserve">přezkoumána. </w:t>
      </w:r>
      <w:r w:rsidR="00EA1EDB">
        <w:t>23-24.</w:t>
      </w:r>
      <w:r w:rsidR="00962B9D">
        <w:t xml:space="preserve"> </w:t>
      </w:r>
      <w:r w:rsidR="00EA1EDB">
        <w:t>3.</w:t>
      </w:r>
      <w:r w:rsidR="00962B9D">
        <w:t xml:space="preserve"> </w:t>
      </w:r>
      <w:r w:rsidR="00EA1EDB">
        <w:t>2015 se</w:t>
      </w:r>
      <w:r w:rsidR="009021EC">
        <w:t xml:space="preserve"> potom</w:t>
      </w:r>
      <w:r w:rsidR="00EA1EDB">
        <w:t xml:space="preserve"> konala v Bruselu Konference o vodě, která byla zaměřena na rámcovou směrnici o vodě a její možné změny.</w:t>
      </w:r>
      <w:r w:rsidR="00E10F3A">
        <w:t xml:space="preserve"> 26.</w:t>
      </w:r>
      <w:r w:rsidR="00962B9D">
        <w:t xml:space="preserve"> </w:t>
      </w:r>
      <w:r w:rsidR="00E10F3A">
        <w:t>5.</w:t>
      </w:r>
      <w:r w:rsidR="00962B9D">
        <w:t xml:space="preserve"> </w:t>
      </w:r>
      <w:r w:rsidR="00E10F3A">
        <w:t xml:space="preserve">2015 </w:t>
      </w:r>
      <w:r w:rsidR="009021EC">
        <w:t>proběhlo</w:t>
      </w:r>
      <w:r w:rsidR="00E10F3A">
        <w:t xml:space="preserve"> další setkání se zástupci zainteresovaných stran pod záštitou DG environment. </w:t>
      </w:r>
    </w:p>
    <w:p w:rsidR="003177EB" w:rsidRDefault="00962B9D" w:rsidP="00EA6D7D">
      <w:pPr>
        <w:ind w:firstLine="708"/>
      </w:pPr>
      <w:r>
        <w:t xml:space="preserve">1. 7. </w:t>
      </w:r>
      <w:r w:rsidR="00277D2B">
        <w:t>2015 byl zveřejněn plán podle</w:t>
      </w:r>
      <w:r w:rsidR="00A978BA">
        <w:t>,</w:t>
      </w:r>
      <w:r w:rsidR="00277D2B">
        <w:t xml:space="preserve"> kterého</w:t>
      </w:r>
      <w:r w:rsidR="00A978BA">
        <w:t xml:space="preserve"> </w:t>
      </w:r>
      <w:r w:rsidR="006560C1">
        <w:t>bude hodnocena směrnice o vodě. Bylo zadáno zprac</w:t>
      </w:r>
      <w:r w:rsidR="003177EB">
        <w:t>ování externí studie společností</w:t>
      </w:r>
      <w:r w:rsidR="006560C1">
        <w:t xml:space="preserve"> Ecorys</w:t>
      </w:r>
      <w:r w:rsidR="001F5FBE">
        <w:t xml:space="preserve">. </w:t>
      </w:r>
    </w:p>
    <w:p w:rsidR="00BA18F7" w:rsidRDefault="00E07087" w:rsidP="00EA6D7D">
      <w:pPr>
        <w:ind w:firstLine="708"/>
      </w:pPr>
      <w:r>
        <w:t>1.</w:t>
      </w:r>
      <w:r w:rsidR="00962B9D">
        <w:t xml:space="preserve"> </w:t>
      </w:r>
      <w:r>
        <w:t>9.</w:t>
      </w:r>
      <w:r w:rsidR="00962B9D">
        <w:t xml:space="preserve"> </w:t>
      </w:r>
      <w:r>
        <w:t>2015 se do diskuze vložil Evropský parlament, který zkritizoval Komisi za nedostatečnou iniciativu v této věci</w:t>
      </w:r>
      <w:r w:rsidR="000E7034">
        <w:t>, kdy Komise zatím nenavrhla žádné konkrétní kroky, které by vedly k naplnění cílů iniciativy. Dle Evropského parlamentu Komise pouze opakuje již dané cíle, ale vyhýbá se závazným řešením.</w:t>
      </w:r>
    </w:p>
    <w:p w:rsidR="00A04A0A" w:rsidRDefault="00A04A0A" w:rsidP="00EA6D7D">
      <w:pPr>
        <w:ind w:firstLine="708"/>
      </w:pPr>
      <w:r>
        <w:t>V současné době (28. 1. 2016) Komise stále nenavrhla konkrétní legislativní akt. Evropský parlament Komisi za tento postoj opět kritizoval.</w:t>
      </w:r>
      <w:r>
        <w:rPr>
          <w:rStyle w:val="Znakapoznpodarou"/>
        </w:rPr>
        <w:footnoteReference w:id="114"/>
      </w:r>
    </w:p>
    <w:p w:rsidR="00BA18F7" w:rsidRDefault="00EE5887" w:rsidP="00F57525">
      <w:pPr>
        <w:pStyle w:val="Nadpis3"/>
        <w:numPr>
          <w:ilvl w:val="2"/>
          <w:numId w:val="3"/>
        </w:numPr>
        <w:ind w:left="0" w:firstLine="0"/>
      </w:pPr>
      <w:bookmarkStart w:id="30" w:name="_Toc446336419"/>
      <w:r>
        <w:t>Zhodnocení</w:t>
      </w:r>
      <w:bookmarkEnd w:id="30"/>
    </w:p>
    <w:p w:rsidR="00BA18F7" w:rsidRDefault="008E0495" w:rsidP="00EA6D7D">
      <w:pPr>
        <w:ind w:firstLine="708"/>
      </w:pPr>
      <w:r>
        <w:t xml:space="preserve">Z hlediska účasti veřejnosti, výše uvedená iniciativa obsahuje hned několik zajímavostí. </w:t>
      </w:r>
      <w:r w:rsidR="002A5F5F">
        <w:t xml:space="preserve">K této jediné iniciativě měla široká veřejnost zatím celkem tři možnosti se vyjádřit. Jednak v rámci podpory iniciativy, dále v rámci široké konzultace cílů této iniciativy a na závěr v rámci konzultací ke konkrétním návrhům Komise. Zainteresované strany pak měly </w:t>
      </w:r>
      <w:r w:rsidR="004C1EAE">
        <w:t>také</w:t>
      </w:r>
      <w:r w:rsidR="006D640E">
        <w:t xml:space="preserve"> zatím tři možnosti se osobně vyjádřit na </w:t>
      </w:r>
      <w:r w:rsidR="00375058">
        <w:t>setkání</w:t>
      </w:r>
      <w:r w:rsidR="0054067B">
        <w:t>ch se zástupci Komise resp. DG E</w:t>
      </w:r>
      <w:r w:rsidR="00AC0DBC">
        <w:t>nvironment, jednak v rámci schůzky v průběhu veřejné diskuze, dále v rámci Konference o vodě a v současné době se mohou vyjadřovat v rámci zpracovávání analýzy společností Ecorys.</w:t>
      </w:r>
      <w:r w:rsidR="00940633">
        <w:t xml:space="preserve"> </w:t>
      </w:r>
    </w:p>
    <w:p w:rsidR="0009160F" w:rsidRDefault="0009160F" w:rsidP="00EA6D7D">
      <w:pPr>
        <w:ind w:firstLine="708"/>
      </w:pPr>
      <w:r>
        <w:t>Promítnutím procesu iniciativy Right2Water na požadavky Aarhuské úmluvy docházím k následujícím závěrům</w:t>
      </w:r>
      <w:r w:rsidR="00203F8C">
        <w:t xml:space="preserve">. Vzhledem k výše </w:t>
      </w:r>
      <w:r w:rsidR="000E2DB1">
        <w:t>popsané terminologické nejasnosti aplikuji na tento případ jak požadavky na účast veřejnosti při tvorbě právních předpisů, tak podmínky na tvorbu politik, plánů a programů.</w:t>
      </w:r>
    </w:p>
    <w:p w:rsidR="00F00885" w:rsidRPr="00F00885" w:rsidRDefault="000E2DB1" w:rsidP="00F57525">
      <w:pPr>
        <w:pStyle w:val="Odstavecseseznamem"/>
        <w:numPr>
          <w:ilvl w:val="0"/>
          <w:numId w:val="5"/>
        </w:numPr>
        <w:rPr>
          <w:i/>
        </w:rPr>
      </w:pPr>
      <w:r w:rsidRPr="000E2DB1">
        <w:rPr>
          <w:i/>
        </w:rPr>
        <w:t>Byla umožněna účast veřejnosti přímo nebo pomocí zastupitelských orgánů?</w:t>
      </w:r>
      <w:r w:rsidR="00F00885">
        <w:t xml:space="preserve"> Přímá účast veřejnosti byla zajištěna jednak pomocí evropské občanské iniciativy a </w:t>
      </w:r>
      <w:r w:rsidR="00F00885">
        <w:lastRenderedPageBreak/>
        <w:t xml:space="preserve">jednak pomocí konzultací široké veřejnosti. </w:t>
      </w:r>
      <w:r w:rsidR="00B734FE">
        <w:t xml:space="preserve">Byla zajištěna i osobní účast zainteresovaných subjektů z řad veřejnosti. </w:t>
      </w:r>
    </w:p>
    <w:p w:rsidR="00940633" w:rsidRDefault="00940633" w:rsidP="00F57525">
      <w:pPr>
        <w:pStyle w:val="Odstavecseseznamem"/>
        <w:numPr>
          <w:ilvl w:val="0"/>
          <w:numId w:val="5"/>
        </w:numPr>
      </w:pPr>
      <w:r w:rsidRPr="0009160F">
        <w:rPr>
          <w:i/>
        </w:rPr>
        <w:t>Byla umožněna účast veřejnosti v počátečních stádiích?</w:t>
      </w:r>
      <w:r>
        <w:t xml:space="preserve"> Dle mého názoru ano. Když odhlédneme o</w:t>
      </w:r>
      <w:r w:rsidR="0084363F">
        <w:t xml:space="preserve">d faktu, že proces byl započat evropskou občanskou iniciativou, tak byla umožněna účast široké veřejnosti zatím ve všech stádiích tvorby návrhu předpisu. </w:t>
      </w:r>
    </w:p>
    <w:p w:rsidR="0084363F" w:rsidRDefault="00B8128C" w:rsidP="00F57525">
      <w:pPr>
        <w:pStyle w:val="Odstavecseseznamem"/>
        <w:numPr>
          <w:ilvl w:val="0"/>
          <w:numId w:val="5"/>
        </w:numPr>
      </w:pPr>
      <w:r w:rsidRPr="0009160F">
        <w:rPr>
          <w:i/>
        </w:rPr>
        <w:t>Byla účast veřejnosti transparentní, spravedlivá a byly poskytnuty veškeré nezbytné informace?</w:t>
      </w:r>
      <w:r w:rsidR="00203F8C">
        <w:rPr>
          <w:i/>
        </w:rPr>
        <w:t xml:space="preserve"> Byl návrh předpisu zpřístupněn veřejnosti?</w:t>
      </w:r>
      <w:r>
        <w:t xml:space="preserve"> Ano. Z dohledatelných informací Komise pečlivě informovala o jednotlivých stádiích iniciativy a přípravy návrhu, poskytovala informace ve formě s</w:t>
      </w:r>
      <w:r w:rsidR="00A74F24">
        <w:t>dělení o aktuální verzi návrhu.</w:t>
      </w:r>
    </w:p>
    <w:p w:rsidR="00A74F24" w:rsidRDefault="00A74F24" w:rsidP="00F57525">
      <w:pPr>
        <w:pStyle w:val="Odstavecseseznamem"/>
        <w:numPr>
          <w:ilvl w:val="0"/>
          <w:numId w:val="5"/>
        </w:numPr>
      </w:pPr>
      <w:r w:rsidRPr="0009160F">
        <w:rPr>
          <w:i/>
        </w:rPr>
        <w:t>Byly stanoveny rozumné lhůty?</w:t>
      </w:r>
      <w:r>
        <w:t xml:space="preserve"> Z dostupných informací jsem nedohledal žádnou stížnost na </w:t>
      </w:r>
      <w:r w:rsidR="004E5D60">
        <w:t>délku lhůty. Vzhledem ke skutečnosti, že informace o jednotlivých fázích návrhu jsou pečlivě zveřejňovány, je lhůta 12 týdnů z mého pohledu dostatečná. Pokud je konkrétní záměr, návrh středem zájmu tak lze sledovat „život“ tohoto návrhu a dostatečně se připravit na budoucí konzultace.</w:t>
      </w:r>
    </w:p>
    <w:p w:rsidR="0050280B" w:rsidRDefault="004E5D60" w:rsidP="00F57525">
      <w:pPr>
        <w:pStyle w:val="Odstavecseseznamem"/>
        <w:numPr>
          <w:ilvl w:val="0"/>
          <w:numId w:val="5"/>
        </w:numPr>
      </w:pPr>
      <w:r w:rsidRPr="0009160F">
        <w:rPr>
          <w:i/>
        </w:rPr>
        <w:t>Je brán ohled na výsledek účasti veřejnosti?</w:t>
      </w:r>
      <w:r>
        <w:t xml:space="preserve"> Komise po skončení konzultací zveřejnila </w:t>
      </w:r>
      <w:r w:rsidR="00B75022">
        <w:t>z mého pohledu zevrubnou analýzu</w:t>
      </w:r>
      <w:r w:rsidR="0050280B">
        <w:t xml:space="preserve"> výsledku konzultace.</w:t>
      </w:r>
      <w:r w:rsidR="0050280B">
        <w:rPr>
          <w:rStyle w:val="Znakapoznpodarou"/>
        </w:rPr>
        <w:footnoteReference w:id="115"/>
      </w:r>
      <w:r w:rsidR="0050280B">
        <w:t xml:space="preserve"> Údaje z této analýzy byly předmětem jednání v dalších kolech konzultací. Vzhledem k zatím neukončenému legislativnímu procesu, nelze určit, do jaké míry byly výsledky účasti veřejnosti brány v potaz.</w:t>
      </w:r>
    </w:p>
    <w:p w:rsidR="007010F8" w:rsidRDefault="00CD13E8" w:rsidP="00F57525">
      <w:pPr>
        <w:pStyle w:val="Odstavecseseznamem"/>
        <w:numPr>
          <w:ilvl w:val="0"/>
          <w:numId w:val="5"/>
        </w:numPr>
      </w:pPr>
      <w:r>
        <w:rPr>
          <w:i/>
        </w:rPr>
        <w:t>Vymezení ve</w:t>
      </w:r>
      <w:r w:rsidR="00DE036C">
        <w:rPr>
          <w:i/>
        </w:rPr>
        <w:t>řejnosti</w:t>
      </w:r>
      <w:r w:rsidR="00203F8C">
        <w:rPr>
          <w:i/>
        </w:rPr>
        <w:t>,</w:t>
      </w:r>
      <w:r w:rsidR="00DE036C">
        <w:rPr>
          <w:i/>
        </w:rPr>
        <w:t xml:space="preserve"> která se může účastnit</w:t>
      </w:r>
      <w:r w:rsidR="00DE036C">
        <w:t xml:space="preserve">. V oznámení k zahájení konzultací je vždy vymezena okruh veřejnosti, která se může účastnit i podmínky k její účasti. </w:t>
      </w:r>
    </w:p>
    <w:p w:rsidR="00460411" w:rsidRDefault="00460411" w:rsidP="00460411">
      <w:pPr>
        <w:ind w:firstLine="708"/>
      </w:pPr>
      <w:r>
        <w:t>Je ovšem otázkou kdy nakonec dojde k podání legislativního návrhu. Současná pozice Komise nedává příliš nadějí, že by v nejbližší době mohla iniciativa dospět ke svému cíli.</w:t>
      </w:r>
    </w:p>
    <w:p w:rsidR="00167859" w:rsidRDefault="00167859" w:rsidP="002204AF">
      <w:pPr>
        <w:spacing w:line="276" w:lineRule="auto"/>
        <w:jc w:val="left"/>
      </w:pPr>
      <w:r>
        <w:br w:type="page"/>
      </w:r>
    </w:p>
    <w:p w:rsidR="00FC327E" w:rsidRDefault="00917CD4" w:rsidP="00F57525">
      <w:pPr>
        <w:pStyle w:val="Nadpis1"/>
        <w:numPr>
          <w:ilvl w:val="0"/>
          <w:numId w:val="6"/>
        </w:numPr>
      </w:pPr>
      <w:bookmarkStart w:id="31" w:name="_Toc446336420"/>
      <w:r>
        <w:lastRenderedPageBreak/>
        <w:t>Přístup k právní ochraně</w:t>
      </w:r>
      <w:bookmarkEnd w:id="31"/>
    </w:p>
    <w:p w:rsidR="00917CD4" w:rsidRDefault="00917CD4" w:rsidP="00F57525">
      <w:pPr>
        <w:pStyle w:val="Nadpis2"/>
        <w:numPr>
          <w:ilvl w:val="1"/>
          <w:numId w:val="6"/>
        </w:numPr>
        <w:ind w:left="0" w:firstLine="0"/>
      </w:pPr>
      <w:bookmarkStart w:id="32" w:name="_Toc446336421"/>
      <w:r>
        <w:t>Požadavky Aarhuské úmluvy</w:t>
      </w:r>
      <w:bookmarkEnd w:id="32"/>
    </w:p>
    <w:p w:rsidR="00917CD4" w:rsidRPr="00917CD4" w:rsidRDefault="00917CD4" w:rsidP="00E854BB">
      <w:pPr>
        <w:ind w:firstLine="708"/>
      </w:pPr>
      <w:r>
        <w:t xml:space="preserve">Přístup k právní ochraně je třetím pilířem Aarhuské úmluvy. </w:t>
      </w:r>
      <w:r w:rsidR="001D0A93">
        <w:t xml:space="preserve">Jeho cílem je zajistit, aby práva zakotvená v prvních dvou pilířích </w:t>
      </w:r>
      <w:r w:rsidR="00E854BB">
        <w:t>požívala právní ochrany a bylo možné se jich domáhat. Vždyť samotné právní normy bez možnosti jejich vy</w:t>
      </w:r>
      <w:r w:rsidR="006C461C">
        <w:t>nutitelnosti nejsou v pravém slova smyslu právními normami.</w:t>
      </w:r>
    </w:p>
    <w:p w:rsidR="00F610E5" w:rsidRDefault="00490894" w:rsidP="00B43600">
      <w:r>
        <w:tab/>
      </w:r>
      <w:r w:rsidR="00A36A96">
        <w:t>P</w:t>
      </w:r>
      <w:r w:rsidR="00B43600">
        <w:t>řístup</w:t>
      </w:r>
      <w:r w:rsidR="00A36A96">
        <w:t xml:space="preserve"> veřejnosti</w:t>
      </w:r>
      <w:r w:rsidR="00B43600">
        <w:t xml:space="preserve"> k právní ochraně </w:t>
      </w:r>
      <w:r w:rsidR="00BA1181">
        <w:t xml:space="preserve">je </w:t>
      </w:r>
      <w:r w:rsidR="00B43600">
        <w:t xml:space="preserve">rozdělen na </w:t>
      </w:r>
      <w:r w:rsidR="00A36A96">
        <w:t>tři</w:t>
      </w:r>
      <w:r w:rsidR="00B43600">
        <w:t xml:space="preserve"> části. První se zabývá </w:t>
      </w:r>
      <w:r w:rsidR="00B43600" w:rsidRPr="00B43600">
        <w:rPr>
          <w:b/>
        </w:rPr>
        <w:t>ochranou práva na informace</w:t>
      </w:r>
      <w:r w:rsidR="00D7045B" w:rsidRPr="001134AC">
        <w:rPr>
          <w:rStyle w:val="Znakapoznpodarou"/>
        </w:rPr>
        <w:footnoteReference w:id="116"/>
      </w:r>
      <w:r w:rsidR="00B43600" w:rsidRPr="001134AC">
        <w:t>.</w:t>
      </w:r>
      <w:r w:rsidR="00B43600">
        <w:t xml:space="preserve"> </w:t>
      </w:r>
      <w:r w:rsidR="004402D4">
        <w:t xml:space="preserve">Pokud byla žádost o informaci </w:t>
      </w:r>
      <w:r w:rsidR="00AB4E48">
        <w:t>ignorována, úplně či částečně zamítnuta, nesprávně zodpovězena nebo nebyla jinak vyřízena</w:t>
      </w:r>
      <w:r w:rsidR="00F01ED9">
        <w:t>,</w:t>
      </w:r>
      <w:r w:rsidR="00AB4E48">
        <w:t xml:space="preserve"> m</w:t>
      </w:r>
      <w:r w:rsidR="00F01ED9">
        <w:t>á žadatel právo na přezkoumání postupu a rozhodnutí.</w:t>
      </w:r>
      <w:r w:rsidR="0039597A">
        <w:t xml:space="preserve"> </w:t>
      </w:r>
      <w:r w:rsidR="002E374D">
        <w:t>Orgán provádějící tento přezkum musí být</w:t>
      </w:r>
      <w:r w:rsidR="005A5177">
        <w:t xml:space="preserve"> soud, nebo jiný</w:t>
      </w:r>
      <w:r w:rsidR="002E374D">
        <w:t xml:space="preserve"> 1) nezávislý, 2) nestranný a 3) </w:t>
      </w:r>
      <w:r w:rsidR="005A5177">
        <w:t xml:space="preserve">orgán </w:t>
      </w:r>
      <w:r w:rsidR="002E374D">
        <w:t>zřízený ze zákona.</w:t>
      </w:r>
      <w:r w:rsidR="005A5177">
        <w:t xml:space="preserve"> Z</w:t>
      </w:r>
      <w:r w:rsidR="001B72E2">
        <w:t> </w:t>
      </w:r>
      <w:r w:rsidR="005A5177">
        <w:t>textu</w:t>
      </w:r>
      <w:r w:rsidR="001B72E2">
        <w:t xml:space="preserve"> Úmluvy</w:t>
      </w:r>
      <w:r w:rsidR="005A5177">
        <w:t xml:space="preserve"> lze dovodit, že tyto tři podmínky se samozřejmě vztahují i na soud. </w:t>
      </w:r>
      <w:r w:rsidR="00592FE2">
        <w:t xml:space="preserve"> </w:t>
      </w:r>
    </w:p>
    <w:p w:rsidR="00203F8C" w:rsidRDefault="00271004" w:rsidP="00502BAB">
      <w:r>
        <w:tab/>
        <w:t xml:space="preserve">K zajištění efektivity ochrany práva na informace stanovuje Úmluva další podmínky. Pokud </w:t>
      </w:r>
      <w:r w:rsidR="00E02167">
        <w:t xml:space="preserve">je přezkumným orgánem soud, </w:t>
      </w:r>
      <w:r w:rsidR="00CF6EF4">
        <w:t>má mít dotyčná osoba možnost zrychleného postupu.</w:t>
      </w:r>
      <w:r w:rsidR="002E374D">
        <w:t xml:space="preserve"> </w:t>
      </w:r>
      <w:r w:rsidR="00CF6EF4">
        <w:t>Zároveň zajištění ochran</w:t>
      </w:r>
      <w:r w:rsidR="00F00B41">
        <w:t>y pomocí soudního řízení nesmí klást ekonomic</w:t>
      </w:r>
      <w:r w:rsidR="00CF6EF4">
        <w:t>ké překážky</w:t>
      </w:r>
      <w:r w:rsidR="000C7C4F">
        <w:t>,</w:t>
      </w:r>
      <w:r w:rsidR="00E02167">
        <w:t xml:space="preserve"> čímž je</w:t>
      </w:r>
      <w:r w:rsidR="000C7C4F">
        <w:t xml:space="preserve"> myšleno, že každá osoba si bude moci </w:t>
      </w:r>
      <w:r w:rsidR="00E02167">
        <w:t>dovolit</w:t>
      </w:r>
      <w:r w:rsidR="001134AC">
        <w:t xml:space="preserve"> dožadovat se přezku</w:t>
      </w:r>
      <w:r w:rsidR="00E02167">
        <w:t>mu</w:t>
      </w:r>
      <w:r w:rsidR="00F00B41">
        <w:t>.</w:t>
      </w:r>
      <w:r w:rsidR="009500B9">
        <w:t xml:space="preserve"> Rozhodnutí o přezkumu musí být závazné pro orgán, který informaci drží. Zároveň musí být toto rozhodnutí písemné a odůvodněné</w:t>
      </w:r>
      <w:r w:rsidR="00CF6EF4">
        <w:t xml:space="preserve"> </w:t>
      </w:r>
      <w:r w:rsidR="009500B9">
        <w:t>a to</w:t>
      </w:r>
      <w:r w:rsidR="008846C6">
        <w:t xml:space="preserve"> i</w:t>
      </w:r>
      <w:r w:rsidR="009500B9">
        <w:t xml:space="preserve"> v</w:t>
      </w:r>
      <w:r w:rsidR="008846C6">
        <w:t> </w:t>
      </w:r>
      <w:r w:rsidR="009500B9">
        <w:t>případech</w:t>
      </w:r>
      <w:r w:rsidR="008846C6">
        <w:t>,</w:t>
      </w:r>
      <w:r w:rsidR="009500B9">
        <w:t xml:space="preserve"> kdy je žádost o informaci zamítnuta.</w:t>
      </w:r>
    </w:p>
    <w:p w:rsidR="00502BAB" w:rsidRDefault="00502BAB" w:rsidP="00502BAB">
      <w:r>
        <w:tab/>
        <w:t>Je důležité poznamenat, že každá osoba, která je způsobilá podat žádost o informaci je zároveň způsobilá podat v této záležitosti opravný prostře</w:t>
      </w:r>
      <w:r w:rsidR="00EE79B0">
        <w:t>dek. V tomto smyslu se vyjádřil</w:t>
      </w:r>
      <w:r>
        <w:t xml:space="preserve"> i </w:t>
      </w:r>
      <w:r w:rsidR="00EE79B0">
        <w:t>Výbor pro dodržování Aarhuské umluvy</w:t>
      </w:r>
      <w:r>
        <w:t xml:space="preserve"> v případu ACCC/C/2004/1 (Kazakhstan)</w:t>
      </w:r>
      <w:r w:rsidR="001134AC">
        <w:t>,</w:t>
      </w:r>
      <w:r>
        <w:t xml:space="preserve"> kdy bylo NGO odepřeno právo na opravný prostředek z důvodu její nezpůsobilosti. Pojem osoba je v případě tohoto ustanovení třeba vykládat ve smyslu pojmu veřejnost – čl. 2 odst. 4 Úmluvy. </w:t>
      </w:r>
    </w:p>
    <w:p w:rsidR="00A3033A" w:rsidRDefault="00C33E19" w:rsidP="00A3033A">
      <w:pPr>
        <w:ind w:firstLine="708"/>
      </w:pPr>
      <w:r>
        <w:t>Druhou částí</w:t>
      </w:r>
      <w:r w:rsidR="00D7045B">
        <w:rPr>
          <w:rStyle w:val="Znakapoznpodarou"/>
        </w:rPr>
        <w:footnoteReference w:id="117"/>
      </w:r>
      <w:r>
        <w:t xml:space="preserve"> přístupu k právní ochraně je </w:t>
      </w:r>
      <w:r w:rsidR="00956986">
        <w:t xml:space="preserve">právo osob majících dostatečný zájem nebo osob, jejichž práva zaručená Úmluvou jsou porušována na </w:t>
      </w:r>
      <w:r w:rsidR="00956986" w:rsidRPr="00FB5C07">
        <w:rPr>
          <w:b/>
        </w:rPr>
        <w:t>přezkoumání rozhodnutí, aktů nebo nečinnosti podle ustanovení čl. 6 Úmluvy</w:t>
      </w:r>
      <w:r w:rsidR="00956986">
        <w:t xml:space="preserve">, který zaručuje účast veřejnosti na specifických činnostech. </w:t>
      </w:r>
    </w:p>
    <w:p w:rsidR="00A36A96" w:rsidRDefault="00A36A96" w:rsidP="00A3033A">
      <w:pPr>
        <w:ind w:firstLine="708"/>
      </w:pPr>
      <w:r>
        <w:lastRenderedPageBreak/>
        <w:t>Třetí část</w:t>
      </w:r>
      <w:r w:rsidR="00D7045B">
        <w:rPr>
          <w:rStyle w:val="Znakapoznpodarou"/>
        </w:rPr>
        <w:footnoteReference w:id="118"/>
      </w:r>
      <w:r>
        <w:t xml:space="preserve"> dává stranám povinnost zajistit, aby </w:t>
      </w:r>
      <w:r w:rsidRPr="006A191E">
        <w:rPr>
          <w:b/>
        </w:rPr>
        <w:t xml:space="preserve">osoby z řad dotčené veřejnosti </w:t>
      </w:r>
      <w:r w:rsidR="006A191E" w:rsidRPr="006A191E">
        <w:rPr>
          <w:b/>
        </w:rPr>
        <w:t>měly možnost obrány při porušení vnitrostátního práva životního prostředí</w:t>
      </w:r>
      <w:r w:rsidR="006A191E">
        <w:t xml:space="preserve">. Jedná se jednak o </w:t>
      </w:r>
      <w:r w:rsidRPr="00E63AD0">
        <w:t>přístup ke správním nebo soudním řízením</w:t>
      </w:r>
      <w:r w:rsidR="00E63AD0">
        <w:t xml:space="preserve"> (</w:t>
      </w:r>
      <w:r w:rsidR="00E63AD0" w:rsidRPr="00E63AD0">
        <w:t>tedy</w:t>
      </w:r>
      <w:r w:rsidR="00E63AD0">
        <w:t xml:space="preserve"> </w:t>
      </w:r>
      <w:r w:rsidR="00F80712">
        <w:t>aby se mohly dožadovat ochrany práva</w:t>
      </w:r>
      <w:r w:rsidR="00E63AD0">
        <w:t xml:space="preserve"> přímo)</w:t>
      </w:r>
      <w:r w:rsidRPr="00E63AD0">
        <w:t xml:space="preserve"> a</w:t>
      </w:r>
      <w:r w:rsidR="00F80712">
        <w:t xml:space="preserve"> dále aby</w:t>
      </w:r>
      <w:r w:rsidRPr="00E63AD0">
        <w:t xml:space="preserve"> mohly vznášet námitky proti jednání</w:t>
      </w:r>
      <w:r w:rsidR="00DD4381">
        <w:t>m</w:t>
      </w:r>
      <w:r w:rsidRPr="00E63AD0">
        <w:t>, aktům nebo opomenutím</w:t>
      </w:r>
      <w:r>
        <w:t xml:space="preserve"> ze strany soukromých osob nebo orgánů veřejné správy</w:t>
      </w:r>
      <w:r w:rsidR="00774348">
        <w:t>,</w:t>
      </w:r>
      <w:r>
        <w:t xml:space="preserve"> pokud jsou v rozporu s vnitrostátní právní úpravou životního prostředí</w:t>
      </w:r>
      <w:r w:rsidR="00E63AD0">
        <w:t xml:space="preserve"> (</w:t>
      </w:r>
      <w:r w:rsidR="001134AC">
        <w:t xml:space="preserve">nepřímé domáhání </w:t>
      </w:r>
      <w:r w:rsidR="00D7386E">
        <w:t>se práva</w:t>
      </w:r>
      <w:r w:rsidR="000D146C">
        <w:t>)</w:t>
      </w:r>
      <w:r>
        <w:t>.</w:t>
      </w:r>
      <w:r w:rsidR="001C6AD2">
        <w:t xml:space="preserve"> Strany mohou určit obecná kritéria, kdo bude mít právo domáhat se této možnosti obrany, nicméně t</w:t>
      </w:r>
      <w:r w:rsidR="0023505B">
        <w:t>a</w:t>
      </w:r>
      <w:r w:rsidR="001C6AD2">
        <w:t>to kritéria nesmí být tak přísná, aby vylučovala valnou většinu veřejnosti.</w:t>
      </w:r>
      <w:r w:rsidR="001C6AD2">
        <w:rPr>
          <w:rStyle w:val="Znakapoznpodarou"/>
        </w:rPr>
        <w:footnoteReference w:id="119"/>
      </w:r>
      <w:r w:rsidR="001C6AD2">
        <w:t xml:space="preserve"> </w:t>
      </w:r>
    </w:p>
    <w:p w:rsidR="00DC3419" w:rsidRDefault="00DC3419" w:rsidP="006A22D8">
      <w:pPr>
        <w:ind w:firstLine="708"/>
      </w:pPr>
      <w:r>
        <w:t>Při určení rozdílu jestli se jedná o činnost podle čl. 6 Úmluvy nebo jinou činnost předvídanou čl. 9 odst. 3 není rozhodující označení v rámci domácího práva, ale materiální posouzení té které činnosti.</w:t>
      </w:r>
      <w:r>
        <w:rPr>
          <w:rStyle w:val="Znakapoznpodarou"/>
        </w:rPr>
        <w:footnoteReference w:id="120"/>
      </w:r>
      <w:r>
        <w:t xml:space="preserve"> </w:t>
      </w:r>
      <w:r w:rsidR="006A22D8">
        <w:t xml:space="preserve">Příkladem činnosti podle čl. 9 odst. 3 může být například územní plánování. </w:t>
      </w:r>
    </w:p>
    <w:p w:rsidR="00203F8C" w:rsidRDefault="00AE61B1" w:rsidP="00510E4D">
      <w:r>
        <w:tab/>
        <w:t xml:space="preserve">Pro všechny výše uvedené způsoby nápravy </w:t>
      </w:r>
      <w:r w:rsidR="00B2091C">
        <w:t xml:space="preserve">stanovuje Úmluva </w:t>
      </w:r>
      <w:r w:rsidR="006A191E">
        <w:t>minimální kvalitativní požadavky</w:t>
      </w:r>
      <w:r w:rsidR="00B2091C">
        <w:t xml:space="preserve">. </w:t>
      </w:r>
      <w:r w:rsidR="006A191E">
        <w:t xml:space="preserve">Strany mají </w:t>
      </w:r>
      <w:r w:rsidR="00B2091C">
        <w:t>zajistit</w:t>
      </w:r>
      <w:r w:rsidR="00510E4D">
        <w:t>:</w:t>
      </w:r>
      <w:r w:rsidR="00B2091C">
        <w:t xml:space="preserve"> </w:t>
      </w:r>
      <w:r w:rsidR="00510E4D">
        <w:t xml:space="preserve">1) </w:t>
      </w:r>
      <w:r w:rsidR="00B2091C">
        <w:t>přiměřenou a účinnou nápravu</w:t>
      </w:r>
      <w:r w:rsidR="00510E4D">
        <w:t>,</w:t>
      </w:r>
      <w:r w:rsidR="00B2091C">
        <w:t xml:space="preserve"> </w:t>
      </w:r>
      <w:r w:rsidR="00510E4D">
        <w:t xml:space="preserve">2) </w:t>
      </w:r>
      <w:r w:rsidR="00B2091C">
        <w:t>tam</w:t>
      </w:r>
      <w:r w:rsidR="00744638">
        <w:t>,</w:t>
      </w:r>
      <w:r w:rsidR="00B2091C">
        <w:t xml:space="preserve"> kde je to vhodné </w:t>
      </w:r>
      <w:r w:rsidR="00510E4D">
        <w:t>prozatímní</w:t>
      </w:r>
      <w:r w:rsidR="00B2091C">
        <w:t xml:space="preserve"> opatření</w:t>
      </w:r>
      <w:r w:rsidR="00510E4D">
        <w:t xml:space="preserve">, 3) </w:t>
      </w:r>
      <w:r w:rsidR="00015F82">
        <w:t xml:space="preserve">čestnost a spravedlnost, 4) včasnost, 5) finanční nenáročnost, 6) rozhodnutí </w:t>
      </w:r>
      <w:r w:rsidR="00C374F6">
        <w:t xml:space="preserve">soudů a pokud možno i ostatních orgánů </w:t>
      </w:r>
      <w:r w:rsidR="00015F82">
        <w:t>mají být veřejně dostupná,</w:t>
      </w:r>
      <w:r w:rsidR="00C374F6">
        <w:t xml:space="preserve"> </w:t>
      </w:r>
      <w:r w:rsidR="00015F82">
        <w:t>6)</w:t>
      </w:r>
      <w:r w:rsidR="00744638">
        <w:t xml:space="preserve"> strany mají</w:t>
      </w:r>
      <w:r w:rsidR="00015F82">
        <w:t xml:space="preserve"> povinnost informovat o přístupu ke správním a soudním postupům přezkoumání.</w:t>
      </w:r>
      <w:r w:rsidR="00D7045B">
        <w:rPr>
          <w:rStyle w:val="Znakapoznpodarou"/>
        </w:rPr>
        <w:footnoteReference w:id="121"/>
      </w:r>
      <w:r w:rsidR="00000B0F">
        <w:t xml:space="preserve"> Tyto požadavky se vztahují též na případné odvolací řízení.</w:t>
      </w:r>
      <w:r w:rsidR="00000B0F">
        <w:rPr>
          <w:rStyle w:val="Znakapoznpodarou"/>
        </w:rPr>
        <w:footnoteReference w:id="122"/>
      </w:r>
    </w:p>
    <w:p w:rsidR="00220AED" w:rsidRDefault="00FB5C07">
      <w:pPr>
        <w:spacing w:line="276" w:lineRule="auto"/>
        <w:jc w:val="left"/>
      </w:pPr>
      <w:r>
        <w:tab/>
        <w:t xml:space="preserve">Vzhledem k zaměření práce se budu věnovat pouze </w:t>
      </w:r>
      <w:r w:rsidR="001656A9">
        <w:t xml:space="preserve">první a třetí části. </w:t>
      </w:r>
    </w:p>
    <w:p w:rsidR="00220AED" w:rsidRPr="00220AED" w:rsidRDefault="00220AED" w:rsidP="00F57525">
      <w:pPr>
        <w:pStyle w:val="Odstavecseseznamem"/>
        <w:keepNext/>
        <w:keepLines/>
        <w:numPr>
          <w:ilvl w:val="0"/>
          <w:numId w:val="2"/>
        </w:numPr>
        <w:spacing w:before="200" w:after="0"/>
        <w:contextualSpacing w:val="0"/>
        <w:outlineLvl w:val="1"/>
        <w:rPr>
          <w:rFonts w:eastAsiaTheme="majorEastAsia" w:cstheme="majorBidi"/>
          <w:b/>
          <w:bCs/>
          <w:vanish/>
          <w:color w:val="000000" w:themeColor="text1"/>
          <w:sz w:val="28"/>
          <w:szCs w:val="26"/>
        </w:rPr>
      </w:pPr>
      <w:bookmarkStart w:id="33" w:name="_Toc445990734"/>
      <w:bookmarkStart w:id="34" w:name="_Toc446336422"/>
      <w:bookmarkEnd w:id="33"/>
      <w:bookmarkEnd w:id="34"/>
    </w:p>
    <w:p w:rsidR="00220AED" w:rsidRPr="00220AED" w:rsidRDefault="00220AED" w:rsidP="00F57525">
      <w:pPr>
        <w:pStyle w:val="Odstavecseseznamem"/>
        <w:keepNext/>
        <w:keepLines/>
        <w:numPr>
          <w:ilvl w:val="0"/>
          <w:numId w:val="2"/>
        </w:numPr>
        <w:spacing w:before="200" w:after="0"/>
        <w:contextualSpacing w:val="0"/>
        <w:outlineLvl w:val="1"/>
        <w:rPr>
          <w:rFonts w:eastAsiaTheme="majorEastAsia" w:cstheme="majorBidi"/>
          <w:b/>
          <w:bCs/>
          <w:vanish/>
          <w:color w:val="000000" w:themeColor="text1"/>
          <w:sz w:val="28"/>
          <w:szCs w:val="26"/>
        </w:rPr>
      </w:pPr>
      <w:bookmarkStart w:id="35" w:name="_Toc445990735"/>
      <w:bookmarkStart w:id="36" w:name="_Toc446336423"/>
      <w:bookmarkEnd w:id="35"/>
      <w:bookmarkEnd w:id="36"/>
    </w:p>
    <w:p w:rsidR="00220AED" w:rsidRPr="00220AED" w:rsidRDefault="00220AED" w:rsidP="00F57525">
      <w:pPr>
        <w:pStyle w:val="Odstavecseseznamem"/>
        <w:keepNext/>
        <w:keepLines/>
        <w:numPr>
          <w:ilvl w:val="0"/>
          <w:numId w:val="2"/>
        </w:numPr>
        <w:spacing w:before="200" w:after="0"/>
        <w:contextualSpacing w:val="0"/>
        <w:outlineLvl w:val="1"/>
        <w:rPr>
          <w:rFonts w:eastAsiaTheme="majorEastAsia" w:cstheme="majorBidi"/>
          <w:b/>
          <w:bCs/>
          <w:vanish/>
          <w:color w:val="000000" w:themeColor="text1"/>
          <w:sz w:val="28"/>
          <w:szCs w:val="26"/>
        </w:rPr>
      </w:pPr>
      <w:bookmarkStart w:id="37" w:name="_Toc445990736"/>
      <w:bookmarkStart w:id="38" w:name="_Toc446336424"/>
      <w:bookmarkEnd w:id="37"/>
      <w:bookmarkEnd w:id="38"/>
    </w:p>
    <w:p w:rsidR="00220AED" w:rsidRPr="00220AED" w:rsidRDefault="00220AED" w:rsidP="00F57525">
      <w:pPr>
        <w:pStyle w:val="Odstavecseseznamem"/>
        <w:keepNext/>
        <w:keepLines/>
        <w:numPr>
          <w:ilvl w:val="1"/>
          <w:numId w:val="2"/>
        </w:numPr>
        <w:spacing w:before="200" w:after="0"/>
        <w:contextualSpacing w:val="0"/>
        <w:outlineLvl w:val="1"/>
        <w:rPr>
          <w:rFonts w:eastAsiaTheme="majorEastAsia" w:cstheme="majorBidi"/>
          <w:b/>
          <w:bCs/>
          <w:vanish/>
          <w:color w:val="000000" w:themeColor="text1"/>
          <w:sz w:val="28"/>
          <w:szCs w:val="26"/>
        </w:rPr>
      </w:pPr>
      <w:bookmarkStart w:id="39" w:name="_Toc445990737"/>
      <w:bookmarkStart w:id="40" w:name="_Toc446336425"/>
      <w:bookmarkEnd w:id="39"/>
      <w:bookmarkEnd w:id="40"/>
    </w:p>
    <w:p w:rsidR="00220AED" w:rsidRDefault="00220AED" w:rsidP="00F57525">
      <w:pPr>
        <w:pStyle w:val="Nadpis2"/>
        <w:numPr>
          <w:ilvl w:val="1"/>
          <w:numId w:val="2"/>
        </w:numPr>
        <w:ind w:left="0" w:firstLine="0"/>
      </w:pPr>
      <w:bookmarkStart w:id="41" w:name="_Toc446336426"/>
      <w:r>
        <w:t>Unijní právní úprava</w:t>
      </w:r>
      <w:bookmarkEnd w:id="41"/>
    </w:p>
    <w:p w:rsidR="00A92891" w:rsidRDefault="00A92891" w:rsidP="00F57525">
      <w:pPr>
        <w:pStyle w:val="Nadpis3"/>
        <w:numPr>
          <w:ilvl w:val="2"/>
          <w:numId w:val="2"/>
        </w:numPr>
        <w:ind w:left="0" w:firstLine="0"/>
      </w:pPr>
      <w:bookmarkStart w:id="42" w:name="_Toc446336427"/>
      <w:r>
        <w:t>Ochrana práva na informace</w:t>
      </w:r>
      <w:bookmarkEnd w:id="42"/>
    </w:p>
    <w:p w:rsidR="009954C4" w:rsidRDefault="00CB5651" w:rsidP="00D937CF">
      <w:pPr>
        <w:ind w:firstLine="708"/>
      </w:pPr>
      <w:r w:rsidRPr="00EA1C21">
        <w:t>V oblasti ochrany práva na informace je</w:t>
      </w:r>
      <w:r>
        <w:t xml:space="preserve"> stěžejním právním předpisem nařízení č. 1049/2001.</w:t>
      </w:r>
      <w:r w:rsidR="00031402">
        <w:rPr>
          <w:rStyle w:val="Znakapoznpodarou"/>
        </w:rPr>
        <w:footnoteReference w:id="123"/>
      </w:r>
      <w:r>
        <w:t xml:space="preserve"> </w:t>
      </w:r>
      <w:r w:rsidR="00C602CA">
        <w:t>Žádost o informace může být buď kladně vyřízena</w:t>
      </w:r>
      <w:r w:rsidR="001705DA">
        <w:t>,</w:t>
      </w:r>
      <w:r w:rsidR="00C602CA">
        <w:t xml:space="preserve"> nebo zamítnuta a to buď částečně, nebo úplně. </w:t>
      </w:r>
      <w:r w:rsidR="001705DA">
        <w:t>Mimo vyřízení žádosti může dojít k nečinnosti orgánu spočíva</w:t>
      </w:r>
      <w:r w:rsidR="000F3119">
        <w:t>jící v neposkytnutí informace v dané</w:t>
      </w:r>
      <w:r w:rsidR="001705DA">
        <w:t xml:space="preserve"> lhůtě. </w:t>
      </w:r>
      <w:r w:rsidR="00D937CF">
        <w:t xml:space="preserve">V případě zamítnutí žádosti, či marného uplynutí lhůty má žadatel právo podat tzv. </w:t>
      </w:r>
      <w:r w:rsidR="00D937CF" w:rsidRPr="00744638">
        <w:rPr>
          <w:b/>
        </w:rPr>
        <w:t>potvrzující žádost</w:t>
      </w:r>
      <w:r w:rsidR="00D937CF">
        <w:t xml:space="preserve">. </w:t>
      </w:r>
    </w:p>
    <w:p w:rsidR="00FD67B9" w:rsidRDefault="00FD67B9" w:rsidP="00D937CF">
      <w:pPr>
        <w:ind w:firstLine="708"/>
      </w:pPr>
      <w:r>
        <w:lastRenderedPageBreak/>
        <w:t>Potvrzující žádost se podává orgánu, který žádost o informaci zamítl, případně nekonal</w:t>
      </w:r>
      <w:r w:rsidR="008F0A94">
        <w:t>. Jedná se tedy o žádost o autoremeduru</w:t>
      </w:r>
      <w:r>
        <w:t xml:space="preserve">. Potvrzující žádostí se žadatel domáhá o přezkoumání zamítnutí/nečinnosti </w:t>
      </w:r>
      <w:r w:rsidR="008F0A94">
        <w:t>orgánu. Orgán má 15</w:t>
      </w:r>
      <w:r w:rsidR="00142B25">
        <w:rPr>
          <w:rStyle w:val="Znakapoznpodarou"/>
        </w:rPr>
        <w:footnoteReference w:id="124"/>
      </w:r>
      <w:r w:rsidR="008F0A94">
        <w:t xml:space="preserve"> dní</w:t>
      </w:r>
      <w:r w:rsidR="00A2082B">
        <w:t>,</w:t>
      </w:r>
      <w:r w:rsidR="008F0A94">
        <w:t xml:space="preserve"> aby žádosti buď vyhověl a informaci zpřístupnil nebo ji definitivně </w:t>
      </w:r>
      <w:r w:rsidR="00A2082B">
        <w:t>za</w:t>
      </w:r>
      <w:r w:rsidR="008F0A94">
        <w:t>mítl a písemně uvedl důvody</w:t>
      </w:r>
      <w:r w:rsidR="00142B25">
        <w:t>,</w:t>
      </w:r>
      <w:r w:rsidR="008F0A94">
        <w:t xml:space="preserve"> které ho k tomu v</w:t>
      </w:r>
      <w:r w:rsidR="00142B25">
        <w:t xml:space="preserve">edly. </w:t>
      </w:r>
      <w:r w:rsidR="00C239CC">
        <w:t xml:space="preserve">Pokud orgán bude při vyřizování potvrzující žádosti nečinný a nevydá </w:t>
      </w:r>
      <w:r w:rsidR="008D0357">
        <w:t>ani v této</w:t>
      </w:r>
      <w:r w:rsidR="00C239CC">
        <w:t xml:space="preserve"> lhůtě rozhodnutí, nastupuje právní fikce zamítnutí žádosti. </w:t>
      </w:r>
    </w:p>
    <w:p w:rsidR="00275C13" w:rsidRDefault="00275C13" w:rsidP="00D937CF">
      <w:pPr>
        <w:ind w:firstLine="708"/>
      </w:pPr>
      <w:r>
        <w:t>V následující tabulce opět uvádím srovnání relevantních ustanovení Úmluvy a unijního práva.</w:t>
      </w:r>
    </w:p>
    <w:tbl>
      <w:tblPr>
        <w:tblpPr w:leftFromText="141" w:rightFromText="141" w:vertAnchor="text" w:horzAnchor="margin" w:tblpXSpec="center" w:tblpY="5"/>
        <w:tblW w:w="9993" w:type="dxa"/>
        <w:tblCellMar>
          <w:left w:w="70" w:type="dxa"/>
          <w:right w:w="70" w:type="dxa"/>
        </w:tblCellMar>
        <w:tblLook w:val="04A0" w:firstRow="1" w:lastRow="0" w:firstColumn="1" w:lastColumn="0" w:noHBand="0" w:noVBand="1"/>
      </w:tblPr>
      <w:tblGrid>
        <w:gridCol w:w="4890"/>
        <w:gridCol w:w="5103"/>
      </w:tblGrid>
      <w:tr w:rsidR="00275C13" w:rsidRPr="00CF5660" w:rsidTr="00275C13">
        <w:trPr>
          <w:trHeight w:val="315"/>
        </w:trPr>
        <w:tc>
          <w:tcPr>
            <w:tcW w:w="4890" w:type="dxa"/>
            <w:tcBorders>
              <w:top w:val="single" w:sz="8" w:space="0" w:color="auto"/>
              <w:left w:val="single" w:sz="8" w:space="0" w:color="auto"/>
              <w:bottom w:val="nil"/>
              <w:right w:val="single" w:sz="8" w:space="0" w:color="000000"/>
            </w:tcBorders>
            <w:shd w:val="clear" w:color="auto" w:fill="auto"/>
            <w:noWrap/>
            <w:vAlign w:val="center"/>
            <w:hideMark/>
          </w:tcPr>
          <w:p w:rsidR="00275C13" w:rsidRPr="00CF5660" w:rsidRDefault="00275C13" w:rsidP="00275C13">
            <w:pPr>
              <w:spacing w:after="0" w:line="240" w:lineRule="auto"/>
              <w:jc w:val="center"/>
              <w:rPr>
                <w:rFonts w:ascii="Calibri" w:eastAsia="Times New Roman" w:hAnsi="Calibri" w:cs="Times New Roman"/>
                <w:b/>
                <w:bCs/>
                <w:color w:val="000000"/>
                <w:lang w:eastAsia="cs-CZ"/>
              </w:rPr>
            </w:pPr>
            <w:r w:rsidRPr="00CF5660">
              <w:rPr>
                <w:rFonts w:ascii="Calibri" w:eastAsia="Times New Roman" w:hAnsi="Calibri" w:cs="Times New Roman"/>
                <w:b/>
                <w:bCs/>
                <w:color w:val="000000"/>
                <w:sz w:val="22"/>
                <w:lang w:eastAsia="cs-CZ"/>
              </w:rPr>
              <w:t>Aarhuská úmluva</w:t>
            </w:r>
          </w:p>
        </w:tc>
        <w:tc>
          <w:tcPr>
            <w:tcW w:w="5103" w:type="dxa"/>
            <w:tcBorders>
              <w:top w:val="single" w:sz="8" w:space="0" w:color="auto"/>
              <w:left w:val="nil"/>
              <w:bottom w:val="nil"/>
              <w:right w:val="single" w:sz="8" w:space="0" w:color="000000"/>
            </w:tcBorders>
            <w:shd w:val="clear" w:color="auto" w:fill="auto"/>
            <w:noWrap/>
            <w:vAlign w:val="center"/>
            <w:hideMark/>
          </w:tcPr>
          <w:p w:rsidR="00275C13" w:rsidRPr="00CF5660" w:rsidRDefault="00275C13" w:rsidP="00275C13">
            <w:pPr>
              <w:spacing w:after="0" w:line="240" w:lineRule="auto"/>
              <w:jc w:val="center"/>
              <w:rPr>
                <w:rFonts w:ascii="Calibri" w:eastAsia="Times New Roman" w:hAnsi="Calibri" w:cs="Times New Roman"/>
                <w:b/>
                <w:bCs/>
                <w:color w:val="000000"/>
                <w:lang w:eastAsia="cs-CZ"/>
              </w:rPr>
            </w:pPr>
            <w:r w:rsidRPr="00CF5660">
              <w:rPr>
                <w:rFonts w:ascii="Calibri" w:eastAsia="Times New Roman" w:hAnsi="Calibri" w:cs="Times New Roman"/>
                <w:b/>
                <w:bCs/>
                <w:color w:val="000000"/>
                <w:sz w:val="22"/>
                <w:lang w:eastAsia="cs-CZ"/>
              </w:rPr>
              <w:t>Unijní úprava</w:t>
            </w:r>
          </w:p>
        </w:tc>
      </w:tr>
      <w:tr w:rsidR="00275C13" w:rsidRPr="00CF5660" w:rsidTr="00275C13">
        <w:trPr>
          <w:trHeight w:val="300"/>
        </w:trPr>
        <w:tc>
          <w:tcPr>
            <w:tcW w:w="4890"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275C13" w:rsidRPr="00CF5660" w:rsidRDefault="00275C13" w:rsidP="00275C13">
            <w:pPr>
              <w:spacing w:after="0" w:line="240" w:lineRule="auto"/>
              <w:jc w:val="left"/>
              <w:rPr>
                <w:rFonts w:ascii="Calibri" w:eastAsia="Times New Roman" w:hAnsi="Calibri" w:cs="Times New Roman"/>
                <w:color w:val="000000"/>
                <w:lang w:eastAsia="cs-CZ"/>
              </w:rPr>
            </w:pPr>
            <w:r w:rsidRPr="00CF5660">
              <w:rPr>
                <w:rFonts w:ascii="Calibri" w:eastAsia="Times New Roman" w:hAnsi="Calibri" w:cs="Times New Roman"/>
                <w:color w:val="000000"/>
                <w:sz w:val="22"/>
                <w:lang w:eastAsia="cs-CZ"/>
              </w:rPr>
              <w:t>přiměřená a účinná náprava</w:t>
            </w:r>
          </w:p>
        </w:tc>
        <w:tc>
          <w:tcPr>
            <w:tcW w:w="5103" w:type="dxa"/>
            <w:tcBorders>
              <w:top w:val="single" w:sz="8" w:space="0" w:color="auto"/>
              <w:left w:val="nil"/>
              <w:bottom w:val="single" w:sz="4" w:space="0" w:color="auto"/>
              <w:right w:val="single" w:sz="8" w:space="0" w:color="000000"/>
            </w:tcBorders>
            <w:shd w:val="clear" w:color="auto" w:fill="auto"/>
            <w:noWrap/>
            <w:vAlign w:val="bottom"/>
            <w:hideMark/>
          </w:tcPr>
          <w:p w:rsidR="00275C13" w:rsidRPr="00CF5660" w:rsidRDefault="00275C13" w:rsidP="00275C13">
            <w:pPr>
              <w:spacing w:after="0" w:line="240" w:lineRule="auto"/>
              <w:jc w:val="left"/>
              <w:rPr>
                <w:rFonts w:ascii="Calibri" w:eastAsia="Times New Roman" w:hAnsi="Calibri" w:cs="Times New Roman"/>
                <w:color w:val="000000"/>
                <w:lang w:eastAsia="cs-CZ"/>
              </w:rPr>
            </w:pPr>
            <w:r w:rsidRPr="00CF5660">
              <w:rPr>
                <w:rFonts w:ascii="Calibri" w:eastAsia="Times New Roman" w:hAnsi="Calibri" w:cs="Times New Roman"/>
                <w:color w:val="000000"/>
                <w:sz w:val="22"/>
                <w:lang w:eastAsia="cs-CZ"/>
              </w:rPr>
              <w:t>čl. 8 odst. 1 nařízení č. 1049/2001</w:t>
            </w:r>
          </w:p>
        </w:tc>
      </w:tr>
      <w:tr w:rsidR="00275C13" w:rsidRPr="00CF5660" w:rsidTr="00275C13">
        <w:trPr>
          <w:trHeight w:val="300"/>
        </w:trPr>
        <w:tc>
          <w:tcPr>
            <w:tcW w:w="489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275C13" w:rsidRPr="00CF5660" w:rsidRDefault="00275C13" w:rsidP="00275C13">
            <w:pPr>
              <w:spacing w:after="0" w:line="240" w:lineRule="auto"/>
              <w:jc w:val="left"/>
              <w:rPr>
                <w:rFonts w:ascii="Calibri" w:eastAsia="Times New Roman" w:hAnsi="Calibri" w:cs="Times New Roman"/>
                <w:color w:val="000000"/>
                <w:lang w:eastAsia="cs-CZ"/>
              </w:rPr>
            </w:pPr>
            <w:r w:rsidRPr="00CF5660">
              <w:rPr>
                <w:rFonts w:ascii="Calibri" w:eastAsia="Times New Roman" w:hAnsi="Calibri" w:cs="Times New Roman"/>
                <w:color w:val="000000"/>
                <w:sz w:val="22"/>
                <w:lang w:eastAsia="cs-CZ"/>
              </w:rPr>
              <w:t>nezávislost, nestrannost, čestnost, spravedlnost</w:t>
            </w:r>
          </w:p>
        </w:tc>
        <w:tc>
          <w:tcPr>
            <w:tcW w:w="5103" w:type="dxa"/>
            <w:tcBorders>
              <w:top w:val="single" w:sz="4" w:space="0" w:color="auto"/>
              <w:left w:val="nil"/>
              <w:bottom w:val="single" w:sz="4" w:space="0" w:color="auto"/>
              <w:right w:val="single" w:sz="8" w:space="0" w:color="000000"/>
            </w:tcBorders>
            <w:shd w:val="clear" w:color="auto" w:fill="auto"/>
            <w:noWrap/>
            <w:vAlign w:val="bottom"/>
            <w:hideMark/>
          </w:tcPr>
          <w:p w:rsidR="00275C13" w:rsidRPr="00CF5660" w:rsidRDefault="00275C13" w:rsidP="00275C13">
            <w:pPr>
              <w:spacing w:after="0" w:line="240" w:lineRule="auto"/>
              <w:jc w:val="left"/>
              <w:rPr>
                <w:rFonts w:ascii="Calibri" w:eastAsia="Times New Roman" w:hAnsi="Calibri" w:cs="Times New Roman"/>
                <w:color w:val="000000"/>
                <w:lang w:eastAsia="cs-CZ"/>
              </w:rPr>
            </w:pPr>
            <w:r w:rsidRPr="00CF5660">
              <w:rPr>
                <w:rFonts w:ascii="Calibri" w:eastAsia="Times New Roman" w:hAnsi="Calibri" w:cs="Times New Roman"/>
                <w:color w:val="000000"/>
                <w:sz w:val="22"/>
                <w:lang w:eastAsia="cs-CZ"/>
              </w:rPr>
              <w:t>čl. 41 Listiny základních práv EU</w:t>
            </w:r>
          </w:p>
        </w:tc>
      </w:tr>
      <w:tr w:rsidR="00275C13" w:rsidRPr="00CF5660" w:rsidTr="00275C13">
        <w:trPr>
          <w:trHeight w:val="300"/>
        </w:trPr>
        <w:tc>
          <w:tcPr>
            <w:tcW w:w="489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275C13" w:rsidRPr="00CF5660" w:rsidRDefault="00275C13" w:rsidP="00275C13">
            <w:pPr>
              <w:spacing w:after="0" w:line="240" w:lineRule="auto"/>
              <w:jc w:val="left"/>
              <w:rPr>
                <w:rFonts w:ascii="Calibri" w:eastAsia="Times New Roman" w:hAnsi="Calibri" w:cs="Times New Roman"/>
                <w:color w:val="000000"/>
                <w:lang w:eastAsia="cs-CZ"/>
              </w:rPr>
            </w:pPr>
            <w:r w:rsidRPr="00CF5660">
              <w:rPr>
                <w:rFonts w:ascii="Calibri" w:eastAsia="Times New Roman" w:hAnsi="Calibri" w:cs="Times New Roman"/>
                <w:color w:val="000000"/>
                <w:sz w:val="22"/>
                <w:lang w:eastAsia="cs-CZ"/>
              </w:rPr>
              <w:t>orgán zřízený ze zákona</w:t>
            </w:r>
          </w:p>
        </w:tc>
        <w:tc>
          <w:tcPr>
            <w:tcW w:w="5103" w:type="dxa"/>
            <w:tcBorders>
              <w:top w:val="single" w:sz="4" w:space="0" w:color="auto"/>
              <w:left w:val="nil"/>
              <w:bottom w:val="single" w:sz="4" w:space="0" w:color="auto"/>
              <w:right w:val="single" w:sz="8" w:space="0" w:color="000000"/>
            </w:tcBorders>
            <w:shd w:val="clear" w:color="auto" w:fill="auto"/>
            <w:noWrap/>
            <w:vAlign w:val="bottom"/>
            <w:hideMark/>
          </w:tcPr>
          <w:p w:rsidR="00275C13" w:rsidRPr="00CF5660" w:rsidRDefault="00275C13" w:rsidP="00275C13">
            <w:pPr>
              <w:spacing w:after="0" w:line="240" w:lineRule="auto"/>
              <w:jc w:val="left"/>
              <w:rPr>
                <w:rFonts w:ascii="Calibri" w:eastAsia="Times New Roman" w:hAnsi="Calibri" w:cs="Times New Roman"/>
                <w:color w:val="000000"/>
                <w:lang w:eastAsia="cs-CZ"/>
              </w:rPr>
            </w:pPr>
            <w:r w:rsidRPr="00CF5660">
              <w:rPr>
                <w:rFonts w:ascii="Calibri" w:eastAsia="Times New Roman" w:hAnsi="Calibri" w:cs="Times New Roman"/>
                <w:color w:val="000000"/>
                <w:sz w:val="22"/>
                <w:lang w:eastAsia="cs-CZ"/>
              </w:rPr>
              <w:t>zřizovací akt konkrétního orgánu</w:t>
            </w:r>
          </w:p>
        </w:tc>
      </w:tr>
      <w:tr w:rsidR="00275C13" w:rsidRPr="00CF5660" w:rsidTr="00275C13">
        <w:trPr>
          <w:trHeight w:val="300"/>
        </w:trPr>
        <w:tc>
          <w:tcPr>
            <w:tcW w:w="489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275C13" w:rsidRPr="00CF5660" w:rsidRDefault="00275C13" w:rsidP="00275C13">
            <w:pPr>
              <w:spacing w:after="0" w:line="240" w:lineRule="auto"/>
              <w:jc w:val="left"/>
              <w:rPr>
                <w:rFonts w:ascii="Calibri" w:eastAsia="Times New Roman" w:hAnsi="Calibri" w:cs="Times New Roman"/>
                <w:color w:val="000000"/>
                <w:lang w:eastAsia="cs-CZ"/>
              </w:rPr>
            </w:pPr>
            <w:r w:rsidRPr="00CF5660">
              <w:rPr>
                <w:rFonts w:ascii="Calibri" w:eastAsia="Times New Roman" w:hAnsi="Calibri" w:cs="Times New Roman"/>
                <w:color w:val="000000"/>
                <w:sz w:val="22"/>
                <w:lang w:eastAsia="cs-CZ"/>
              </w:rPr>
              <w:t xml:space="preserve">včasnost </w:t>
            </w:r>
          </w:p>
        </w:tc>
        <w:tc>
          <w:tcPr>
            <w:tcW w:w="5103" w:type="dxa"/>
            <w:tcBorders>
              <w:top w:val="single" w:sz="4" w:space="0" w:color="auto"/>
              <w:left w:val="nil"/>
              <w:bottom w:val="single" w:sz="4" w:space="0" w:color="auto"/>
              <w:right w:val="single" w:sz="8" w:space="0" w:color="000000"/>
            </w:tcBorders>
            <w:shd w:val="clear" w:color="auto" w:fill="auto"/>
            <w:noWrap/>
            <w:vAlign w:val="bottom"/>
            <w:hideMark/>
          </w:tcPr>
          <w:p w:rsidR="00275C13" w:rsidRPr="00CF5660" w:rsidRDefault="00567527" w:rsidP="00275C13">
            <w:pPr>
              <w:spacing w:after="0" w:line="240" w:lineRule="auto"/>
              <w:jc w:val="left"/>
              <w:rPr>
                <w:rFonts w:ascii="Calibri" w:eastAsia="Times New Roman" w:hAnsi="Calibri" w:cs="Times New Roman"/>
                <w:color w:val="000000"/>
                <w:lang w:eastAsia="cs-CZ"/>
              </w:rPr>
            </w:pPr>
            <w:r>
              <w:rPr>
                <w:rFonts w:ascii="Calibri" w:eastAsia="Times New Roman" w:hAnsi="Calibri" w:cs="Times New Roman"/>
                <w:color w:val="000000"/>
                <w:sz w:val="22"/>
                <w:lang w:eastAsia="cs-CZ"/>
              </w:rPr>
              <w:t>čl. 8 odst. 1 a 2 nař</w:t>
            </w:r>
            <w:r w:rsidR="00275C13" w:rsidRPr="00CF5660">
              <w:rPr>
                <w:rFonts w:ascii="Calibri" w:eastAsia="Times New Roman" w:hAnsi="Calibri" w:cs="Times New Roman"/>
                <w:color w:val="000000"/>
                <w:sz w:val="22"/>
                <w:lang w:eastAsia="cs-CZ"/>
              </w:rPr>
              <w:t>ízení č. 1049/2001</w:t>
            </w:r>
          </w:p>
        </w:tc>
      </w:tr>
      <w:tr w:rsidR="00275C13" w:rsidRPr="00CF5660" w:rsidTr="00275C13">
        <w:trPr>
          <w:trHeight w:val="300"/>
        </w:trPr>
        <w:tc>
          <w:tcPr>
            <w:tcW w:w="489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275C13" w:rsidRPr="00CF5660" w:rsidRDefault="00275C13" w:rsidP="00275C13">
            <w:pPr>
              <w:spacing w:after="0" w:line="240" w:lineRule="auto"/>
              <w:jc w:val="left"/>
              <w:rPr>
                <w:rFonts w:ascii="Calibri" w:eastAsia="Times New Roman" w:hAnsi="Calibri" w:cs="Times New Roman"/>
                <w:color w:val="000000"/>
                <w:lang w:eastAsia="cs-CZ"/>
              </w:rPr>
            </w:pPr>
            <w:r w:rsidRPr="00CF5660">
              <w:rPr>
                <w:rFonts w:ascii="Calibri" w:eastAsia="Times New Roman" w:hAnsi="Calibri" w:cs="Times New Roman"/>
                <w:color w:val="000000"/>
                <w:sz w:val="22"/>
                <w:lang w:eastAsia="cs-CZ"/>
              </w:rPr>
              <w:t>informační povinnost</w:t>
            </w:r>
          </w:p>
        </w:tc>
        <w:tc>
          <w:tcPr>
            <w:tcW w:w="5103" w:type="dxa"/>
            <w:tcBorders>
              <w:top w:val="single" w:sz="4" w:space="0" w:color="auto"/>
              <w:left w:val="nil"/>
              <w:bottom w:val="single" w:sz="4" w:space="0" w:color="auto"/>
              <w:right w:val="single" w:sz="8" w:space="0" w:color="000000"/>
            </w:tcBorders>
            <w:shd w:val="clear" w:color="auto" w:fill="auto"/>
            <w:noWrap/>
            <w:vAlign w:val="bottom"/>
            <w:hideMark/>
          </w:tcPr>
          <w:p w:rsidR="00275C13" w:rsidRPr="00CF5660" w:rsidRDefault="00275C13" w:rsidP="00275C13">
            <w:pPr>
              <w:spacing w:after="0" w:line="240" w:lineRule="auto"/>
              <w:jc w:val="left"/>
              <w:rPr>
                <w:rFonts w:ascii="Calibri" w:eastAsia="Times New Roman" w:hAnsi="Calibri" w:cs="Times New Roman"/>
                <w:color w:val="000000"/>
                <w:lang w:eastAsia="cs-CZ"/>
              </w:rPr>
            </w:pPr>
            <w:r w:rsidRPr="00CF5660">
              <w:rPr>
                <w:rFonts w:ascii="Calibri" w:eastAsia="Times New Roman" w:hAnsi="Calibri" w:cs="Times New Roman"/>
                <w:color w:val="000000"/>
                <w:sz w:val="22"/>
                <w:lang w:eastAsia="cs-CZ"/>
              </w:rPr>
              <w:t>čl. 7 odst. 1 nařízení č. 1049/2001</w:t>
            </w:r>
          </w:p>
        </w:tc>
      </w:tr>
      <w:tr w:rsidR="00275C13" w:rsidRPr="00CF5660" w:rsidTr="00275C13">
        <w:trPr>
          <w:trHeight w:val="300"/>
        </w:trPr>
        <w:tc>
          <w:tcPr>
            <w:tcW w:w="489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275C13" w:rsidRPr="00CF5660" w:rsidRDefault="00275C13" w:rsidP="00275C13">
            <w:pPr>
              <w:spacing w:after="0" w:line="240" w:lineRule="auto"/>
              <w:jc w:val="left"/>
              <w:rPr>
                <w:rFonts w:ascii="Calibri" w:eastAsia="Times New Roman" w:hAnsi="Calibri" w:cs="Times New Roman"/>
                <w:color w:val="000000"/>
                <w:lang w:eastAsia="cs-CZ"/>
              </w:rPr>
            </w:pPr>
            <w:r w:rsidRPr="00CF5660">
              <w:rPr>
                <w:rFonts w:ascii="Calibri" w:eastAsia="Times New Roman" w:hAnsi="Calibri" w:cs="Times New Roman"/>
                <w:color w:val="000000"/>
                <w:sz w:val="22"/>
                <w:lang w:eastAsia="cs-CZ"/>
              </w:rPr>
              <w:t>finanční nenáročnost</w:t>
            </w:r>
          </w:p>
        </w:tc>
        <w:tc>
          <w:tcPr>
            <w:tcW w:w="5103" w:type="dxa"/>
            <w:tcBorders>
              <w:top w:val="single" w:sz="4" w:space="0" w:color="auto"/>
              <w:left w:val="nil"/>
              <w:bottom w:val="single" w:sz="4" w:space="0" w:color="auto"/>
              <w:right w:val="single" w:sz="8" w:space="0" w:color="000000"/>
            </w:tcBorders>
            <w:shd w:val="clear" w:color="auto" w:fill="auto"/>
            <w:noWrap/>
            <w:vAlign w:val="bottom"/>
            <w:hideMark/>
          </w:tcPr>
          <w:p w:rsidR="00275C13" w:rsidRPr="00CF5660" w:rsidRDefault="00275C13" w:rsidP="00275C13">
            <w:pPr>
              <w:spacing w:after="0" w:line="240" w:lineRule="auto"/>
              <w:jc w:val="left"/>
              <w:rPr>
                <w:rFonts w:ascii="Calibri" w:eastAsia="Times New Roman" w:hAnsi="Calibri" w:cs="Times New Roman"/>
                <w:color w:val="000000"/>
                <w:lang w:eastAsia="cs-CZ"/>
              </w:rPr>
            </w:pPr>
            <w:r w:rsidRPr="00CF5660">
              <w:rPr>
                <w:rFonts w:ascii="Calibri" w:eastAsia="Times New Roman" w:hAnsi="Calibri" w:cs="Times New Roman"/>
                <w:color w:val="000000"/>
                <w:sz w:val="22"/>
                <w:lang w:eastAsia="cs-CZ"/>
              </w:rPr>
              <w:t>řízení je zdarma</w:t>
            </w:r>
          </w:p>
        </w:tc>
      </w:tr>
      <w:tr w:rsidR="00275C13" w:rsidRPr="00CF5660" w:rsidTr="00275C13">
        <w:trPr>
          <w:trHeight w:val="300"/>
        </w:trPr>
        <w:tc>
          <w:tcPr>
            <w:tcW w:w="4890" w:type="dxa"/>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275C13" w:rsidRPr="00CF5660" w:rsidRDefault="00275C13" w:rsidP="00275C13">
            <w:pPr>
              <w:spacing w:after="0" w:line="240" w:lineRule="auto"/>
              <w:jc w:val="left"/>
              <w:rPr>
                <w:rFonts w:ascii="Calibri" w:eastAsia="Times New Roman" w:hAnsi="Calibri" w:cs="Times New Roman"/>
                <w:color w:val="000000"/>
                <w:lang w:eastAsia="cs-CZ"/>
              </w:rPr>
            </w:pPr>
            <w:r w:rsidRPr="00CF5660">
              <w:rPr>
                <w:rFonts w:ascii="Calibri" w:eastAsia="Times New Roman" w:hAnsi="Calibri" w:cs="Times New Roman"/>
                <w:color w:val="000000"/>
                <w:sz w:val="22"/>
                <w:lang w:eastAsia="cs-CZ"/>
              </w:rPr>
              <w:t>písemná forma</w:t>
            </w:r>
          </w:p>
        </w:tc>
        <w:tc>
          <w:tcPr>
            <w:tcW w:w="5103" w:type="dxa"/>
            <w:tcBorders>
              <w:top w:val="single" w:sz="4" w:space="0" w:color="auto"/>
              <w:left w:val="nil"/>
              <w:bottom w:val="single" w:sz="4" w:space="0" w:color="auto"/>
              <w:right w:val="single" w:sz="8" w:space="0" w:color="000000"/>
            </w:tcBorders>
            <w:shd w:val="clear" w:color="auto" w:fill="auto"/>
            <w:noWrap/>
            <w:vAlign w:val="bottom"/>
            <w:hideMark/>
          </w:tcPr>
          <w:p w:rsidR="00275C13" w:rsidRPr="00CF5660" w:rsidRDefault="00275C13" w:rsidP="00275C13">
            <w:pPr>
              <w:spacing w:after="0" w:line="240" w:lineRule="auto"/>
              <w:jc w:val="left"/>
              <w:rPr>
                <w:rFonts w:ascii="Calibri" w:eastAsia="Times New Roman" w:hAnsi="Calibri" w:cs="Times New Roman"/>
                <w:color w:val="000000"/>
                <w:lang w:eastAsia="cs-CZ"/>
              </w:rPr>
            </w:pPr>
            <w:r w:rsidRPr="00CF5660">
              <w:rPr>
                <w:rFonts w:ascii="Calibri" w:eastAsia="Times New Roman" w:hAnsi="Calibri" w:cs="Times New Roman"/>
                <w:color w:val="000000"/>
                <w:sz w:val="22"/>
                <w:lang w:eastAsia="cs-CZ"/>
              </w:rPr>
              <w:t>čl. 7 odst. 1 nařízení č. 1049/2001</w:t>
            </w:r>
          </w:p>
        </w:tc>
      </w:tr>
      <w:tr w:rsidR="00275C13" w:rsidRPr="00CF5660" w:rsidTr="00275C13">
        <w:trPr>
          <w:trHeight w:val="315"/>
        </w:trPr>
        <w:tc>
          <w:tcPr>
            <w:tcW w:w="4890" w:type="dxa"/>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275C13" w:rsidRPr="00CF5660" w:rsidRDefault="00275C13" w:rsidP="00275C13">
            <w:pPr>
              <w:spacing w:after="0" w:line="240" w:lineRule="auto"/>
              <w:jc w:val="left"/>
              <w:rPr>
                <w:rFonts w:ascii="Calibri" w:eastAsia="Times New Roman" w:hAnsi="Calibri" w:cs="Times New Roman"/>
                <w:color w:val="000000"/>
                <w:lang w:eastAsia="cs-CZ"/>
              </w:rPr>
            </w:pPr>
            <w:r w:rsidRPr="00CF5660">
              <w:rPr>
                <w:rFonts w:ascii="Calibri" w:eastAsia="Times New Roman" w:hAnsi="Calibri" w:cs="Times New Roman"/>
                <w:color w:val="000000"/>
                <w:sz w:val="22"/>
                <w:lang w:eastAsia="cs-CZ"/>
              </w:rPr>
              <w:t>veřejná dostupnost rozhodnutí</w:t>
            </w:r>
          </w:p>
        </w:tc>
        <w:tc>
          <w:tcPr>
            <w:tcW w:w="5103" w:type="dxa"/>
            <w:tcBorders>
              <w:top w:val="single" w:sz="4" w:space="0" w:color="auto"/>
              <w:left w:val="nil"/>
              <w:bottom w:val="single" w:sz="8" w:space="0" w:color="auto"/>
              <w:right w:val="single" w:sz="8" w:space="0" w:color="000000"/>
            </w:tcBorders>
            <w:shd w:val="clear" w:color="auto" w:fill="auto"/>
            <w:noWrap/>
            <w:vAlign w:val="bottom"/>
            <w:hideMark/>
          </w:tcPr>
          <w:p w:rsidR="00275C13" w:rsidRPr="00CF5660" w:rsidRDefault="00275C13" w:rsidP="00275C13">
            <w:pPr>
              <w:spacing w:after="0" w:line="240" w:lineRule="auto"/>
              <w:jc w:val="left"/>
              <w:rPr>
                <w:rFonts w:ascii="Calibri" w:eastAsia="Times New Roman" w:hAnsi="Calibri" w:cs="Times New Roman"/>
                <w:color w:val="000000"/>
                <w:lang w:eastAsia="cs-CZ"/>
              </w:rPr>
            </w:pPr>
            <w:r w:rsidRPr="00CF5660">
              <w:rPr>
                <w:rFonts w:ascii="Calibri" w:eastAsia="Times New Roman" w:hAnsi="Calibri" w:cs="Times New Roman"/>
                <w:color w:val="000000"/>
                <w:sz w:val="22"/>
                <w:lang w:eastAsia="cs-CZ"/>
              </w:rPr>
              <w:t>rozhodnutí správního orgánu není veřejně dostupné</w:t>
            </w:r>
          </w:p>
        </w:tc>
      </w:tr>
    </w:tbl>
    <w:p w:rsidR="00275C13" w:rsidRDefault="00275C13" w:rsidP="00D937CF">
      <w:pPr>
        <w:ind w:firstLine="708"/>
      </w:pPr>
    </w:p>
    <w:p w:rsidR="00285CD4" w:rsidRDefault="00D267F5" w:rsidP="00D937CF">
      <w:pPr>
        <w:ind w:firstLine="708"/>
      </w:pPr>
      <w:r>
        <w:t>Statistiky</w:t>
      </w:r>
      <w:r w:rsidR="00122505">
        <w:rPr>
          <w:rStyle w:val="Znakapoznpodarou"/>
        </w:rPr>
        <w:footnoteReference w:id="125"/>
      </w:r>
      <w:r>
        <w:t xml:space="preserve"> ukazují, že valné většině žádostí o informaci je vyhověno</w:t>
      </w:r>
      <w:r w:rsidR="007D2B7B">
        <w:t xml:space="preserve"> už v prvním stupni</w:t>
      </w:r>
      <w:r>
        <w:t>.</w:t>
      </w:r>
    </w:p>
    <w:tbl>
      <w:tblPr>
        <w:tblW w:w="10340" w:type="dxa"/>
        <w:jc w:val="center"/>
        <w:tblCellMar>
          <w:left w:w="70" w:type="dxa"/>
          <w:right w:w="70" w:type="dxa"/>
        </w:tblCellMar>
        <w:tblLook w:val="04A0" w:firstRow="1" w:lastRow="0" w:firstColumn="1" w:lastColumn="0" w:noHBand="0" w:noVBand="1"/>
      </w:tblPr>
      <w:tblGrid>
        <w:gridCol w:w="2640"/>
        <w:gridCol w:w="1920"/>
        <w:gridCol w:w="1920"/>
        <w:gridCol w:w="1940"/>
        <w:gridCol w:w="1920"/>
      </w:tblGrid>
      <w:tr w:rsidR="00604C2D" w:rsidRPr="00604C2D" w:rsidTr="00275C13">
        <w:trPr>
          <w:trHeight w:val="315"/>
          <w:jc w:val="center"/>
        </w:trPr>
        <w:tc>
          <w:tcPr>
            <w:tcW w:w="2640" w:type="dxa"/>
            <w:tcBorders>
              <w:top w:val="single" w:sz="8" w:space="0" w:color="auto"/>
              <w:left w:val="single" w:sz="8" w:space="0" w:color="auto"/>
              <w:bottom w:val="nil"/>
              <w:right w:val="nil"/>
            </w:tcBorders>
            <w:shd w:val="clear" w:color="auto" w:fill="auto"/>
            <w:noWrap/>
            <w:vAlign w:val="bottom"/>
            <w:hideMark/>
          </w:tcPr>
          <w:p w:rsidR="00604C2D" w:rsidRPr="00604C2D" w:rsidRDefault="00604C2D" w:rsidP="00604C2D">
            <w:pPr>
              <w:spacing w:after="0" w:line="240" w:lineRule="auto"/>
              <w:jc w:val="left"/>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Rok</w:t>
            </w:r>
          </w:p>
        </w:tc>
        <w:tc>
          <w:tcPr>
            <w:tcW w:w="1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b/>
                <w:bCs/>
                <w:color w:val="000000"/>
                <w:lang w:eastAsia="cs-CZ"/>
              </w:rPr>
            </w:pPr>
            <w:r w:rsidRPr="00604C2D">
              <w:rPr>
                <w:rFonts w:ascii="Calibri" w:eastAsia="Times New Roman" w:hAnsi="Calibri" w:cs="Times New Roman"/>
                <w:b/>
                <w:bCs/>
                <w:color w:val="000000"/>
                <w:sz w:val="22"/>
                <w:lang w:eastAsia="cs-CZ"/>
              </w:rPr>
              <w:t>2011</w:t>
            </w:r>
          </w:p>
        </w:tc>
        <w:tc>
          <w:tcPr>
            <w:tcW w:w="1920" w:type="dxa"/>
            <w:tcBorders>
              <w:top w:val="single" w:sz="8" w:space="0" w:color="auto"/>
              <w:left w:val="nil"/>
              <w:bottom w:val="single" w:sz="8"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b/>
                <w:bCs/>
                <w:color w:val="000000"/>
                <w:lang w:eastAsia="cs-CZ"/>
              </w:rPr>
            </w:pPr>
            <w:r w:rsidRPr="00604C2D">
              <w:rPr>
                <w:rFonts w:ascii="Calibri" w:eastAsia="Times New Roman" w:hAnsi="Calibri" w:cs="Times New Roman"/>
                <w:b/>
                <w:bCs/>
                <w:color w:val="000000"/>
                <w:sz w:val="22"/>
                <w:lang w:eastAsia="cs-CZ"/>
              </w:rPr>
              <w:t>2012</w:t>
            </w:r>
          </w:p>
        </w:tc>
        <w:tc>
          <w:tcPr>
            <w:tcW w:w="1940" w:type="dxa"/>
            <w:tcBorders>
              <w:top w:val="single" w:sz="8" w:space="0" w:color="auto"/>
              <w:left w:val="nil"/>
              <w:bottom w:val="single" w:sz="8"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b/>
                <w:bCs/>
                <w:color w:val="000000"/>
                <w:lang w:eastAsia="cs-CZ"/>
              </w:rPr>
            </w:pPr>
            <w:r w:rsidRPr="00604C2D">
              <w:rPr>
                <w:rFonts w:ascii="Calibri" w:eastAsia="Times New Roman" w:hAnsi="Calibri" w:cs="Times New Roman"/>
                <w:b/>
                <w:bCs/>
                <w:color w:val="000000"/>
                <w:sz w:val="22"/>
                <w:lang w:eastAsia="cs-CZ"/>
              </w:rPr>
              <w:t>2013</w:t>
            </w:r>
          </w:p>
        </w:tc>
        <w:tc>
          <w:tcPr>
            <w:tcW w:w="1920" w:type="dxa"/>
            <w:tcBorders>
              <w:top w:val="single" w:sz="8" w:space="0" w:color="auto"/>
              <w:left w:val="nil"/>
              <w:bottom w:val="single" w:sz="8"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b/>
                <w:bCs/>
                <w:color w:val="000000"/>
                <w:lang w:eastAsia="cs-CZ"/>
              </w:rPr>
            </w:pPr>
            <w:r w:rsidRPr="00604C2D">
              <w:rPr>
                <w:rFonts w:ascii="Calibri" w:eastAsia="Times New Roman" w:hAnsi="Calibri" w:cs="Times New Roman"/>
                <w:b/>
                <w:bCs/>
                <w:color w:val="000000"/>
                <w:sz w:val="22"/>
                <w:lang w:eastAsia="cs-CZ"/>
              </w:rPr>
              <w:t>2014</w:t>
            </w:r>
          </w:p>
        </w:tc>
      </w:tr>
      <w:tr w:rsidR="00604C2D" w:rsidRPr="00604C2D" w:rsidTr="00275C13">
        <w:trPr>
          <w:trHeight w:val="300"/>
          <w:jc w:val="center"/>
        </w:trPr>
        <w:tc>
          <w:tcPr>
            <w:tcW w:w="26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04C2D" w:rsidRPr="00604C2D" w:rsidRDefault="00604C2D" w:rsidP="00604C2D">
            <w:pPr>
              <w:spacing w:after="0" w:line="240" w:lineRule="auto"/>
              <w:jc w:val="left"/>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Celkový počet žádostí</w:t>
            </w:r>
          </w:p>
        </w:tc>
        <w:tc>
          <w:tcPr>
            <w:tcW w:w="1920" w:type="dxa"/>
            <w:tcBorders>
              <w:top w:val="nil"/>
              <w:left w:val="nil"/>
              <w:bottom w:val="single" w:sz="4"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6055</w:t>
            </w:r>
          </w:p>
        </w:tc>
        <w:tc>
          <w:tcPr>
            <w:tcW w:w="1920" w:type="dxa"/>
            <w:tcBorders>
              <w:top w:val="nil"/>
              <w:left w:val="nil"/>
              <w:bottom w:val="single" w:sz="4"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5274</w:t>
            </w:r>
          </w:p>
        </w:tc>
        <w:tc>
          <w:tcPr>
            <w:tcW w:w="1940" w:type="dxa"/>
            <w:tcBorders>
              <w:top w:val="nil"/>
              <w:left w:val="nil"/>
              <w:bottom w:val="single" w:sz="4"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5906</w:t>
            </w:r>
          </w:p>
        </w:tc>
        <w:tc>
          <w:tcPr>
            <w:tcW w:w="1920" w:type="dxa"/>
            <w:tcBorders>
              <w:top w:val="nil"/>
              <w:left w:val="nil"/>
              <w:bottom w:val="single" w:sz="4"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5637</w:t>
            </w:r>
          </w:p>
        </w:tc>
      </w:tr>
      <w:tr w:rsidR="00604C2D" w:rsidRPr="00604C2D" w:rsidTr="00275C13">
        <w:trPr>
          <w:trHeight w:val="300"/>
          <w:jc w:val="center"/>
        </w:trPr>
        <w:tc>
          <w:tcPr>
            <w:tcW w:w="2640" w:type="dxa"/>
            <w:tcBorders>
              <w:top w:val="nil"/>
              <w:left w:val="single" w:sz="8" w:space="0" w:color="auto"/>
              <w:bottom w:val="nil"/>
              <w:right w:val="single" w:sz="8" w:space="0" w:color="auto"/>
            </w:tcBorders>
            <w:shd w:val="clear" w:color="auto" w:fill="auto"/>
            <w:noWrap/>
            <w:vAlign w:val="bottom"/>
            <w:hideMark/>
          </w:tcPr>
          <w:p w:rsidR="00604C2D" w:rsidRPr="00604C2D" w:rsidRDefault="00604C2D" w:rsidP="00604C2D">
            <w:pPr>
              <w:spacing w:after="0" w:line="240" w:lineRule="auto"/>
              <w:jc w:val="left"/>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Počet klad</w:t>
            </w:r>
            <w:r>
              <w:rPr>
                <w:rFonts w:ascii="Calibri" w:eastAsia="Times New Roman" w:hAnsi="Calibri" w:cs="Times New Roman"/>
                <w:color w:val="000000"/>
                <w:sz w:val="22"/>
                <w:lang w:eastAsia="cs-CZ"/>
              </w:rPr>
              <w:t>n</w:t>
            </w:r>
            <w:r w:rsidRPr="00604C2D">
              <w:rPr>
                <w:rFonts w:ascii="Calibri" w:eastAsia="Times New Roman" w:hAnsi="Calibri" w:cs="Times New Roman"/>
                <w:color w:val="000000"/>
                <w:sz w:val="22"/>
                <w:lang w:eastAsia="cs-CZ"/>
              </w:rPr>
              <w:t>ě vyřízených</w:t>
            </w:r>
          </w:p>
        </w:tc>
        <w:tc>
          <w:tcPr>
            <w:tcW w:w="1920" w:type="dxa"/>
            <w:vMerge w:val="restart"/>
            <w:tcBorders>
              <w:top w:val="nil"/>
              <w:left w:val="nil"/>
              <w:bottom w:val="single" w:sz="4"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4856 (80.2 %)</w:t>
            </w:r>
          </w:p>
        </w:tc>
        <w:tc>
          <w:tcPr>
            <w:tcW w:w="192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3928 (74.48 %)</w:t>
            </w:r>
          </w:p>
        </w:tc>
        <w:tc>
          <w:tcPr>
            <w:tcW w:w="194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4400 (73.43 %)</w:t>
            </w:r>
          </w:p>
        </w:tc>
        <w:tc>
          <w:tcPr>
            <w:tcW w:w="192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4096 (72.77 %)</w:t>
            </w:r>
          </w:p>
        </w:tc>
      </w:tr>
      <w:tr w:rsidR="00604C2D" w:rsidRPr="00604C2D" w:rsidTr="00275C13">
        <w:trPr>
          <w:trHeight w:val="300"/>
          <w:jc w:val="center"/>
        </w:trPr>
        <w:tc>
          <w:tcPr>
            <w:tcW w:w="2640" w:type="dxa"/>
            <w:tcBorders>
              <w:top w:val="nil"/>
              <w:left w:val="single" w:sz="8" w:space="0" w:color="auto"/>
              <w:bottom w:val="single" w:sz="4" w:space="0" w:color="auto"/>
              <w:right w:val="single" w:sz="8" w:space="0" w:color="auto"/>
            </w:tcBorders>
            <w:shd w:val="clear" w:color="auto" w:fill="auto"/>
            <w:noWrap/>
            <w:vAlign w:val="bottom"/>
            <w:hideMark/>
          </w:tcPr>
          <w:p w:rsidR="00604C2D" w:rsidRPr="00604C2D" w:rsidRDefault="00604C2D" w:rsidP="00604C2D">
            <w:pPr>
              <w:spacing w:after="0" w:line="240" w:lineRule="auto"/>
              <w:jc w:val="left"/>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žádostí o inf.</w:t>
            </w:r>
          </w:p>
        </w:tc>
        <w:tc>
          <w:tcPr>
            <w:tcW w:w="1920" w:type="dxa"/>
            <w:vMerge/>
            <w:tcBorders>
              <w:top w:val="nil"/>
              <w:left w:val="nil"/>
              <w:bottom w:val="single" w:sz="4" w:space="0" w:color="auto"/>
              <w:right w:val="single" w:sz="8" w:space="0" w:color="auto"/>
            </w:tcBorders>
            <w:vAlign w:val="center"/>
            <w:hideMark/>
          </w:tcPr>
          <w:p w:rsidR="00604C2D" w:rsidRPr="00604C2D" w:rsidRDefault="00604C2D" w:rsidP="00604C2D">
            <w:pPr>
              <w:spacing w:after="0" w:line="240" w:lineRule="auto"/>
              <w:jc w:val="left"/>
              <w:rPr>
                <w:rFonts w:ascii="Calibri" w:eastAsia="Times New Roman" w:hAnsi="Calibri" w:cs="Times New Roman"/>
                <w:color w:val="000000"/>
                <w:lang w:eastAsia="cs-CZ"/>
              </w:rPr>
            </w:pPr>
          </w:p>
        </w:tc>
        <w:tc>
          <w:tcPr>
            <w:tcW w:w="1920" w:type="dxa"/>
            <w:vMerge/>
            <w:tcBorders>
              <w:top w:val="nil"/>
              <w:left w:val="single" w:sz="8" w:space="0" w:color="auto"/>
              <w:bottom w:val="single" w:sz="4" w:space="0" w:color="auto"/>
              <w:right w:val="single" w:sz="8" w:space="0" w:color="auto"/>
            </w:tcBorders>
            <w:vAlign w:val="center"/>
            <w:hideMark/>
          </w:tcPr>
          <w:p w:rsidR="00604C2D" w:rsidRPr="00604C2D" w:rsidRDefault="00604C2D" w:rsidP="00604C2D">
            <w:pPr>
              <w:spacing w:after="0" w:line="240" w:lineRule="auto"/>
              <w:jc w:val="left"/>
              <w:rPr>
                <w:rFonts w:ascii="Calibri" w:eastAsia="Times New Roman" w:hAnsi="Calibri" w:cs="Times New Roman"/>
                <w:color w:val="000000"/>
                <w:lang w:eastAsia="cs-CZ"/>
              </w:rPr>
            </w:pPr>
          </w:p>
        </w:tc>
        <w:tc>
          <w:tcPr>
            <w:tcW w:w="1940" w:type="dxa"/>
            <w:vMerge/>
            <w:tcBorders>
              <w:top w:val="nil"/>
              <w:left w:val="single" w:sz="8" w:space="0" w:color="auto"/>
              <w:bottom w:val="single" w:sz="4" w:space="0" w:color="auto"/>
              <w:right w:val="single" w:sz="8" w:space="0" w:color="auto"/>
            </w:tcBorders>
            <w:vAlign w:val="center"/>
            <w:hideMark/>
          </w:tcPr>
          <w:p w:rsidR="00604C2D" w:rsidRPr="00604C2D" w:rsidRDefault="00604C2D" w:rsidP="00604C2D">
            <w:pPr>
              <w:spacing w:after="0" w:line="240" w:lineRule="auto"/>
              <w:jc w:val="left"/>
              <w:rPr>
                <w:rFonts w:ascii="Calibri" w:eastAsia="Times New Roman" w:hAnsi="Calibri" w:cs="Times New Roman"/>
                <w:color w:val="000000"/>
                <w:lang w:eastAsia="cs-CZ"/>
              </w:rPr>
            </w:pPr>
          </w:p>
        </w:tc>
        <w:tc>
          <w:tcPr>
            <w:tcW w:w="1920" w:type="dxa"/>
            <w:vMerge/>
            <w:tcBorders>
              <w:top w:val="nil"/>
              <w:left w:val="single" w:sz="8" w:space="0" w:color="auto"/>
              <w:bottom w:val="single" w:sz="4" w:space="0" w:color="auto"/>
              <w:right w:val="single" w:sz="8" w:space="0" w:color="auto"/>
            </w:tcBorders>
            <w:vAlign w:val="center"/>
            <w:hideMark/>
          </w:tcPr>
          <w:p w:rsidR="00604C2D" w:rsidRPr="00604C2D" w:rsidRDefault="00604C2D" w:rsidP="00604C2D">
            <w:pPr>
              <w:spacing w:after="0" w:line="240" w:lineRule="auto"/>
              <w:jc w:val="left"/>
              <w:rPr>
                <w:rFonts w:ascii="Calibri" w:eastAsia="Times New Roman" w:hAnsi="Calibri" w:cs="Times New Roman"/>
                <w:color w:val="000000"/>
                <w:lang w:eastAsia="cs-CZ"/>
              </w:rPr>
            </w:pPr>
          </w:p>
        </w:tc>
      </w:tr>
      <w:tr w:rsidR="00604C2D" w:rsidRPr="00604C2D" w:rsidTr="00275C13">
        <w:trPr>
          <w:trHeight w:val="300"/>
          <w:jc w:val="center"/>
        </w:trPr>
        <w:tc>
          <w:tcPr>
            <w:tcW w:w="2640" w:type="dxa"/>
            <w:tcBorders>
              <w:top w:val="nil"/>
              <w:left w:val="single" w:sz="8" w:space="0" w:color="auto"/>
              <w:bottom w:val="nil"/>
              <w:right w:val="single" w:sz="8" w:space="0" w:color="auto"/>
            </w:tcBorders>
            <w:shd w:val="clear" w:color="auto" w:fill="auto"/>
            <w:noWrap/>
            <w:vAlign w:val="bottom"/>
            <w:hideMark/>
          </w:tcPr>
          <w:p w:rsidR="00604C2D" w:rsidRPr="00604C2D" w:rsidRDefault="00604C2D" w:rsidP="00604C2D">
            <w:pPr>
              <w:spacing w:after="0" w:line="240" w:lineRule="auto"/>
              <w:jc w:val="left"/>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Počet zamítnutých</w:t>
            </w:r>
          </w:p>
        </w:tc>
        <w:tc>
          <w:tcPr>
            <w:tcW w:w="1920" w:type="dxa"/>
            <w:vMerge w:val="restart"/>
            <w:tcBorders>
              <w:top w:val="nil"/>
              <w:left w:val="nil"/>
              <w:bottom w:val="single" w:sz="4"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737 (12.18 %)</w:t>
            </w:r>
          </w:p>
        </w:tc>
        <w:tc>
          <w:tcPr>
            <w:tcW w:w="192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892 (16.91 %)</w:t>
            </w:r>
          </w:p>
        </w:tc>
        <w:tc>
          <w:tcPr>
            <w:tcW w:w="194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866 (14.45 %)</w:t>
            </w:r>
          </w:p>
        </w:tc>
        <w:tc>
          <w:tcPr>
            <w:tcW w:w="192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668 (11.87 %)</w:t>
            </w:r>
          </w:p>
        </w:tc>
      </w:tr>
      <w:tr w:rsidR="00604C2D" w:rsidRPr="00604C2D" w:rsidTr="00275C13">
        <w:trPr>
          <w:trHeight w:val="300"/>
          <w:jc w:val="center"/>
        </w:trPr>
        <w:tc>
          <w:tcPr>
            <w:tcW w:w="2640" w:type="dxa"/>
            <w:tcBorders>
              <w:top w:val="nil"/>
              <w:left w:val="single" w:sz="8" w:space="0" w:color="auto"/>
              <w:bottom w:val="single" w:sz="4" w:space="0" w:color="auto"/>
              <w:right w:val="single" w:sz="8" w:space="0" w:color="auto"/>
            </w:tcBorders>
            <w:shd w:val="clear" w:color="auto" w:fill="auto"/>
            <w:noWrap/>
            <w:vAlign w:val="bottom"/>
            <w:hideMark/>
          </w:tcPr>
          <w:p w:rsidR="00604C2D" w:rsidRPr="00604C2D" w:rsidRDefault="00604C2D" w:rsidP="00604C2D">
            <w:pPr>
              <w:spacing w:after="0" w:line="240" w:lineRule="auto"/>
              <w:jc w:val="left"/>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žádostí o inf.</w:t>
            </w:r>
          </w:p>
        </w:tc>
        <w:tc>
          <w:tcPr>
            <w:tcW w:w="1920" w:type="dxa"/>
            <w:vMerge/>
            <w:tcBorders>
              <w:top w:val="nil"/>
              <w:left w:val="nil"/>
              <w:bottom w:val="single" w:sz="4" w:space="0" w:color="auto"/>
              <w:right w:val="single" w:sz="8" w:space="0" w:color="auto"/>
            </w:tcBorders>
            <w:vAlign w:val="center"/>
            <w:hideMark/>
          </w:tcPr>
          <w:p w:rsidR="00604C2D" w:rsidRPr="00604C2D" w:rsidRDefault="00604C2D" w:rsidP="00604C2D">
            <w:pPr>
              <w:spacing w:after="0" w:line="240" w:lineRule="auto"/>
              <w:jc w:val="left"/>
              <w:rPr>
                <w:rFonts w:ascii="Calibri" w:eastAsia="Times New Roman" w:hAnsi="Calibri" w:cs="Times New Roman"/>
                <w:color w:val="000000"/>
                <w:lang w:eastAsia="cs-CZ"/>
              </w:rPr>
            </w:pPr>
          </w:p>
        </w:tc>
        <w:tc>
          <w:tcPr>
            <w:tcW w:w="1920" w:type="dxa"/>
            <w:vMerge/>
            <w:tcBorders>
              <w:top w:val="nil"/>
              <w:left w:val="single" w:sz="8" w:space="0" w:color="auto"/>
              <w:bottom w:val="single" w:sz="4" w:space="0" w:color="auto"/>
              <w:right w:val="single" w:sz="8" w:space="0" w:color="auto"/>
            </w:tcBorders>
            <w:vAlign w:val="center"/>
            <w:hideMark/>
          </w:tcPr>
          <w:p w:rsidR="00604C2D" w:rsidRPr="00604C2D" w:rsidRDefault="00604C2D" w:rsidP="00604C2D">
            <w:pPr>
              <w:spacing w:after="0" w:line="240" w:lineRule="auto"/>
              <w:jc w:val="left"/>
              <w:rPr>
                <w:rFonts w:ascii="Calibri" w:eastAsia="Times New Roman" w:hAnsi="Calibri" w:cs="Times New Roman"/>
                <w:color w:val="000000"/>
                <w:lang w:eastAsia="cs-CZ"/>
              </w:rPr>
            </w:pPr>
          </w:p>
        </w:tc>
        <w:tc>
          <w:tcPr>
            <w:tcW w:w="1940" w:type="dxa"/>
            <w:vMerge/>
            <w:tcBorders>
              <w:top w:val="nil"/>
              <w:left w:val="single" w:sz="8" w:space="0" w:color="auto"/>
              <w:bottom w:val="single" w:sz="4" w:space="0" w:color="auto"/>
              <w:right w:val="single" w:sz="8" w:space="0" w:color="auto"/>
            </w:tcBorders>
            <w:vAlign w:val="center"/>
            <w:hideMark/>
          </w:tcPr>
          <w:p w:rsidR="00604C2D" w:rsidRPr="00604C2D" w:rsidRDefault="00604C2D" w:rsidP="00604C2D">
            <w:pPr>
              <w:spacing w:after="0" w:line="240" w:lineRule="auto"/>
              <w:jc w:val="left"/>
              <w:rPr>
                <w:rFonts w:ascii="Calibri" w:eastAsia="Times New Roman" w:hAnsi="Calibri" w:cs="Times New Roman"/>
                <w:color w:val="000000"/>
                <w:lang w:eastAsia="cs-CZ"/>
              </w:rPr>
            </w:pPr>
          </w:p>
        </w:tc>
        <w:tc>
          <w:tcPr>
            <w:tcW w:w="1920" w:type="dxa"/>
            <w:vMerge/>
            <w:tcBorders>
              <w:top w:val="nil"/>
              <w:left w:val="single" w:sz="8" w:space="0" w:color="auto"/>
              <w:bottom w:val="single" w:sz="4" w:space="0" w:color="auto"/>
              <w:right w:val="single" w:sz="8" w:space="0" w:color="auto"/>
            </w:tcBorders>
            <w:vAlign w:val="center"/>
            <w:hideMark/>
          </w:tcPr>
          <w:p w:rsidR="00604C2D" w:rsidRPr="00604C2D" w:rsidRDefault="00604C2D" w:rsidP="00604C2D">
            <w:pPr>
              <w:spacing w:after="0" w:line="240" w:lineRule="auto"/>
              <w:jc w:val="left"/>
              <w:rPr>
                <w:rFonts w:ascii="Calibri" w:eastAsia="Times New Roman" w:hAnsi="Calibri" w:cs="Times New Roman"/>
                <w:color w:val="000000"/>
                <w:lang w:eastAsia="cs-CZ"/>
              </w:rPr>
            </w:pPr>
          </w:p>
        </w:tc>
      </w:tr>
      <w:tr w:rsidR="00604C2D" w:rsidRPr="00604C2D" w:rsidTr="00275C13">
        <w:trPr>
          <w:trHeight w:val="300"/>
          <w:jc w:val="center"/>
        </w:trPr>
        <w:tc>
          <w:tcPr>
            <w:tcW w:w="2640" w:type="dxa"/>
            <w:tcBorders>
              <w:top w:val="nil"/>
              <w:left w:val="single" w:sz="8" w:space="0" w:color="auto"/>
              <w:bottom w:val="nil"/>
              <w:right w:val="single" w:sz="8" w:space="0" w:color="auto"/>
            </w:tcBorders>
            <w:shd w:val="clear" w:color="auto" w:fill="auto"/>
            <w:noWrap/>
            <w:vAlign w:val="bottom"/>
            <w:hideMark/>
          </w:tcPr>
          <w:p w:rsidR="00604C2D" w:rsidRPr="00604C2D" w:rsidRDefault="00604C2D" w:rsidP="00604C2D">
            <w:pPr>
              <w:spacing w:after="0" w:line="240" w:lineRule="auto"/>
              <w:jc w:val="left"/>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 xml:space="preserve">Počet částečně </w:t>
            </w:r>
          </w:p>
        </w:tc>
        <w:tc>
          <w:tcPr>
            <w:tcW w:w="1920" w:type="dxa"/>
            <w:vMerge w:val="restart"/>
            <w:tcBorders>
              <w:top w:val="nil"/>
              <w:left w:val="nil"/>
              <w:bottom w:val="single" w:sz="4"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462 (7.62 %)</w:t>
            </w:r>
          </w:p>
        </w:tc>
        <w:tc>
          <w:tcPr>
            <w:tcW w:w="192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454 (8.61 %)</w:t>
            </w:r>
          </w:p>
        </w:tc>
        <w:tc>
          <w:tcPr>
            <w:tcW w:w="194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640 (10.68 %)</w:t>
            </w:r>
          </w:p>
        </w:tc>
        <w:tc>
          <w:tcPr>
            <w:tcW w:w="192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866 (15.36 %)</w:t>
            </w:r>
          </w:p>
        </w:tc>
      </w:tr>
      <w:tr w:rsidR="00604C2D" w:rsidRPr="00604C2D" w:rsidTr="00275C13">
        <w:trPr>
          <w:trHeight w:val="300"/>
          <w:jc w:val="center"/>
        </w:trPr>
        <w:tc>
          <w:tcPr>
            <w:tcW w:w="2640" w:type="dxa"/>
            <w:tcBorders>
              <w:top w:val="nil"/>
              <w:left w:val="single" w:sz="8" w:space="0" w:color="auto"/>
              <w:bottom w:val="single" w:sz="4" w:space="0" w:color="auto"/>
              <w:right w:val="single" w:sz="8" w:space="0" w:color="auto"/>
            </w:tcBorders>
            <w:shd w:val="clear" w:color="auto" w:fill="auto"/>
            <w:noWrap/>
            <w:vAlign w:val="bottom"/>
            <w:hideMark/>
          </w:tcPr>
          <w:p w:rsidR="00604C2D" w:rsidRPr="00604C2D" w:rsidRDefault="00604C2D" w:rsidP="00604C2D">
            <w:pPr>
              <w:spacing w:after="0" w:line="240" w:lineRule="auto"/>
              <w:jc w:val="left"/>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zpřístupněných inf.</w:t>
            </w:r>
          </w:p>
        </w:tc>
        <w:tc>
          <w:tcPr>
            <w:tcW w:w="1920" w:type="dxa"/>
            <w:vMerge/>
            <w:tcBorders>
              <w:top w:val="nil"/>
              <w:left w:val="nil"/>
              <w:bottom w:val="single" w:sz="4" w:space="0" w:color="auto"/>
              <w:right w:val="single" w:sz="8" w:space="0" w:color="auto"/>
            </w:tcBorders>
            <w:vAlign w:val="center"/>
            <w:hideMark/>
          </w:tcPr>
          <w:p w:rsidR="00604C2D" w:rsidRPr="00604C2D" w:rsidRDefault="00604C2D" w:rsidP="00604C2D">
            <w:pPr>
              <w:spacing w:after="0" w:line="240" w:lineRule="auto"/>
              <w:jc w:val="left"/>
              <w:rPr>
                <w:rFonts w:ascii="Calibri" w:eastAsia="Times New Roman" w:hAnsi="Calibri" w:cs="Times New Roman"/>
                <w:color w:val="000000"/>
                <w:lang w:eastAsia="cs-CZ"/>
              </w:rPr>
            </w:pPr>
          </w:p>
        </w:tc>
        <w:tc>
          <w:tcPr>
            <w:tcW w:w="1920" w:type="dxa"/>
            <w:vMerge/>
            <w:tcBorders>
              <w:top w:val="nil"/>
              <w:left w:val="single" w:sz="8" w:space="0" w:color="auto"/>
              <w:bottom w:val="single" w:sz="4" w:space="0" w:color="auto"/>
              <w:right w:val="single" w:sz="8" w:space="0" w:color="auto"/>
            </w:tcBorders>
            <w:vAlign w:val="center"/>
            <w:hideMark/>
          </w:tcPr>
          <w:p w:rsidR="00604C2D" w:rsidRPr="00604C2D" w:rsidRDefault="00604C2D" w:rsidP="00604C2D">
            <w:pPr>
              <w:spacing w:after="0" w:line="240" w:lineRule="auto"/>
              <w:jc w:val="left"/>
              <w:rPr>
                <w:rFonts w:ascii="Calibri" w:eastAsia="Times New Roman" w:hAnsi="Calibri" w:cs="Times New Roman"/>
                <w:color w:val="000000"/>
                <w:lang w:eastAsia="cs-CZ"/>
              </w:rPr>
            </w:pPr>
          </w:p>
        </w:tc>
        <w:tc>
          <w:tcPr>
            <w:tcW w:w="1940" w:type="dxa"/>
            <w:vMerge/>
            <w:tcBorders>
              <w:top w:val="nil"/>
              <w:left w:val="single" w:sz="8" w:space="0" w:color="auto"/>
              <w:bottom w:val="single" w:sz="4" w:space="0" w:color="auto"/>
              <w:right w:val="single" w:sz="8" w:space="0" w:color="auto"/>
            </w:tcBorders>
            <w:vAlign w:val="center"/>
            <w:hideMark/>
          </w:tcPr>
          <w:p w:rsidR="00604C2D" w:rsidRPr="00604C2D" w:rsidRDefault="00604C2D" w:rsidP="00604C2D">
            <w:pPr>
              <w:spacing w:after="0" w:line="240" w:lineRule="auto"/>
              <w:jc w:val="left"/>
              <w:rPr>
                <w:rFonts w:ascii="Calibri" w:eastAsia="Times New Roman" w:hAnsi="Calibri" w:cs="Times New Roman"/>
                <w:color w:val="000000"/>
                <w:lang w:eastAsia="cs-CZ"/>
              </w:rPr>
            </w:pPr>
          </w:p>
        </w:tc>
        <w:tc>
          <w:tcPr>
            <w:tcW w:w="1920" w:type="dxa"/>
            <w:vMerge/>
            <w:tcBorders>
              <w:top w:val="nil"/>
              <w:left w:val="single" w:sz="8" w:space="0" w:color="auto"/>
              <w:bottom w:val="single" w:sz="4" w:space="0" w:color="auto"/>
              <w:right w:val="single" w:sz="8" w:space="0" w:color="auto"/>
            </w:tcBorders>
            <w:vAlign w:val="center"/>
            <w:hideMark/>
          </w:tcPr>
          <w:p w:rsidR="00604C2D" w:rsidRPr="00604C2D" w:rsidRDefault="00604C2D" w:rsidP="00604C2D">
            <w:pPr>
              <w:spacing w:after="0" w:line="240" w:lineRule="auto"/>
              <w:jc w:val="left"/>
              <w:rPr>
                <w:rFonts w:ascii="Calibri" w:eastAsia="Times New Roman" w:hAnsi="Calibri" w:cs="Times New Roman"/>
                <w:color w:val="000000"/>
                <w:lang w:eastAsia="cs-CZ"/>
              </w:rPr>
            </w:pPr>
          </w:p>
        </w:tc>
      </w:tr>
      <w:tr w:rsidR="00604C2D" w:rsidRPr="00604C2D" w:rsidTr="00275C13">
        <w:trPr>
          <w:trHeight w:val="300"/>
          <w:jc w:val="center"/>
        </w:trPr>
        <w:tc>
          <w:tcPr>
            <w:tcW w:w="2640" w:type="dxa"/>
            <w:tcBorders>
              <w:top w:val="nil"/>
              <w:left w:val="single" w:sz="8" w:space="0" w:color="auto"/>
              <w:bottom w:val="nil"/>
              <w:right w:val="single" w:sz="8" w:space="0" w:color="auto"/>
            </w:tcBorders>
            <w:shd w:val="clear" w:color="auto" w:fill="auto"/>
            <w:noWrap/>
            <w:vAlign w:val="bottom"/>
            <w:hideMark/>
          </w:tcPr>
          <w:p w:rsidR="00604C2D" w:rsidRPr="00604C2D" w:rsidRDefault="00604C2D" w:rsidP="00604C2D">
            <w:pPr>
              <w:spacing w:after="0" w:line="240" w:lineRule="auto"/>
              <w:jc w:val="left"/>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Počet podaných</w:t>
            </w:r>
          </w:p>
        </w:tc>
        <w:tc>
          <w:tcPr>
            <w:tcW w:w="1920" w:type="dxa"/>
            <w:vMerge w:val="restart"/>
            <w:tcBorders>
              <w:top w:val="nil"/>
              <w:left w:val="nil"/>
              <w:bottom w:val="single" w:sz="4"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144</w:t>
            </w:r>
          </w:p>
        </w:tc>
        <w:tc>
          <w:tcPr>
            <w:tcW w:w="192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160</w:t>
            </w:r>
          </w:p>
        </w:tc>
        <w:tc>
          <w:tcPr>
            <w:tcW w:w="194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189</w:t>
            </w:r>
          </w:p>
        </w:tc>
        <w:tc>
          <w:tcPr>
            <w:tcW w:w="192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272</w:t>
            </w:r>
          </w:p>
        </w:tc>
      </w:tr>
      <w:tr w:rsidR="00604C2D" w:rsidRPr="00604C2D" w:rsidTr="00275C13">
        <w:trPr>
          <w:trHeight w:val="300"/>
          <w:jc w:val="center"/>
        </w:trPr>
        <w:tc>
          <w:tcPr>
            <w:tcW w:w="2640" w:type="dxa"/>
            <w:tcBorders>
              <w:top w:val="nil"/>
              <w:left w:val="single" w:sz="8" w:space="0" w:color="auto"/>
              <w:bottom w:val="single" w:sz="4" w:space="0" w:color="auto"/>
              <w:right w:val="single" w:sz="8" w:space="0" w:color="auto"/>
            </w:tcBorders>
            <w:shd w:val="clear" w:color="auto" w:fill="auto"/>
            <w:noWrap/>
            <w:vAlign w:val="bottom"/>
            <w:hideMark/>
          </w:tcPr>
          <w:p w:rsidR="00604C2D" w:rsidRPr="00604C2D" w:rsidRDefault="00604C2D" w:rsidP="00604C2D">
            <w:pPr>
              <w:spacing w:after="0" w:line="240" w:lineRule="auto"/>
              <w:jc w:val="left"/>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potvrzujících žádostí</w:t>
            </w:r>
          </w:p>
        </w:tc>
        <w:tc>
          <w:tcPr>
            <w:tcW w:w="1920" w:type="dxa"/>
            <w:vMerge/>
            <w:tcBorders>
              <w:top w:val="nil"/>
              <w:left w:val="nil"/>
              <w:bottom w:val="single" w:sz="4" w:space="0" w:color="auto"/>
              <w:right w:val="single" w:sz="8" w:space="0" w:color="auto"/>
            </w:tcBorders>
            <w:vAlign w:val="center"/>
            <w:hideMark/>
          </w:tcPr>
          <w:p w:rsidR="00604C2D" w:rsidRPr="00604C2D" w:rsidRDefault="00604C2D" w:rsidP="00604C2D">
            <w:pPr>
              <w:spacing w:after="0" w:line="240" w:lineRule="auto"/>
              <w:jc w:val="left"/>
              <w:rPr>
                <w:rFonts w:ascii="Calibri" w:eastAsia="Times New Roman" w:hAnsi="Calibri" w:cs="Times New Roman"/>
                <w:color w:val="000000"/>
                <w:lang w:eastAsia="cs-CZ"/>
              </w:rPr>
            </w:pPr>
          </w:p>
        </w:tc>
        <w:tc>
          <w:tcPr>
            <w:tcW w:w="1920" w:type="dxa"/>
            <w:vMerge/>
            <w:tcBorders>
              <w:top w:val="nil"/>
              <w:left w:val="single" w:sz="8" w:space="0" w:color="auto"/>
              <w:bottom w:val="single" w:sz="4" w:space="0" w:color="auto"/>
              <w:right w:val="single" w:sz="8" w:space="0" w:color="auto"/>
            </w:tcBorders>
            <w:vAlign w:val="center"/>
            <w:hideMark/>
          </w:tcPr>
          <w:p w:rsidR="00604C2D" w:rsidRPr="00604C2D" w:rsidRDefault="00604C2D" w:rsidP="00604C2D">
            <w:pPr>
              <w:spacing w:after="0" w:line="240" w:lineRule="auto"/>
              <w:jc w:val="left"/>
              <w:rPr>
                <w:rFonts w:ascii="Calibri" w:eastAsia="Times New Roman" w:hAnsi="Calibri" w:cs="Times New Roman"/>
                <w:color w:val="000000"/>
                <w:lang w:eastAsia="cs-CZ"/>
              </w:rPr>
            </w:pPr>
          </w:p>
        </w:tc>
        <w:tc>
          <w:tcPr>
            <w:tcW w:w="1940" w:type="dxa"/>
            <w:vMerge/>
            <w:tcBorders>
              <w:top w:val="nil"/>
              <w:left w:val="single" w:sz="8" w:space="0" w:color="auto"/>
              <w:bottom w:val="single" w:sz="4" w:space="0" w:color="auto"/>
              <w:right w:val="single" w:sz="8" w:space="0" w:color="auto"/>
            </w:tcBorders>
            <w:vAlign w:val="center"/>
            <w:hideMark/>
          </w:tcPr>
          <w:p w:rsidR="00604C2D" w:rsidRPr="00604C2D" w:rsidRDefault="00604C2D" w:rsidP="00604C2D">
            <w:pPr>
              <w:spacing w:after="0" w:line="240" w:lineRule="auto"/>
              <w:jc w:val="left"/>
              <w:rPr>
                <w:rFonts w:ascii="Calibri" w:eastAsia="Times New Roman" w:hAnsi="Calibri" w:cs="Times New Roman"/>
                <w:color w:val="000000"/>
                <w:lang w:eastAsia="cs-CZ"/>
              </w:rPr>
            </w:pPr>
          </w:p>
        </w:tc>
        <w:tc>
          <w:tcPr>
            <w:tcW w:w="1920" w:type="dxa"/>
            <w:vMerge/>
            <w:tcBorders>
              <w:top w:val="nil"/>
              <w:left w:val="single" w:sz="8" w:space="0" w:color="auto"/>
              <w:bottom w:val="single" w:sz="4" w:space="0" w:color="auto"/>
              <w:right w:val="single" w:sz="8" w:space="0" w:color="auto"/>
            </w:tcBorders>
            <w:vAlign w:val="center"/>
            <w:hideMark/>
          </w:tcPr>
          <w:p w:rsidR="00604C2D" w:rsidRPr="00604C2D" w:rsidRDefault="00604C2D" w:rsidP="00604C2D">
            <w:pPr>
              <w:spacing w:after="0" w:line="240" w:lineRule="auto"/>
              <w:jc w:val="left"/>
              <w:rPr>
                <w:rFonts w:ascii="Calibri" w:eastAsia="Times New Roman" w:hAnsi="Calibri" w:cs="Times New Roman"/>
                <w:color w:val="000000"/>
                <w:lang w:eastAsia="cs-CZ"/>
              </w:rPr>
            </w:pPr>
          </w:p>
        </w:tc>
      </w:tr>
      <w:tr w:rsidR="00604C2D" w:rsidRPr="00604C2D" w:rsidTr="00275C13">
        <w:trPr>
          <w:trHeight w:val="300"/>
          <w:jc w:val="center"/>
        </w:trPr>
        <w:tc>
          <w:tcPr>
            <w:tcW w:w="2640" w:type="dxa"/>
            <w:tcBorders>
              <w:top w:val="nil"/>
              <w:left w:val="single" w:sz="8" w:space="0" w:color="auto"/>
              <w:bottom w:val="single" w:sz="4" w:space="0" w:color="auto"/>
              <w:right w:val="single" w:sz="8" w:space="0" w:color="auto"/>
            </w:tcBorders>
            <w:shd w:val="clear" w:color="auto" w:fill="auto"/>
            <w:noWrap/>
            <w:vAlign w:val="bottom"/>
            <w:hideMark/>
          </w:tcPr>
          <w:p w:rsidR="00604C2D" w:rsidRPr="00604C2D" w:rsidRDefault="00604C2D" w:rsidP="00604C2D">
            <w:pPr>
              <w:spacing w:after="0" w:line="240" w:lineRule="auto"/>
              <w:jc w:val="left"/>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Úplná revize</w:t>
            </w:r>
          </w:p>
        </w:tc>
        <w:tc>
          <w:tcPr>
            <w:tcW w:w="1920" w:type="dxa"/>
            <w:tcBorders>
              <w:top w:val="nil"/>
              <w:left w:val="nil"/>
              <w:bottom w:val="single" w:sz="4"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21 (14.58 %)</w:t>
            </w:r>
          </w:p>
        </w:tc>
        <w:tc>
          <w:tcPr>
            <w:tcW w:w="1920" w:type="dxa"/>
            <w:tcBorders>
              <w:top w:val="nil"/>
              <w:left w:val="nil"/>
              <w:bottom w:val="single" w:sz="4"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30 (18.75 %)</w:t>
            </w:r>
          </w:p>
        </w:tc>
        <w:tc>
          <w:tcPr>
            <w:tcW w:w="1940" w:type="dxa"/>
            <w:tcBorders>
              <w:top w:val="nil"/>
              <w:left w:val="nil"/>
              <w:bottom w:val="single" w:sz="4"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38 (20.11 %)</w:t>
            </w:r>
          </w:p>
        </w:tc>
        <w:tc>
          <w:tcPr>
            <w:tcW w:w="1920" w:type="dxa"/>
            <w:tcBorders>
              <w:top w:val="nil"/>
              <w:left w:val="nil"/>
              <w:bottom w:val="single" w:sz="4"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51 (18.75 %)</w:t>
            </w:r>
          </w:p>
        </w:tc>
      </w:tr>
      <w:tr w:rsidR="00604C2D" w:rsidRPr="00604C2D" w:rsidTr="00275C13">
        <w:trPr>
          <w:trHeight w:val="300"/>
          <w:jc w:val="center"/>
        </w:trPr>
        <w:tc>
          <w:tcPr>
            <w:tcW w:w="2640" w:type="dxa"/>
            <w:tcBorders>
              <w:top w:val="nil"/>
              <w:left w:val="single" w:sz="8" w:space="0" w:color="auto"/>
              <w:bottom w:val="single" w:sz="4" w:space="0" w:color="auto"/>
              <w:right w:val="single" w:sz="8" w:space="0" w:color="auto"/>
            </w:tcBorders>
            <w:shd w:val="clear" w:color="auto" w:fill="auto"/>
            <w:noWrap/>
            <w:vAlign w:val="bottom"/>
            <w:hideMark/>
          </w:tcPr>
          <w:p w:rsidR="00604C2D" w:rsidRPr="00604C2D" w:rsidRDefault="00604C2D" w:rsidP="00604C2D">
            <w:pPr>
              <w:spacing w:after="0" w:line="240" w:lineRule="auto"/>
              <w:jc w:val="left"/>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Potvrzení původní odp.</w:t>
            </w:r>
          </w:p>
        </w:tc>
        <w:tc>
          <w:tcPr>
            <w:tcW w:w="1920" w:type="dxa"/>
            <w:tcBorders>
              <w:top w:val="nil"/>
              <w:left w:val="nil"/>
              <w:bottom w:val="single" w:sz="4"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61 (42.36 %)</w:t>
            </w:r>
          </w:p>
        </w:tc>
        <w:tc>
          <w:tcPr>
            <w:tcW w:w="1920" w:type="dxa"/>
            <w:tcBorders>
              <w:top w:val="nil"/>
              <w:left w:val="nil"/>
              <w:bottom w:val="single" w:sz="4"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91 (56.88 %)</w:t>
            </w:r>
          </w:p>
        </w:tc>
        <w:tc>
          <w:tcPr>
            <w:tcW w:w="1940" w:type="dxa"/>
            <w:tcBorders>
              <w:top w:val="nil"/>
              <w:left w:val="nil"/>
              <w:bottom w:val="single" w:sz="4"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106 (56.08 %)</w:t>
            </w:r>
          </w:p>
        </w:tc>
        <w:tc>
          <w:tcPr>
            <w:tcW w:w="1920" w:type="dxa"/>
            <w:tcBorders>
              <w:top w:val="nil"/>
              <w:left w:val="nil"/>
              <w:bottom w:val="single" w:sz="4"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154 (56.62 %)</w:t>
            </w:r>
          </w:p>
        </w:tc>
      </w:tr>
      <w:tr w:rsidR="00604C2D" w:rsidRPr="00604C2D" w:rsidTr="00275C13">
        <w:trPr>
          <w:trHeight w:val="315"/>
          <w:jc w:val="center"/>
        </w:trPr>
        <w:tc>
          <w:tcPr>
            <w:tcW w:w="2640" w:type="dxa"/>
            <w:tcBorders>
              <w:top w:val="nil"/>
              <w:left w:val="single" w:sz="8" w:space="0" w:color="auto"/>
              <w:bottom w:val="single" w:sz="8" w:space="0" w:color="auto"/>
              <w:right w:val="single" w:sz="8" w:space="0" w:color="auto"/>
            </w:tcBorders>
            <w:shd w:val="clear" w:color="auto" w:fill="auto"/>
            <w:noWrap/>
            <w:vAlign w:val="bottom"/>
            <w:hideMark/>
          </w:tcPr>
          <w:p w:rsidR="00604C2D" w:rsidRPr="00604C2D" w:rsidRDefault="00604C2D" w:rsidP="00604C2D">
            <w:pPr>
              <w:spacing w:after="0" w:line="240" w:lineRule="auto"/>
              <w:jc w:val="left"/>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Částečná revize</w:t>
            </w:r>
          </w:p>
        </w:tc>
        <w:tc>
          <w:tcPr>
            <w:tcW w:w="1920" w:type="dxa"/>
            <w:tcBorders>
              <w:top w:val="nil"/>
              <w:left w:val="nil"/>
              <w:bottom w:val="single" w:sz="8"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62 (43.05</w:t>
            </w:r>
            <w:r w:rsidR="003B2224">
              <w:rPr>
                <w:rFonts w:ascii="Calibri" w:eastAsia="Times New Roman" w:hAnsi="Calibri" w:cs="Times New Roman"/>
                <w:color w:val="000000"/>
                <w:sz w:val="22"/>
                <w:lang w:eastAsia="cs-CZ"/>
              </w:rPr>
              <w:t xml:space="preserve"> %</w:t>
            </w:r>
            <w:r w:rsidRPr="00604C2D">
              <w:rPr>
                <w:rFonts w:ascii="Calibri" w:eastAsia="Times New Roman" w:hAnsi="Calibri" w:cs="Times New Roman"/>
                <w:color w:val="000000"/>
                <w:sz w:val="22"/>
                <w:lang w:eastAsia="cs-CZ"/>
              </w:rPr>
              <w:t>)</w:t>
            </w:r>
          </w:p>
        </w:tc>
        <w:tc>
          <w:tcPr>
            <w:tcW w:w="1920" w:type="dxa"/>
            <w:tcBorders>
              <w:top w:val="nil"/>
              <w:left w:val="nil"/>
              <w:bottom w:val="single" w:sz="8"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39 (24.38 %)</w:t>
            </w:r>
          </w:p>
        </w:tc>
        <w:tc>
          <w:tcPr>
            <w:tcW w:w="1940" w:type="dxa"/>
            <w:tcBorders>
              <w:top w:val="nil"/>
              <w:left w:val="nil"/>
              <w:bottom w:val="single" w:sz="8"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45 (23.81 %)</w:t>
            </w:r>
          </w:p>
        </w:tc>
        <w:tc>
          <w:tcPr>
            <w:tcW w:w="1920" w:type="dxa"/>
            <w:tcBorders>
              <w:top w:val="nil"/>
              <w:left w:val="nil"/>
              <w:bottom w:val="single" w:sz="8" w:space="0" w:color="auto"/>
              <w:right w:val="single" w:sz="8" w:space="0" w:color="auto"/>
            </w:tcBorders>
            <w:shd w:val="clear" w:color="auto" w:fill="auto"/>
            <w:noWrap/>
            <w:vAlign w:val="center"/>
            <w:hideMark/>
          </w:tcPr>
          <w:p w:rsidR="00604C2D" w:rsidRPr="00604C2D" w:rsidRDefault="00604C2D" w:rsidP="00604C2D">
            <w:pPr>
              <w:spacing w:after="0" w:line="240" w:lineRule="auto"/>
              <w:jc w:val="center"/>
              <w:rPr>
                <w:rFonts w:ascii="Calibri" w:eastAsia="Times New Roman" w:hAnsi="Calibri" w:cs="Times New Roman"/>
                <w:color w:val="000000"/>
                <w:lang w:eastAsia="cs-CZ"/>
              </w:rPr>
            </w:pPr>
            <w:r w:rsidRPr="00604C2D">
              <w:rPr>
                <w:rFonts w:ascii="Calibri" w:eastAsia="Times New Roman" w:hAnsi="Calibri" w:cs="Times New Roman"/>
                <w:color w:val="000000"/>
                <w:sz w:val="22"/>
                <w:lang w:eastAsia="cs-CZ"/>
              </w:rPr>
              <w:t>67 (24.63 %)</w:t>
            </w:r>
          </w:p>
        </w:tc>
      </w:tr>
    </w:tbl>
    <w:p w:rsidR="00285CD4" w:rsidRDefault="00285CD4" w:rsidP="00122505"/>
    <w:p w:rsidR="00A2082B" w:rsidRDefault="00A2082B" w:rsidP="00D937CF">
      <w:pPr>
        <w:ind w:firstLine="708"/>
      </w:pPr>
      <w:r>
        <w:lastRenderedPageBreak/>
        <w:t xml:space="preserve">Proti zamítnutí žádosti v potvrzující žádosti nebo v případě že není potvrzující žádost vyřízena ve lhůtě se lze </w:t>
      </w:r>
      <w:r w:rsidRPr="00744638">
        <w:rPr>
          <w:b/>
        </w:rPr>
        <w:t>bránit dvěma způsoby</w:t>
      </w:r>
      <w:r>
        <w:t xml:space="preserve">. </w:t>
      </w:r>
    </w:p>
    <w:p w:rsidR="00172592" w:rsidRDefault="00CF1A82" w:rsidP="00172592">
      <w:pPr>
        <w:ind w:firstLine="708"/>
      </w:pPr>
      <w:r>
        <w:t>Prvním je žaloba na neplatnost aktu dle čl. 263 SFEU. Tato žaloba může být podána tzv. neprivilegovanými žalobci</w:t>
      </w:r>
      <w:r w:rsidR="00566EE8">
        <w:t>,</w:t>
      </w:r>
      <w:r>
        <w:t xml:space="preserve"> tedy mimo jiné fyzickými a právnickými osobami</w:t>
      </w:r>
      <w:r w:rsidR="00D740C2">
        <w:t xml:space="preserve"> proti aktům orgánů Evropské unie, které jsou jim určeny.</w:t>
      </w:r>
      <w:r w:rsidR="00172592">
        <w:t xml:space="preserve"> O žalobě rozhoduje v prvním stupni Tribunál. Rozhodnutí je závazné </w:t>
      </w:r>
      <w:r w:rsidR="00172592" w:rsidRPr="00172592">
        <w:rPr>
          <w:i/>
        </w:rPr>
        <w:t>erga omnes</w:t>
      </w:r>
      <w:r w:rsidR="00172592">
        <w:t xml:space="preserve"> a </w:t>
      </w:r>
      <w:r w:rsidR="00172592" w:rsidRPr="00172592">
        <w:rPr>
          <w:i/>
        </w:rPr>
        <w:t>ex tunc</w:t>
      </w:r>
      <w:r w:rsidR="00172592">
        <w:t xml:space="preserve">. </w:t>
      </w:r>
      <w:r w:rsidR="0082441B">
        <w:t>Případný opravný prostředek pak směřuje k Soudnímu dvoru.</w:t>
      </w:r>
      <w:r w:rsidR="00C239CC">
        <w:rPr>
          <w:rStyle w:val="Znakapoznpodarou"/>
        </w:rPr>
        <w:footnoteReference w:id="126"/>
      </w:r>
      <w:r w:rsidR="00172592">
        <w:t xml:space="preserve"> </w:t>
      </w:r>
      <w:r w:rsidR="00513883">
        <w:t>Je třeba podotknout, že řízení před Tribunálem potažmo Soudním dvorem je časově náročné. Za rok 2013 byla průměrná délka řízení u Tribunálu 26 měsíců, u Soudního dvora 20 měsíců.</w:t>
      </w:r>
      <w:r w:rsidR="004120CD">
        <w:rPr>
          <w:rStyle w:val="Znakapoznpodarou"/>
        </w:rPr>
        <w:footnoteReference w:id="127"/>
      </w:r>
    </w:p>
    <w:p w:rsidR="00CF5660" w:rsidRDefault="00AB4812" w:rsidP="00B04D1B">
      <w:r>
        <w:tab/>
        <w:t xml:space="preserve">Druhou možností je </w:t>
      </w:r>
      <w:r w:rsidR="00043562">
        <w:t>podání stížnosti evropskému veřejnému ochránci práv.</w:t>
      </w:r>
      <w:r w:rsidR="00B04D1B">
        <w:t xml:space="preserve"> Obdobně jako v České republice nemá evropský ochránce práv exekutivní pravomoc. V případě došlé stížnosti prošetří postup daného orgánu a v případě zjiště</w:t>
      </w:r>
      <w:r w:rsidR="00206250">
        <w:t>ného pochybení mu postoupí své</w:t>
      </w:r>
      <w:r w:rsidR="00B04D1B">
        <w:t xml:space="preserve"> stanovisko. Daný orgán má pak tříměsíční lhůtu na vyjádření. Pokud nedojde k nápravě, podá ochránce práv závěrečnou zprávu jednak dotčenému orgánu a jednak Evropskému parlamentu.</w:t>
      </w:r>
      <w:r w:rsidR="00932080">
        <w:rPr>
          <w:rStyle w:val="Znakapoznpodarou"/>
        </w:rPr>
        <w:footnoteReference w:id="128"/>
      </w:r>
      <w:r w:rsidR="005945D8">
        <w:t xml:space="preserve"> Přestože se může zdát, že stížnost veřejnému ochránci práv</w:t>
      </w:r>
      <w:r w:rsidR="00313DD2">
        <w:t xml:space="preserve"> vzhledem k absenci možnosti </w:t>
      </w:r>
      <w:r w:rsidR="007D2B7B">
        <w:t>vydat závazné rozhodn</w:t>
      </w:r>
      <w:r w:rsidR="00313DD2">
        <w:t>ut</w:t>
      </w:r>
      <w:r w:rsidR="007D2B7B">
        <w:t>í</w:t>
      </w:r>
      <w:r w:rsidR="00313DD2">
        <w:t xml:space="preserve"> nemá valného smyslu, opak je pravdou. Za rok 2012 sdělil veřejný ochránce práv 202 stanovisek orgánům a z toho bylo 172 uspokojivě vyřízeno (85%), za rok 2013 to bylo 223 stanovisek, uspokojivě vyřízeno jich bylo 201 (86%).</w:t>
      </w:r>
      <w:r w:rsidR="00756512">
        <w:rPr>
          <w:rStyle w:val="Znakapoznpodarou"/>
        </w:rPr>
        <w:footnoteReference w:id="129"/>
      </w:r>
      <w:r w:rsidR="00313DD2">
        <w:t xml:space="preserve">  </w:t>
      </w:r>
      <w:r w:rsidR="005945D8">
        <w:t xml:space="preserve">  </w:t>
      </w:r>
      <w:r w:rsidR="00B04D1B">
        <w:t xml:space="preserve"> </w:t>
      </w:r>
    </w:p>
    <w:p w:rsidR="00F96E8A" w:rsidRDefault="00F96E8A" w:rsidP="00F96E8A">
      <w:pPr>
        <w:ind w:firstLine="708"/>
      </w:pPr>
      <w:r>
        <w:t>Z mého pohledu je problematické potvrzovací řízení formou autoremedury. Pokud unijní orgán odůvodněně zamítl poskytnout informaci, není příliš pravděpodobné, že po vlastním přezkoumání vlastního rozhodnutí dojde k jinému závěru. Statistiky uvádí, že ke zvratu rozhodnutí dochází v necelých 20% případů. Toto může být jednak způsobeno kvalitou původních rozhodnutí, ale z mého pohledu nelze též vyloučit určité zaujetí nebo nechuť měnit rozhodnutí „svého“ úřadu. O potvrzující žádosti zpravidla rozhodují vedoucí pracovníci.</w:t>
      </w:r>
      <w:r>
        <w:rPr>
          <w:rStyle w:val="Znakapoznpodarou"/>
        </w:rPr>
        <w:footnoteReference w:id="130"/>
      </w:r>
    </w:p>
    <w:p w:rsidR="005D7718" w:rsidRDefault="00F96E8A" w:rsidP="00F96E8A">
      <w:pPr>
        <w:ind w:firstLine="708"/>
      </w:pPr>
      <w:r>
        <w:lastRenderedPageBreak/>
        <w:t>V případě, že se žadatel po zamítnutí poskytnutí informace obrátil na evro</w:t>
      </w:r>
      <w:r w:rsidR="004E7E86">
        <w:t>pského ombud</w:t>
      </w:r>
      <w:r w:rsidR="00755931">
        <w:t>smana, vychází najevo, že v necelé polovině případů je shledáno pochybení.</w:t>
      </w:r>
      <w:r w:rsidR="00755931">
        <w:rPr>
          <w:rStyle w:val="Znakapoznpodarou"/>
        </w:rPr>
        <w:footnoteReference w:id="131"/>
      </w:r>
      <w:r w:rsidR="00755931">
        <w:t xml:space="preserve"> </w:t>
      </w:r>
      <w:r w:rsidR="005D7718">
        <w:t>Za rok 2013 bylo Evropským soudním dvorem rozhodnuto v 8 případech týkajících se směrnice č. 1049/2001</w:t>
      </w:r>
      <w:r w:rsidR="00FF25F6">
        <w:t>.</w:t>
      </w:r>
    </w:p>
    <w:p w:rsidR="00FF25F6" w:rsidRDefault="00FF25F6" w:rsidP="00F96E8A">
      <w:pPr>
        <w:ind w:firstLine="708"/>
      </w:pPr>
      <w:r>
        <w:t>Při pohledu na statistiku rozhodnutí Evropského soudního dvora je situace obdobná. Za rok 2013 bylo Evropským soudním dvorem rozhodnuto celkem v 11 případech týkajících se směrnice 1049/2001. V</w:t>
      </w:r>
      <w:r w:rsidR="005453CA">
        <w:t>e třech</w:t>
      </w:r>
      <w:r w:rsidR="005453CA">
        <w:rPr>
          <w:rStyle w:val="Znakapoznpodarou"/>
        </w:rPr>
        <w:footnoteReference w:id="132"/>
      </w:r>
      <w:r>
        <w:t xml:space="preserve"> došlo ke konstatov</w:t>
      </w:r>
      <w:r w:rsidR="00122112">
        <w:t>ání porušení práva na informace</w:t>
      </w:r>
      <w:r>
        <w:t>, v</w:t>
      </w:r>
      <w:r w:rsidR="005453CA">
        <w:t xml:space="preserve"> pěti</w:t>
      </w:r>
      <w:r>
        <w:t xml:space="preserve"> případech</w:t>
      </w:r>
      <w:r w:rsidR="00122112">
        <w:rPr>
          <w:rStyle w:val="Znakapoznpodarou"/>
        </w:rPr>
        <w:footnoteReference w:id="133"/>
      </w:r>
      <w:r>
        <w:t xml:space="preserve"> bylo potvrzeno rozhodnutí orgánu o odepření přístupu</w:t>
      </w:r>
      <w:r w:rsidR="00FD1849">
        <w:t xml:space="preserve"> a u</w:t>
      </w:r>
      <w:r w:rsidR="005453CA">
        <w:t xml:space="preserve"> třech případů byl uplatněn kasační opravný prostředek.</w:t>
      </w:r>
    </w:p>
    <w:p w:rsidR="002B025D" w:rsidRDefault="004B0318" w:rsidP="00926E22">
      <w:pPr>
        <w:ind w:firstLine="708"/>
      </w:pPr>
      <w:r>
        <w:t>Za rok 2014 bylo Evropským soudním dvorem rozhodnuto celkem v 10 případech</w:t>
      </w:r>
      <w:r w:rsidR="00FF25F6">
        <w:t>.</w:t>
      </w:r>
      <w:r>
        <w:t xml:space="preserve"> </w:t>
      </w:r>
      <w:r w:rsidR="008C7A0C">
        <w:t>Ve čtyřech případech došlo ke konstatování porušení práva na informace</w:t>
      </w:r>
      <w:r w:rsidR="008C7A0C">
        <w:rPr>
          <w:rStyle w:val="Znakapoznpodarou"/>
        </w:rPr>
        <w:footnoteReference w:id="134"/>
      </w:r>
      <w:r w:rsidR="005D7718">
        <w:t>,</w:t>
      </w:r>
      <w:r>
        <w:t xml:space="preserve"> </w:t>
      </w:r>
      <w:r w:rsidR="006E343C">
        <w:t>ve třech případech bylo potvrzeno rozhodnutí orgánu o odepření přístupu</w:t>
      </w:r>
      <w:r w:rsidR="006E343C">
        <w:rPr>
          <w:rStyle w:val="Znakapoznpodarou"/>
        </w:rPr>
        <w:footnoteReference w:id="135"/>
      </w:r>
      <w:r w:rsidR="006E343C">
        <w:t xml:space="preserve"> a u třech případů byl uplatněn kasační opravný prostředek. </w:t>
      </w:r>
    </w:p>
    <w:p w:rsidR="00D973A9" w:rsidRDefault="00D973A9" w:rsidP="00926E22">
      <w:pPr>
        <w:ind w:firstLine="708"/>
      </w:pPr>
      <w:r>
        <w:t>Pro zpřehlednění uvádím data v tabulce.</w:t>
      </w:r>
    </w:p>
    <w:tbl>
      <w:tblPr>
        <w:tblStyle w:val="Mkatabulky"/>
        <w:tblW w:w="0" w:type="auto"/>
        <w:jc w:val="center"/>
        <w:tblLook w:val="04A0" w:firstRow="1" w:lastRow="0" w:firstColumn="1" w:lastColumn="0" w:noHBand="0" w:noVBand="1"/>
      </w:tblPr>
      <w:tblGrid>
        <w:gridCol w:w="5353"/>
        <w:gridCol w:w="787"/>
        <w:gridCol w:w="772"/>
      </w:tblGrid>
      <w:tr w:rsidR="00926E22" w:rsidTr="00926E22">
        <w:trPr>
          <w:jc w:val="center"/>
        </w:trPr>
        <w:tc>
          <w:tcPr>
            <w:tcW w:w="5353" w:type="dxa"/>
          </w:tcPr>
          <w:p w:rsidR="00926E22" w:rsidRDefault="00926E22" w:rsidP="00B04D1B"/>
        </w:tc>
        <w:tc>
          <w:tcPr>
            <w:tcW w:w="787" w:type="dxa"/>
          </w:tcPr>
          <w:p w:rsidR="00926E22" w:rsidRPr="00926E22" w:rsidRDefault="00926E22" w:rsidP="00926E22">
            <w:pPr>
              <w:jc w:val="center"/>
              <w:rPr>
                <w:b/>
              </w:rPr>
            </w:pPr>
            <w:r w:rsidRPr="00926E22">
              <w:rPr>
                <w:b/>
              </w:rPr>
              <w:t>2013</w:t>
            </w:r>
          </w:p>
        </w:tc>
        <w:tc>
          <w:tcPr>
            <w:tcW w:w="772" w:type="dxa"/>
          </w:tcPr>
          <w:p w:rsidR="00926E22" w:rsidRPr="00926E22" w:rsidRDefault="00926E22" w:rsidP="00926E22">
            <w:pPr>
              <w:jc w:val="center"/>
              <w:rPr>
                <w:b/>
              </w:rPr>
            </w:pPr>
            <w:r w:rsidRPr="00926E22">
              <w:rPr>
                <w:b/>
              </w:rPr>
              <w:t>2014</w:t>
            </w:r>
          </w:p>
        </w:tc>
      </w:tr>
      <w:tr w:rsidR="00926E22" w:rsidTr="00926E22">
        <w:trPr>
          <w:jc w:val="center"/>
        </w:trPr>
        <w:tc>
          <w:tcPr>
            <w:tcW w:w="5353" w:type="dxa"/>
          </w:tcPr>
          <w:p w:rsidR="00926E22" w:rsidRDefault="00926E22" w:rsidP="00B04D1B">
            <w:r>
              <w:t>Tribunál potvrdil rozhodnutí</w:t>
            </w:r>
          </w:p>
        </w:tc>
        <w:tc>
          <w:tcPr>
            <w:tcW w:w="787" w:type="dxa"/>
          </w:tcPr>
          <w:p w:rsidR="00926E22" w:rsidRDefault="00926E22" w:rsidP="00926E22">
            <w:pPr>
              <w:jc w:val="center"/>
            </w:pPr>
            <w:r>
              <w:t>4</w:t>
            </w:r>
          </w:p>
        </w:tc>
        <w:tc>
          <w:tcPr>
            <w:tcW w:w="772" w:type="dxa"/>
          </w:tcPr>
          <w:p w:rsidR="00926E22" w:rsidRDefault="00926E22" w:rsidP="00926E22">
            <w:pPr>
              <w:jc w:val="center"/>
            </w:pPr>
            <w:r>
              <w:t>2</w:t>
            </w:r>
          </w:p>
        </w:tc>
      </w:tr>
      <w:tr w:rsidR="00926E22" w:rsidTr="00926E22">
        <w:trPr>
          <w:jc w:val="center"/>
        </w:trPr>
        <w:tc>
          <w:tcPr>
            <w:tcW w:w="5353" w:type="dxa"/>
          </w:tcPr>
          <w:p w:rsidR="00926E22" w:rsidRDefault="00926E22" w:rsidP="00B04D1B">
            <w:r>
              <w:t>Tribunál zrušil rozhodnutí</w:t>
            </w:r>
          </w:p>
        </w:tc>
        <w:tc>
          <w:tcPr>
            <w:tcW w:w="787" w:type="dxa"/>
          </w:tcPr>
          <w:p w:rsidR="00926E22" w:rsidRDefault="00926E22" w:rsidP="00926E22">
            <w:pPr>
              <w:jc w:val="center"/>
            </w:pPr>
            <w:r>
              <w:t>2</w:t>
            </w:r>
          </w:p>
        </w:tc>
        <w:tc>
          <w:tcPr>
            <w:tcW w:w="772" w:type="dxa"/>
          </w:tcPr>
          <w:p w:rsidR="00926E22" w:rsidRDefault="00926E22" w:rsidP="00926E22">
            <w:pPr>
              <w:jc w:val="center"/>
            </w:pPr>
            <w:r>
              <w:t>3</w:t>
            </w:r>
          </w:p>
        </w:tc>
      </w:tr>
      <w:tr w:rsidR="00926E22" w:rsidTr="00926E22">
        <w:trPr>
          <w:jc w:val="center"/>
        </w:trPr>
        <w:tc>
          <w:tcPr>
            <w:tcW w:w="5353" w:type="dxa"/>
          </w:tcPr>
          <w:p w:rsidR="00926E22" w:rsidRDefault="00926E22" w:rsidP="00B04D1B">
            <w:r>
              <w:t>Soudní dvůr potvrdil rozhodnutí</w:t>
            </w:r>
          </w:p>
        </w:tc>
        <w:tc>
          <w:tcPr>
            <w:tcW w:w="787" w:type="dxa"/>
          </w:tcPr>
          <w:p w:rsidR="00926E22" w:rsidRDefault="00926E22" w:rsidP="00926E22">
            <w:pPr>
              <w:jc w:val="center"/>
            </w:pPr>
            <w:r>
              <w:t>1</w:t>
            </w:r>
          </w:p>
        </w:tc>
        <w:tc>
          <w:tcPr>
            <w:tcW w:w="772" w:type="dxa"/>
          </w:tcPr>
          <w:p w:rsidR="00926E22" w:rsidRDefault="00926E22" w:rsidP="00926E22">
            <w:pPr>
              <w:jc w:val="center"/>
            </w:pPr>
            <w:r>
              <w:t>1</w:t>
            </w:r>
          </w:p>
        </w:tc>
      </w:tr>
      <w:tr w:rsidR="00926E22" w:rsidTr="00926E22">
        <w:trPr>
          <w:jc w:val="center"/>
        </w:trPr>
        <w:tc>
          <w:tcPr>
            <w:tcW w:w="5353" w:type="dxa"/>
          </w:tcPr>
          <w:p w:rsidR="00926E22" w:rsidRDefault="00926E22" w:rsidP="00B04D1B">
            <w:r>
              <w:t>Soudní dvůr zrušil rozhodnutí</w:t>
            </w:r>
          </w:p>
        </w:tc>
        <w:tc>
          <w:tcPr>
            <w:tcW w:w="787" w:type="dxa"/>
          </w:tcPr>
          <w:p w:rsidR="00926E22" w:rsidRDefault="00926E22" w:rsidP="00926E22">
            <w:pPr>
              <w:jc w:val="center"/>
            </w:pPr>
            <w:r>
              <w:t>1</w:t>
            </w:r>
          </w:p>
        </w:tc>
        <w:tc>
          <w:tcPr>
            <w:tcW w:w="772" w:type="dxa"/>
          </w:tcPr>
          <w:p w:rsidR="00926E22" w:rsidRDefault="00926E22" w:rsidP="00926E22">
            <w:pPr>
              <w:jc w:val="center"/>
            </w:pPr>
            <w:r>
              <w:t>1</w:t>
            </w:r>
          </w:p>
        </w:tc>
      </w:tr>
      <w:tr w:rsidR="00926E22" w:rsidTr="00926E22">
        <w:trPr>
          <w:jc w:val="center"/>
        </w:trPr>
        <w:tc>
          <w:tcPr>
            <w:tcW w:w="5353" w:type="dxa"/>
          </w:tcPr>
          <w:p w:rsidR="00926E22" w:rsidRDefault="00926E22" w:rsidP="00B04D1B">
            <w:r>
              <w:t>Počet podaných kasačních stížností</w:t>
            </w:r>
          </w:p>
        </w:tc>
        <w:tc>
          <w:tcPr>
            <w:tcW w:w="787" w:type="dxa"/>
          </w:tcPr>
          <w:p w:rsidR="00926E22" w:rsidRDefault="00926E22" w:rsidP="00926E22">
            <w:pPr>
              <w:jc w:val="center"/>
            </w:pPr>
            <w:r>
              <w:t>3</w:t>
            </w:r>
          </w:p>
        </w:tc>
        <w:tc>
          <w:tcPr>
            <w:tcW w:w="772" w:type="dxa"/>
          </w:tcPr>
          <w:p w:rsidR="00926E22" w:rsidRDefault="00926E22" w:rsidP="00926E22">
            <w:pPr>
              <w:jc w:val="center"/>
            </w:pPr>
            <w:r>
              <w:t>3</w:t>
            </w:r>
          </w:p>
        </w:tc>
      </w:tr>
    </w:tbl>
    <w:p w:rsidR="000B2E47" w:rsidRDefault="000B2E47" w:rsidP="00B04D1B"/>
    <w:p w:rsidR="00F96E8A" w:rsidRDefault="00342636" w:rsidP="002B025D">
      <w:pPr>
        <w:ind w:firstLine="708"/>
      </w:pPr>
      <w:r>
        <w:t xml:space="preserve">Procentuální </w:t>
      </w:r>
      <w:r w:rsidR="004F53DA">
        <w:t xml:space="preserve">vysoká </w:t>
      </w:r>
      <w:r>
        <w:t>úspěšnost</w:t>
      </w:r>
      <w:r w:rsidR="004F53DA">
        <w:rPr>
          <w:rStyle w:val="Znakapoznpodarou"/>
        </w:rPr>
        <w:footnoteReference w:id="136"/>
      </w:r>
      <w:r>
        <w:t xml:space="preserve"> </w:t>
      </w:r>
      <w:r w:rsidR="00CC288A">
        <w:t>opravných prostředků je podle mého názoru</w:t>
      </w:r>
      <w:r>
        <w:t xml:space="preserve"> zapříčiněna mimo jiné právě nevhodně nastaveným systémem potvrzujících žádostí. Z mého pohledu by mohlo pomoci zlepšit stav zřízení jednotného centralizovaného odvolacího orgánu, který by </w:t>
      </w:r>
      <w:r w:rsidR="000D2167">
        <w:t>řešil potvrzující žádosti od všech unijních orgánů</w:t>
      </w:r>
      <w:r w:rsidR="005F6D7D">
        <w:t>. Tím by byla posílena nestrannost, více by se sjednotila rozhodo</w:t>
      </w:r>
      <w:r w:rsidR="004F53DA">
        <w:t xml:space="preserve">vací praxe a dle mého by se i došlo i ke zkvalitnění </w:t>
      </w:r>
      <w:r w:rsidR="004F53DA">
        <w:lastRenderedPageBreak/>
        <w:t>rozhodnutí a tím pádem</w:t>
      </w:r>
      <w:r w:rsidR="00CC288A">
        <w:t xml:space="preserve"> i</w:t>
      </w:r>
      <w:r w:rsidR="004F53DA">
        <w:t xml:space="preserve"> k úbytku nutnosti domáhat se ochrany práva na informace u Evropského soudního d</w:t>
      </w:r>
      <w:r w:rsidR="008F0591">
        <w:t xml:space="preserve">vora, </w:t>
      </w:r>
      <w:r w:rsidR="00497389">
        <w:t>protože toto je</w:t>
      </w:r>
      <w:r w:rsidR="008F0591">
        <w:t xml:space="preserve"> časově i finančně nákladné.</w:t>
      </w:r>
    </w:p>
    <w:p w:rsidR="000A48E5" w:rsidRDefault="000A48E5" w:rsidP="00F57525">
      <w:pPr>
        <w:pStyle w:val="Nadpis3"/>
        <w:numPr>
          <w:ilvl w:val="2"/>
          <w:numId w:val="2"/>
        </w:numPr>
        <w:ind w:left="0" w:firstLine="0"/>
      </w:pPr>
      <w:bookmarkStart w:id="43" w:name="_Toc446336428"/>
      <w:r>
        <w:t>Přístup k</w:t>
      </w:r>
      <w:r w:rsidR="006419A8">
        <w:t>e správním a soudním řízením</w:t>
      </w:r>
      <w:bookmarkEnd w:id="43"/>
    </w:p>
    <w:p w:rsidR="008254C6" w:rsidRDefault="006419A8" w:rsidP="00EC667C">
      <w:pPr>
        <w:ind w:firstLine="708"/>
      </w:pPr>
      <w:r>
        <w:t>Přístup veřejnosti ke správním a soudím řízením v environmentálních záležitostech je upraveno čl. 10-12 nařízení č. 1367/200</w:t>
      </w:r>
      <w:r w:rsidR="00726B7F">
        <w:t>6</w:t>
      </w:r>
      <w:r w:rsidR="001807B4">
        <w:t>.</w:t>
      </w:r>
      <w:r w:rsidR="00005219">
        <w:t xml:space="preserve"> Na toto nařízení navazuje rozhodnutí Komise 2008/50/ES</w:t>
      </w:r>
      <w:r w:rsidR="00447453">
        <w:t>,</w:t>
      </w:r>
      <w:r w:rsidR="00005219">
        <w:t xml:space="preserve"> které stanovuje prováděcí pravidla.</w:t>
      </w:r>
      <w:r w:rsidR="00005219">
        <w:rPr>
          <w:rStyle w:val="Znakapoznpodarou"/>
        </w:rPr>
        <w:footnoteReference w:id="137"/>
      </w:r>
      <w:r w:rsidR="00726B7F">
        <w:t xml:space="preserve"> </w:t>
      </w:r>
      <w:r w:rsidR="008254C6">
        <w:t>Základní rozdílem oproti odvolacímu řízení nebo řízení a potvrzující žádosti je zde skutečnost, že opravný prostředek, žádost o vnitřní přezkum, zde nedává osoba, jíž je rozhodnutí přímo určeno.</w:t>
      </w:r>
    </w:p>
    <w:p w:rsidR="00DC7B13" w:rsidRDefault="00726B7F" w:rsidP="00EC667C">
      <w:pPr>
        <w:ind w:firstLine="708"/>
      </w:pPr>
      <w:r>
        <w:t>Dle této směrnice mohou NGO, které splní podmínky čl. 11 podat žádost o vnitřní přezkum orgán</w:t>
      </w:r>
      <w:r w:rsidR="009E4983">
        <w:t>u,</w:t>
      </w:r>
      <w:r>
        <w:t xml:space="preserve"> který daný správní akt vydal nebo vydat měl. Aby NGO mohla podat tuto žádost, musí jít o: „</w:t>
      </w:r>
      <w:r w:rsidRPr="00726B7F">
        <w:rPr>
          <w:i/>
        </w:rPr>
        <w:t>a) nez</w:t>
      </w:r>
      <w:r w:rsidRPr="00726B7F">
        <w:rPr>
          <w:rFonts w:hint="eastAsia"/>
          <w:i/>
        </w:rPr>
        <w:t>á</w:t>
      </w:r>
      <w:r w:rsidRPr="00726B7F">
        <w:rPr>
          <w:i/>
        </w:rPr>
        <w:t>vislou neziskovou pr</w:t>
      </w:r>
      <w:r w:rsidRPr="00726B7F">
        <w:rPr>
          <w:rFonts w:hint="eastAsia"/>
          <w:i/>
        </w:rPr>
        <w:t>á</w:t>
      </w:r>
      <w:r w:rsidRPr="00726B7F">
        <w:rPr>
          <w:i/>
        </w:rPr>
        <w:t>vnickou osobu podle</w:t>
      </w:r>
      <w:r w:rsidR="00556715">
        <w:rPr>
          <w:i/>
        </w:rPr>
        <w:t xml:space="preserve"> </w:t>
      </w:r>
      <w:r w:rsidRPr="00726B7F">
        <w:rPr>
          <w:i/>
        </w:rPr>
        <w:t>vnitrost</w:t>
      </w:r>
      <w:r w:rsidRPr="00726B7F">
        <w:rPr>
          <w:rFonts w:hint="eastAsia"/>
          <w:i/>
        </w:rPr>
        <w:t>á</w:t>
      </w:r>
      <w:r w:rsidRPr="00726B7F">
        <w:rPr>
          <w:i/>
        </w:rPr>
        <w:t>tn</w:t>
      </w:r>
      <w:r w:rsidRPr="00726B7F">
        <w:rPr>
          <w:rFonts w:hint="eastAsia"/>
          <w:i/>
        </w:rPr>
        <w:t>í</w:t>
      </w:r>
      <w:r w:rsidRPr="00726B7F">
        <w:rPr>
          <w:i/>
        </w:rPr>
        <w:t>ho pr</w:t>
      </w:r>
      <w:r w:rsidRPr="00726B7F">
        <w:rPr>
          <w:rFonts w:hint="eastAsia"/>
          <w:i/>
        </w:rPr>
        <w:t>á</w:t>
      </w:r>
      <w:r w:rsidRPr="00726B7F">
        <w:rPr>
          <w:i/>
        </w:rPr>
        <w:t>va nebo zvyklost</w:t>
      </w:r>
      <w:r w:rsidRPr="00726B7F">
        <w:rPr>
          <w:rFonts w:hint="eastAsia"/>
          <w:i/>
        </w:rPr>
        <w:t>í</w:t>
      </w:r>
      <w:r w:rsidRPr="00726B7F">
        <w:rPr>
          <w:i/>
        </w:rPr>
        <w:t xml:space="preserve"> </w:t>
      </w:r>
      <w:r w:rsidRPr="00726B7F">
        <w:rPr>
          <w:rFonts w:hint="eastAsia"/>
          <w:i/>
        </w:rPr>
        <w:t>č</w:t>
      </w:r>
      <w:r w:rsidRPr="00726B7F">
        <w:rPr>
          <w:i/>
        </w:rPr>
        <w:t>lensk</w:t>
      </w:r>
      <w:r w:rsidRPr="00726B7F">
        <w:rPr>
          <w:rFonts w:hint="eastAsia"/>
          <w:i/>
        </w:rPr>
        <w:t>é</w:t>
      </w:r>
      <w:r w:rsidRPr="00726B7F">
        <w:rPr>
          <w:i/>
        </w:rPr>
        <w:t>ho st</w:t>
      </w:r>
      <w:r w:rsidRPr="00726B7F">
        <w:rPr>
          <w:rFonts w:hint="eastAsia"/>
          <w:i/>
        </w:rPr>
        <w:t>á</w:t>
      </w:r>
      <w:r w:rsidRPr="00726B7F">
        <w:rPr>
          <w:i/>
        </w:rPr>
        <w:t>tu; b) jej</w:t>
      </w:r>
      <w:r w:rsidRPr="00726B7F">
        <w:rPr>
          <w:rFonts w:hint="eastAsia"/>
          <w:i/>
        </w:rPr>
        <w:t>í</w:t>
      </w:r>
      <w:r w:rsidRPr="00726B7F">
        <w:rPr>
          <w:i/>
        </w:rPr>
        <w:t>m z</w:t>
      </w:r>
      <w:r w:rsidRPr="00726B7F">
        <w:rPr>
          <w:rFonts w:hint="eastAsia"/>
          <w:i/>
        </w:rPr>
        <w:t>á</w:t>
      </w:r>
      <w:r w:rsidRPr="00726B7F">
        <w:rPr>
          <w:i/>
        </w:rPr>
        <w:t>kladn</w:t>
      </w:r>
      <w:r w:rsidRPr="00726B7F">
        <w:rPr>
          <w:rFonts w:hint="eastAsia"/>
          <w:i/>
        </w:rPr>
        <w:t>í</w:t>
      </w:r>
      <w:r w:rsidRPr="00726B7F">
        <w:rPr>
          <w:i/>
        </w:rPr>
        <w:t>m proklamovan</w:t>
      </w:r>
      <w:r w:rsidRPr="00726B7F">
        <w:rPr>
          <w:rFonts w:hint="eastAsia"/>
          <w:i/>
        </w:rPr>
        <w:t>ý</w:t>
      </w:r>
      <w:r w:rsidRPr="00726B7F">
        <w:rPr>
          <w:i/>
        </w:rPr>
        <w:t>m c</w:t>
      </w:r>
      <w:r w:rsidRPr="00726B7F">
        <w:rPr>
          <w:rFonts w:hint="eastAsia"/>
          <w:i/>
        </w:rPr>
        <w:t>í</w:t>
      </w:r>
      <w:r w:rsidRPr="00726B7F">
        <w:rPr>
          <w:i/>
        </w:rPr>
        <w:t xml:space="preserve">lem je podpora ochrany </w:t>
      </w:r>
      <w:r w:rsidRPr="00726B7F">
        <w:rPr>
          <w:rFonts w:hint="eastAsia"/>
          <w:i/>
        </w:rPr>
        <w:t>ž</w:t>
      </w:r>
      <w:r w:rsidRPr="00726B7F">
        <w:rPr>
          <w:i/>
        </w:rPr>
        <w:t>ivotn</w:t>
      </w:r>
      <w:r w:rsidRPr="00726B7F">
        <w:rPr>
          <w:rFonts w:hint="eastAsia"/>
          <w:i/>
        </w:rPr>
        <w:t>í</w:t>
      </w:r>
      <w:r w:rsidRPr="00726B7F">
        <w:rPr>
          <w:i/>
        </w:rPr>
        <w:t>ho prost</w:t>
      </w:r>
      <w:r w:rsidRPr="00726B7F">
        <w:rPr>
          <w:rFonts w:hint="eastAsia"/>
          <w:i/>
        </w:rPr>
        <w:t>ř</w:t>
      </w:r>
      <w:r w:rsidRPr="00726B7F">
        <w:rPr>
          <w:i/>
        </w:rPr>
        <w:t>ed</w:t>
      </w:r>
      <w:r w:rsidRPr="00726B7F">
        <w:rPr>
          <w:rFonts w:hint="eastAsia"/>
          <w:i/>
        </w:rPr>
        <w:t>í</w:t>
      </w:r>
      <w:r w:rsidRPr="00726B7F">
        <w:rPr>
          <w:i/>
        </w:rPr>
        <w:t xml:space="preserve"> v r</w:t>
      </w:r>
      <w:r w:rsidRPr="00726B7F">
        <w:rPr>
          <w:rFonts w:hint="eastAsia"/>
          <w:i/>
        </w:rPr>
        <w:t>á</w:t>
      </w:r>
      <w:r w:rsidRPr="00726B7F">
        <w:rPr>
          <w:i/>
        </w:rPr>
        <w:t>mci pr</w:t>
      </w:r>
      <w:r w:rsidRPr="00726B7F">
        <w:rPr>
          <w:rFonts w:hint="eastAsia"/>
          <w:i/>
        </w:rPr>
        <w:t>á</w:t>
      </w:r>
      <w:r w:rsidRPr="00726B7F">
        <w:rPr>
          <w:i/>
        </w:rPr>
        <w:t xml:space="preserve">va </w:t>
      </w:r>
      <w:r w:rsidRPr="00726B7F">
        <w:rPr>
          <w:rFonts w:hint="eastAsia"/>
          <w:i/>
        </w:rPr>
        <w:t>ž</w:t>
      </w:r>
      <w:r w:rsidRPr="00726B7F">
        <w:rPr>
          <w:i/>
        </w:rPr>
        <w:t>ivotn</w:t>
      </w:r>
      <w:r w:rsidRPr="00726B7F">
        <w:rPr>
          <w:rFonts w:hint="eastAsia"/>
          <w:i/>
        </w:rPr>
        <w:t>í</w:t>
      </w:r>
      <w:r w:rsidRPr="00726B7F">
        <w:rPr>
          <w:i/>
        </w:rPr>
        <w:t>ho prost</w:t>
      </w:r>
      <w:r w:rsidRPr="00726B7F">
        <w:rPr>
          <w:rFonts w:hint="eastAsia"/>
          <w:i/>
        </w:rPr>
        <w:t>ř</w:t>
      </w:r>
      <w:r w:rsidRPr="00726B7F">
        <w:rPr>
          <w:i/>
        </w:rPr>
        <w:t>ed</w:t>
      </w:r>
      <w:r w:rsidRPr="00726B7F">
        <w:rPr>
          <w:rFonts w:hint="eastAsia"/>
          <w:i/>
        </w:rPr>
        <w:t>í</w:t>
      </w:r>
      <w:r w:rsidRPr="00726B7F">
        <w:rPr>
          <w:i/>
        </w:rPr>
        <w:t>; c) existuje po dobu del</w:t>
      </w:r>
      <w:r w:rsidRPr="00726B7F">
        <w:rPr>
          <w:rFonts w:hint="eastAsia"/>
          <w:i/>
        </w:rPr>
        <w:t>ší</w:t>
      </w:r>
      <w:r w:rsidRPr="00726B7F">
        <w:rPr>
          <w:i/>
        </w:rPr>
        <w:t xml:space="preserve"> ne</w:t>
      </w:r>
      <w:r w:rsidRPr="00726B7F">
        <w:rPr>
          <w:rFonts w:hint="eastAsia"/>
          <w:i/>
        </w:rPr>
        <w:t>ž</w:t>
      </w:r>
      <w:r w:rsidRPr="00726B7F">
        <w:rPr>
          <w:i/>
        </w:rPr>
        <w:t xml:space="preserve"> dva roky a aktivn</w:t>
      </w:r>
      <w:r w:rsidRPr="00726B7F">
        <w:rPr>
          <w:rFonts w:hint="eastAsia"/>
          <w:i/>
        </w:rPr>
        <w:t>ě</w:t>
      </w:r>
      <w:r w:rsidRPr="00726B7F">
        <w:rPr>
          <w:i/>
        </w:rPr>
        <w:t xml:space="preserve"> sleduje sv</w:t>
      </w:r>
      <w:r w:rsidRPr="00726B7F">
        <w:rPr>
          <w:rFonts w:hint="eastAsia"/>
          <w:i/>
        </w:rPr>
        <w:t>é</w:t>
      </w:r>
      <w:r w:rsidRPr="00726B7F">
        <w:rPr>
          <w:i/>
        </w:rPr>
        <w:t xml:space="preserve"> c</w:t>
      </w:r>
      <w:r w:rsidRPr="00726B7F">
        <w:rPr>
          <w:rFonts w:hint="eastAsia"/>
          <w:i/>
        </w:rPr>
        <w:t>í</w:t>
      </w:r>
      <w:r w:rsidRPr="00726B7F">
        <w:rPr>
          <w:i/>
        </w:rPr>
        <w:t>le podle p</w:t>
      </w:r>
      <w:r w:rsidRPr="00726B7F">
        <w:rPr>
          <w:rFonts w:hint="eastAsia"/>
          <w:i/>
        </w:rPr>
        <w:t>í</w:t>
      </w:r>
      <w:r w:rsidRPr="00726B7F">
        <w:rPr>
          <w:i/>
        </w:rPr>
        <w:t>smene b); d) p</w:t>
      </w:r>
      <w:r w:rsidRPr="00726B7F">
        <w:rPr>
          <w:rFonts w:hint="eastAsia"/>
          <w:i/>
        </w:rPr>
        <w:t>ř</w:t>
      </w:r>
      <w:r w:rsidRPr="00726B7F">
        <w:rPr>
          <w:i/>
        </w:rPr>
        <w:t>edm</w:t>
      </w:r>
      <w:r w:rsidRPr="00726B7F">
        <w:rPr>
          <w:rFonts w:hint="eastAsia"/>
          <w:i/>
        </w:rPr>
        <w:t>ě</w:t>
      </w:r>
      <w:r w:rsidRPr="00726B7F">
        <w:rPr>
          <w:i/>
        </w:rPr>
        <w:t>t, ve vztahu k n</w:t>
      </w:r>
      <w:r w:rsidRPr="00726B7F">
        <w:rPr>
          <w:rFonts w:hint="eastAsia"/>
          <w:i/>
        </w:rPr>
        <w:t>ě</w:t>
      </w:r>
      <w:r w:rsidRPr="00726B7F">
        <w:rPr>
          <w:i/>
        </w:rPr>
        <w:t>mu</w:t>
      </w:r>
      <w:r w:rsidRPr="00726B7F">
        <w:rPr>
          <w:rFonts w:hint="eastAsia"/>
          <w:i/>
        </w:rPr>
        <w:t>ž</w:t>
      </w:r>
      <w:r w:rsidRPr="00726B7F">
        <w:rPr>
          <w:i/>
        </w:rPr>
        <w:t xml:space="preserve"> je </w:t>
      </w:r>
      <w:r w:rsidRPr="00726B7F">
        <w:rPr>
          <w:rFonts w:hint="eastAsia"/>
          <w:i/>
        </w:rPr>
        <w:t>žá</w:t>
      </w:r>
      <w:r w:rsidRPr="00726B7F">
        <w:rPr>
          <w:i/>
        </w:rPr>
        <w:t>dost o vnit</w:t>
      </w:r>
      <w:r w:rsidRPr="00726B7F">
        <w:rPr>
          <w:rFonts w:hint="eastAsia"/>
          <w:i/>
        </w:rPr>
        <w:t>ř</w:t>
      </w:r>
      <w:r w:rsidRPr="00726B7F">
        <w:rPr>
          <w:i/>
        </w:rPr>
        <w:t>n</w:t>
      </w:r>
      <w:r w:rsidRPr="00726B7F">
        <w:rPr>
          <w:rFonts w:hint="eastAsia"/>
          <w:i/>
        </w:rPr>
        <w:t>í</w:t>
      </w:r>
      <w:r w:rsidRPr="00726B7F">
        <w:rPr>
          <w:i/>
        </w:rPr>
        <w:t xml:space="preserve"> p</w:t>
      </w:r>
      <w:r w:rsidRPr="00726B7F">
        <w:rPr>
          <w:rFonts w:hint="eastAsia"/>
          <w:i/>
        </w:rPr>
        <w:t>ř</w:t>
      </w:r>
      <w:r w:rsidRPr="00726B7F">
        <w:rPr>
          <w:i/>
        </w:rPr>
        <w:t>ezkum pod</w:t>
      </w:r>
      <w:r w:rsidRPr="00726B7F">
        <w:rPr>
          <w:rFonts w:hint="eastAsia"/>
          <w:i/>
        </w:rPr>
        <w:t>á</w:t>
      </w:r>
      <w:r w:rsidRPr="00726B7F">
        <w:rPr>
          <w:i/>
        </w:rPr>
        <w:t>v</w:t>
      </w:r>
      <w:r w:rsidRPr="00726B7F">
        <w:rPr>
          <w:rFonts w:hint="eastAsia"/>
          <w:i/>
        </w:rPr>
        <w:t>á</w:t>
      </w:r>
      <w:r w:rsidRPr="00726B7F">
        <w:rPr>
          <w:i/>
        </w:rPr>
        <w:t>na, spad</w:t>
      </w:r>
      <w:r w:rsidRPr="00726B7F">
        <w:rPr>
          <w:rFonts w:hint="eastAsia"/>
          <w:i/>
        </w:rPr>
        <w:t>á</w:t>
      </w:r>
      <w:r w:rsidRPr="00726B7F">
        <w:rPr>
          <w:i/>
        </w:rPr>
        <w:t xml:space="preserve"> do jej</w:t>
      </w:r>
      <w:r w:rsidRPr="00726B7F">
        <w:rPr>
          <w:rFonts w:hint="eastAsia"/>
          <w:i/>
        </w:rPr>
        <w:t>í</w:t>
      </w:r>
      <w:r w:rsidRPr="00726B7F">
        <w:rPr>
          <w:i/>
        </w:rPr>
        <w:t>ch c</w:t>
      </w:r>
      <w:r w:rsidRPr="00726B7F">
        <w:rPr>
          <w:rFonts w:hint="eastAsia"/>
          <w:i/>
        </w:rPr>
        <w:t>í</w:t>
      </w:r>
      <w:r w:rsidRPr="00726B7F">
        <w:rPr>
          <w:i/>
        </w:rPr>
        <w:t>l</w:t>
      </w:r>
      <w:r w:rsidRPr="00726B7F">
        <w:rPr>
          <w:rFonts w:hint="eastAsia"/>
          <w:i/>
        </w:rPr>
        <w:t>ů</w:t>
      </w:r>
      <w:r w:rsidRPr="00726B7F">
        <w:rPr>
          <w:i/>
        </w:rPr>
        <w:t xml:space="preserve"> a </w:t>
      </w:r>
      <w:r w:rsidRPr="00726B7F">
        <w:rPr>
          <w:rFonts w:hint="eastAsia"/>
          <w:i/>
        </w:rPr>
        <w:t>č</w:t>
      </w:r>
      <w:r w:rsidRPr="00726B7F">
        <w:rPr>
          <w:i/>
        </w:rPr>
        <w:t>innost</w:t>
      </w:r>
      <w:r w:rsidRPr="00726B7F">
        <w:rPr>
          <w:rFonts w:hint="eastAsia"/>
          <w:i/>
        </w:rPr>
        <w:t>í</w:t>
      </w:r>
      <w:r w:rsidRPr="00726B7F">
        <w:rPr>
          <w:i/>
        </w:rPr>
        <w:t>.</w:t>
      </w:r>
      <w:r>
        <w:t>“</w:t>
      </w:r>
      <w:r>
        <w:rPr>
          <w:rStyle w:val="Znakapoznpodarou"/>
        </w:rPr>
        <w:footnoteReference w:id="138"/>
      </w:r>
      <w:r w:rsidR="00556715">
        <w:t xml:space="preserve"> </w:t>
      </w:r>
      <w:r w:rsidR="003A2D65">
        <w:t xml:space="preserve">NGO musí při podání žádosti samy prokázat splnění těchto kritérií. </w:t>
      </w:r>
      <w:r w:rsidR="00DC7B13">
        <w:t>Správní orgány však mají povinnost si vzájemně předávat informace o NGO, které mají právo podávat žádost o vnitřní přezkum, čímž se otevírá možnost pro určité urychlení řízení.</w:t>
      </w:r>
    </w:p>
    <w:p w:rsidR="00AD1341" w:rsidRDefault="003A2D65" w:rsidP="00556715">
      <w:pPr>
        <w:ind w:firstLine="708"/>
      </w:pPr>
      <w:r>
        <w:t>Žádost</w:t>
      </w:r>
      <w:r w:rsidR="00556715">
        <w:t xml:space="preserve"> musí být podána do 6 týdnů od zveřejnění napadeného rozhodnutí, případně od doby kdy mělo být toto rozhodnutí vydáno. </w:t>
      </w:r>
      <w:r w:rsidR="00437418">
        <w:t>Musí v</w:t>
      </w:r>
      <w:r w:rsidR="00EC667C">
        <w:t> ní být uvedeny všechny důvody a případné důkazy, které podle NGO prokazují, že rozhodnutí je nesprávné. Správní orgány mají následně d</w:t>
      </w:r>
      <w:r w:rsidR="00296CC7">
        <w:t>vanáctitýdenní lhůtu na odpověď. Tato lhůta může být s odůvodněním prodloužena až na 18 týdnů.</w:t>
      </w:r>
      <w:r w:rsidR="00A16DBA">
        <w:t xml:space="preserve"> </w:t>
      </w:r>
    </w:p>
    <w:p w:rsidR="0045605A" w:rsidRDefault="00A16DBA" w:rsidP="0045605A">
      <w:pPr>
        <w:ind w:firstLine="708"/>
      </w:pPr>
      <w:r>
        <w:t>V případě, že žádosti nebylo zcela nebo částečně vyhověno, může NGO ve lhůtě dvou měsíců podat v souladu s čl. 263 žalobu k Evropskému soudnímu dvoru.</w:t>
      </w:r>
      <w:r w:rsidR="0045605A">
        <w:t xml:space="preserve"> Právě žaloba k soudnímu dvoru je </w:t>
      </w:r>
      <w:r w:rsidR="0050767A">
        <w:t>významným</w:t>
      </w:r>
      <w:r w:rsidR="0045605A">
        <w:t> </w:t>
      </w:r>
      <w:r w:rsidR="0050767A">
        <w:t>historickým</w:t>
      </w:r>
      <w:r w:rsidR="0045605A">
        <w:t xml:space="preserve"> </w:t>
      </w:r>
      <w:r w:rsidR="0050767A">
        <w:t>problémem</w:t>
      </w:r>
      <w:r w:rsidR="00473A88">
        <w:t>.</w:t>
      </w:r>
      <w:r w:rsidR="000E7F2F">
        <w:rPr>
          <w:rStyle w:val="Znakapoznpodarou"/>
        </w:rPr>
        <w:footnoteReference w:id="139"/>
      </w:r>
      <w:r w:rsidR="0045605A">
        <w:t xml:space="preserve"> </w:t>
      </w:r>
    </w:p>
    <w:p w:rsidR="0045605A" w:rsidRDefault="0045605A" w:rsidP="0045605A">
      <w:pPr>
        <w:ind w:firstLine="708"/>
      </w:pPr>
      <w:r>
        <w:lastRenderedPageBreak/>
        <w:t>Aby NGO mohla podat žalobu, musí prokázat</w:t>
      </w:r>
      <w:r w:rsidR="00B337C4">
        <w:t xml:space="preserve">, že se jí napadený akt bezprostředně a přímo dotýká. </w:t>
      </w:r>
      <w:r w:rsidR="00166E6B">
        <w:t>Tato podmínka se zkoumá pomocí tzv. Plaumannova testu, který byl vytvořen judikaturou ESD v</w:t>
      </w:r>
      <w:r w:rsidR="00312054">
        <w:t> </w:t>
      </w:r>
      <w:r w:rsidR="00166E6B">
        <w:t>případu</w:t>
      </w:r>
      <w:r w:rsidR="00312054">
        <w:t xml:space="preserve"> 25/62 </w:t>
      </w:r>
      <w:r w:rsidR="00312054" w:rsidRPr="00B25AB0">
        <w:rPr>
          <w:i/>
        </w:rPr>
        <w:t>Plaumann</w:t>
      </w:r>
      <w:r w:rsidR="00166E6B" w:rsidRPr="00B25AB0">
        <w:rPr>
          <w:i/>
        </w:rPr>
        <w:t xml:space="preserve">. </w:t>
      </w:r>
      <w:r w:rsidR="00312054">
        <w:t>Z</w:t>
      </w:r>
      <w:r w:rsidR="00166E6B">
        <w:t>nění je následující: „</w:t>
      </w:r>
      <w:r w:rsidR="00166E6B" w:rsidRPr="00166E6B">
        <w:rPr>
          <w:i/>
        </w:rPr>
        <w:t>Osoby jiné než ty, jimž je rozhodnutí adresováno, mohou tvrdit, že jsou individuálně dotčeny, pokud se jich rozhodnutí dotýká z důvodu pro ně charakteristických vlastností nebo z důvodu okolností, které je odlišují od všech ostatních osob, takže se jedná o osoby určené stejně, jako by byly adresáty rozhodnutí.</w:t>
      </w:r>
      <w:r w:rsidR="00166E6B">
        <w:t>“</w:t>
      </w:r>
      <w:r w:rsidR="00312054">
        <w:rPr>
          <w:rStyle w:val="Znakapoznpodarou"/>
        </w:rPr>
        <w:footnoteReference w:id="140"/>
      </w:r>
      <w:r w:rsidR="00D602C7">
        <w:t xml:space="preserve"> </w:t>
      </w:r>
    </w:p>
    <w:p w:rsidR="00B25AB0" w:rsidRDefault="00B25AB0" w:rsidP="00B25AB0">
      <w:pPr>
        <w:ind w:firstLine="708"/>
      </w:pPr>
      <w:r>
        <w:t xml:space="preserve">V této linii Soudní dvůr pokračoval i v následujících případech. Pro tuto práci je významným případ T-585/93 </w:t>
      </w:r>
      <w:r w:rsidRPr="00B25AB0">
        <w:rPr>
          <w:i/>
        </w:rPr>
        <w:t>Stichting Greenpeace Council and Others v</w:t>
      </w:r>
      <w:r w:rsidR="00063D54">
        <w:rPr>
          <w:i/>
        </w:rPr>
        <w:t> </w:t>
      </w:r>
      <w:r w:rsidRPr="00B25AB0">
        <w:rPr>
          <w:i/>
        </w:rPr>
        <w:t>Commission</w:t>
      </w:r>
      <w:r w:rsidR="00063D54">
        <w:t>, k</w:t>
      </w:r>
      <w:r w:rsidR="00E5123D">
        <w:t>de se Evropský soudní dvůr</w:t>
      </w:r>
      <w:r>
        <w:t xml:space="preserve"> poprvé musel vypořádat s </w:t>
      </w:r>
      <w:r w:rsidRPr="00B25AB0">
        <w:rPr>
          <w:i/>
        </w:rPr>
        <w:t>locus standi</w:t>
      </w:r>
      <w:r>
        <w:t xml:space="preserve"> environmentální NGO.</w:t>
      </w:r>
      <w:r w:rsidR="00D03DD2">
        <w:t xml:space="preserve"> V případu se jednalo o stavbu dvou elektráren na Kanárských ostrovech. NGO Greenpeace</w:t>
      </w:r>
      <w:r w:rsidR="00927193">
        <w:t xml:space="preserve"> a dvě další environmetální NGO</w:t>
      </w:r>
      <w:r w:rsidR="00D03DD2">
        <w:t xml:space="preserve"> se spolu s místními obyvateli dožadovali zrušení rozhodnutí Komise, kterým byly uvolněny </w:t>
      </w:r>
      <w:r w:rsidR="00D363D4">
        <w:t xml:space="preserve">z rozvojového fondu uvolněny </w:t>
      </w:r>
      <w:r w:rsidR="00D03DD2">
        <w:t>finanční prostředky na stavbu dvou elektráren na Kanárských ostrovech bez toho</w:t>
      </w:r>
      <w:r w:rsidR="00927193">
        <w:t>,</w:t>
      </w:r>
      <w:r w:rsidR="00D03DD2">
        <w:t xml:space="preserve"> aby předtím proběhlo řízení EIA. </w:t>
      </w:r>
    </w:p>
    <w:p w:rsidR="00DA314E" w:rsidRDefault="00927193" w:rsidP="003977B2">
      <w:pPr>
        <w:ind w:firstLine="708"/>
      </w:pPr>
      <w:r>
        <w:t xml:space="preserve">Argument </w:t>
      </w:r>
      <w:r w:rsidR="00B40109">
        <w:t xml:space="preserve">jednotlivých žalobců z místních obyvatel byl, že jejich </w:t>
      </w:r>
      <w:r w:rsidR="00B40109" w:rsidRPr="00B40109">
        <w:rPr>
          <w:i/>
        </w:rPr>
        <w:t>locus standi</w:t>
      </w:r>
      <w:r w:rsidR="00B40109">
        <w:t xml:space="preserve"> se zakládá na újmě, která by jim rozhodnutím Společenství a následnou stavbou </w:t>
      </w:r>
      <w:r w:rsidR="00210DE9">
        <w:t xml:space="preserve">skrze poškození životního prostředí </w:t>
      </w:r>
      <w:r w:rsidR="00B40109">
        <w:t>vznikla.</w:t>
      </w:r>
      <w:r w:rsidR="00B40109">
        <w:rPr>
          <w:rStyle w:val="Znakapoznpodarou"/>
        </w:rPr>
        <w:footnoteReference w:id="141"/>
      </w:r>
      <w:r w:rsidR="003977B2">
        <w:t xml:space="preserve"> Argument Greenpeace a dalších NGO byl, že případ se přímo dotýká některých jejich členů a tudíž jim z postavení jako zástupců jejich zájmů vzniká </w:t>
      </w:r>
      <w:r w:rsidR="003977B2" w:rsidRPr="003977B2">
        <w:rPr>
          <w:i/>
        </w:rPr>
        <w:t>locus standi</w:t>
      </w:r>
      <w:r w:rsidR="003977B2">
        <w:t>.</w:t>
      </w:r>
    </w:p>
    <w:p w:rsidR="00155D02" w:rsidRDefault="00E5123D" w:rsidP="003977B2">
      <w:pPr>
        <w:ind w:firstLine="708"/>
      </w:pPr>
      <w:r>
        <w:t>Evropský soudní dvůr</w:t>
      </w:r>
      <w:r w:rsidR="00DA314E">
        <w:t xml:space="preserve"> rozhodl, že ani jednotlivci, ani environmentální NGO nemají v tomto případě </w:t>
      </w:r>
      <w:r w:rsidR="00DA314E" w:rsidRPr="00DA314E">
        <w:rPr>
          <w:i/>
        </w:rPr>
        <w:t>locus standi</w:t>
      </w:r>
      <w:r w:rsidR="00DA314E">
        <w:t>. U jednotlivců bylo rozhodnutí odůvodněno tím, že škoda, která jim hrozí či vznikne</w:t>
      </w:r>
      <w:r w:rsidR="00155D02">
        <w:t>,</w:t>
      </w:r>
      <w:r w:rsidR="00DA314E">
        <w:t xml:space="preserve"> se neomezuje pouze na ně, ale může ve svém důsledku zasáhn</w:t>
      </w:r>
      <w:r w:rsidR="00155D02">
        <w:t>out i jiný</w:t>
      </w:r>
      <w:r w:rsidR="00DA314E">
        <w:t xml:space="preserve"> </w:t>
      </w:r>
      <w:r w:rsidR="00155D02">
        <w:t>blíže neurčený okruh osob a tím pádem nejsou v specificky určené</w:t>
      </w:r>
      <w:r w:rsidR="00550FA9">
        <w:t xml:space="preserve"> skupině</w:t>
      </w:r>
      <w:r w:rsidR="00155D02">
        <w:t xml:space="preserve"> </w:t>
      </w:r>
      <w:r w:rsidR="009C5762">
        <w:t>na rozdíl od</w:t>
      </w:r>
      <w:r w:rsidR="00155D02">
        <w:t xml:space="preserve"> adresát</w:t>
      </w:r>
      <w:r w:rsidR="009C5762">
        <w:t>a</w:t>
      </w:r>
      <w:r w:rsidR="00155D02">
        <w:t xml:space="preserve"> rozhodnutí. Dle </w:t>
      </w:r>
      <w:r>
        <w:t>Evropského soudního dvora</w:t>
      </w:r>
      <w:r w:rsidR="00155D02">
        <w:t xml:space="preserve"> do tohoto neurčeného okruhu osob spadá, každý kdo v dané oblasti bydlí, či zde vykonává nějakou činnost.</w:t>
      </w:r>
      <w:r w:rsidR="00977B9A">
        <w:rPr>
          <w:rStyle w:val="Znakapoznpodarou"/>
        </w:rPr>
        <w:footnoteReference w:id="142"/>
      </w:r>
    </w:p>
    <w:p w:rsidR="003977B2" w:rsidRDefault="00155D02" w:rsidP="003977B2">
      <w:pPr>
        <w:ind w:firstLine="708"/>
      </w:pPr>
      <w:r>
        <w:t xml:space="preserve">V otázce </w:t>
      </w:r>
      <w:r w:rsidRPr="00155D02">
        <w:rPr>
          <w:i/>
        </w:rPr>
        <w:t>locus standi</w:t>
      </w:r>
      <w:r w:rsidR="00223027">
        <w:t xml:space="preserve"> NGO </w:t>
      </w:r>
      <w:r w:rsidR="0053424A">
        <w:t>Evropský soudní dvůr</w:t>
      </w:r>
      <w:r w:rsidR="00223027">
        <w:t xml:space="preserve"> rozhodl, že určení zájmu, který NGO kolektivně chrání – v tomto případě životní prostředí – samo osobě nelze posoudit jako </w:t>
      </w:r>
      <w:r w:rsidR="00977B9A">
        <w:lastRenderedPageBreak/>
        <w:t>bezprostřední dotčení, bez ohledu na to, jestli někteří její členové případně bezprostředně dotčeni jsou.</w:t>
      </w:r>
      <w:r w:rsidR="00977B9A">
        <w:rPr>
          <w:rStyle w:val="Znakapoznpodarou"/>
        </w:rPr>
        <w:footnoteReference w:id="143"/>
      </w:r>
      <w:r w:rsidR="003977B2">
        <w:t xml:space="preserve"> </w:t>
      </w:r>
    </w:p>
    <w:p w:rsidR="00E70148" w:rsidRPr="00B25AB0" w:rsidRDefault="00977B9A" w:rsidP="00413E0A">
      <w:pPr>
        <w:ind w:firstLine="708"/>
      </w:pPr>
      <w:r>
        <w:t xml:space="preserve">Při následně podané kasační stížnosti </w:t>
      </w:r>
      <w:r w:rsidR="0053424A">
        <w:t>Evropský s</w:t>
      </w:r>
      <w:r>
        <w:t>oudní dvůr potvrdil rozhodnutí Soudu prvního stupně</w:t>
      </w:r>
      <w:r w:rsidR="00E70148">
        <w:t>.</w:t>
      </w:r>
    </w:p>
    <w:p w:rsidR="001F2829" w:rsidRDefault="00111FF2" w:rsidP="0045605A">
      <w:pPr>
        <w:ind w:firstLine="708"/>
      </w:pPr>
      <w:r>
        <w:t>Aplikace tohoto testu byla podrobena silné kritice. Známá je kritika generálního advokáta Jacobse v případu UPA.</w:t>
      </w:r>
      <w:r>
        <w:rPr>
          <w:rStyle w:val="Znakapoznpodarou"/>
        </w:rPr>
        <w:footnoteReference w:id="144"/>
      </w:r>
      <w:r w:rsidR="00434F0E">
        <w:t xml:space="preserve"> </w:t>
      </w:r>
      <w:r w:rsidR="001F2829">
        <w:t xml:space="preserve">Generální advokát Jacobs argumentoval, že současný výklad čl. 263 SFEU čtvrté odrážky </w:t>
      </w:r>
      <w:r w:rsidR="005751CC">
        <w:t xml:space="preserve">porušuje princip efektivní soudní ochrany. Argument ESD z předchozích rozsudků, že osoby mají možnost se domáhat práva u vnitrostátních soudů, případě žalobou na náhradu škody dle </w:t>
      </w:r>
      <w:r w:rsidR="004712B8">
        <w:t>čl. 268 SFEU odmítl s tím, že národní soudy nemohou rozhodovat o platnosti opatření unijních orgánů. Národní soudy by se musely uchýlit k předběžné otázce</w:t>
      </w:r>
      <w:r w:rsidR="00FA09F5">
        <w:t xml:space="preserve"> a nejsou </w:t>
      </w:r>
      <w:r w:rsidR="00450C50">
        <w:t xml:space="preserve">tím správným orgánem k posouzení věci. Dále konstatoval, že je nepřípustné, aby </w:t>
      </w:r>
      <w:r w:rsidR="00076082">
        <w:t>restriktivní</w:t>
      </w:r>
      <w:r w:rsidR="00450C50">
        <w:t xml:space="preserve"> výklad čl. 263 čtvrté odrážky, </w:t>
      </w:r>
      <w:r w:rsidR="00076082">
        <w:t>znemožňoval přístup k právní ochraně, neb</w:t>
      </w:r>
      <w:r w:rsidR="009C5762">
        <w:t>oť</w:t>
      </w:r>
      <w:r w:rsidR="00076082">
        <w:t xml:space="preserve"> národní soudy nejsou příslušné.</w:t>
      </w:r>
    </w:p>
    <w:p w:rsidR="001B081B" w:rsidRDefault="00712804" w:rsidP="0045605A">
      <w:pPr>
        <w:ind w:firstLine="708"/>
      </w:pPr>
      <w:r>
        <w:t>S jeho názorem se ztotožnil Tribunál v</w:t>
      </w:r>
      <w:r w:rsidR="00586DD9">
        <w:t> </w:t>
      </w:r>
      <w:r>
        <w:t>rozhodnutí</w:t>
      </w:r>
      <w:r w:rsidR="00586DD9">
        <w:t xml:space="preserve"> </w:t>
      </w:r>
      <w:r w:rsidR="00586DD9" w:rsidRPr="00586DD9">
        <w:rPr>
          <w:i/>
        </w:rPr>
        <w:t>UPA v. Rada</w:t>
      </w:r>
      <w:r w:rsidR="00586DD9">
        <w:t>,</w:t>
      </w:r>
      <w:r>
        <w:t xml:space="preserve"> T-173/98. Nicméně </w:t>
      </w:r>
      <w:r w:rsidR="00220FB0">
        <w:t>v následném řízení o kasační stížnosti Soudní dvůr zrušil rozhodnutí Tribunálu a vrátil se ke striktní aplikaci Plaumannova testu</w:t>
      </w:r>
      <w:r w:rsidR="00112B99">
        <w:t>.</w:t>
      </w:r>
      <w:r w:rsidR="00220FB0">
        <w:rPr>
          <w:rStyle w:val="Znakapoznpodarou"/>
        </w:rPr>
        <w:footnoteReference w:id="145"/>
      </w:r>
      <w:r w:rsidR="00112B99">
        <w:t xml:space="preserve"> </w:t>
      </w:r>
      <w:r w:rsidR="00413E0A">
        <w:t>Podobná situace se opakoval i v dalších případech</w:t>
      </w:r>
      <w:r w:rsidR="001B081B">
        <w:rPr>
          <w:rStyle w:val="Znakapoznpodarou"/>
        </w:rPr>
        <w:footnoteReference w:id="146"/>
      </w:r>
      <w:r w:rsidR="001B081B">
        <w:t xml:space="preserve"> </w:t>
      </w:r>
    </w:p>
    <w:p w:rsidR="00B31CF1" w:rsidRDefault="00B31CF1" w:rsidP="0053424A">
      <w:pPr>
        <w:ind w:firstLine="708"/>
      </w:pPr>
      <w:r>
        <w:t>Určitou změnu přinesla Lisabonská smlouva. Znění čl. 263 SFEU bylo změněno tak, že za stejných podmínek mohou fyzické nebo právnické osoby podat žalobu proti právním aktům s obecnou působností, které se jich bezprostředně dotýkají a nevyžadují přijetí prováděcích opatření.</w:t>
      </w:r>
      <w:r w:rsidR="00D81595">
        <w:t xml:space="preserve"> Jak </w:t>
      </w:r>
      <w:r w:rsidR="008E02D6">
        <w:t>lze</w:t>
      </w:r>
      <w:r w:rsidR="00D81595">
        <w:t xml:space="preserve"> vidět, daná změna sice rozšířila okruh aktů</w:t>
      </w:r>
      <w:r w:rsidR="0053424A">
        <w:t>, proti kterým lze podat žalobu,</w:t>
      </w:r>
      <w:r w:rsidR="00D81595">
        <w:t xml:space="preserve"> nicméně nevyřešila zásadní problém v otázce </w:t>
      </w:r>
      <w:r w:rsidR="00D81595" w:rsidRPr="00D81595">
        <w:rPr>
          <w:i/>
        </w:rPr>
        <w:t>locus standi</w:t>
      </w:r>
      <w:r w:rsidR="00D81595">
        <w:t>.</w:t>
      </w:r>
    </w:p>
    <w:p w:rsidR="00501EC8" w:rsidRDefault="006271DD" w:rsidP="0045605A">
      <w:pPr>
        <w:ind w:firstLine="708"/>
      </w:pPr>
      <w:r>
        <w:t xml:space="preserve">Ze současné doby lze zmínit případ </w:t>
      </w:r>
      <w:r w:rsidRPr="006271DD">
        <w:rPr>
          <w:i/>
        </w:rPr>
        <w:t>WWF-UK Ltd v Council of the European Union, T-91/07</w:t>
      </w:r>
      <w:r w:rsidR="00501EC8">
        <w:t>. Tento případ je významný z</w:t>
      </w:r>
      <w:r w:rsidR="00070217">
        <w:t xml:space="preserve"> toho</w:t>
      </w:r>
      <w:r w:rsidR="00501EC8">
        <w:t xml:space="preserve"> důvodu, že v jeho průběhu již byla pro Společenství závazná Aarhuská úmluva. </w:t>
      </w:r>
      <w:r w:rsidR="00487DA1">
        <w:t xml:space="preserve">WWF-UK Ltd. je environmentální NGO, která je součástí Executive Committee of the North Sea Regional Advisory Council (dále jen </w:t>
      </w:r>
      <w:r w:rsidR="006F344C">
        <w:t xml:space="preserve">NS </w:t>
      </w:r>
      <w:r w:rsidR="00487DA1">
        <w:t xml:space="preserve">RAC). Jejím cílem bylo zrušení </w:t>
      </w:r>
      <w:r w:rsidR="00673332">
        <w:t>nařízení</w:t>
      </w:r>
      <w:r w:rsidR="00487DA1">
        <w:t>, která byla přijata v souvislosti s rybolovem v Severním moři.</w:t>
      </w:r>
      <w:r w:rsidR="006F344C">
        <w:t xml:space="preserve"> NS</w:t>
      </w:r>
      <w:r w:rsidR="00487DA1">
        <w:t xml:space="preserve"> RAC byl poradním orgánem Komise při přijímání dotčené směrnice. K </w:t>
      </w:r>
      <w:r w:rsidR="00487DA1">
        <w:lastRenderedPageBreak/>
        <w:t xml:space="preserve">přijetí </w:t>
      </w:r>
      <w:r w:rsidR="00B97383">
        <w:t>nařízení</w:t>
      </w:r>
      <w:r w:rsidR="00487DA1">
        <w:t xml:space="preserve"> vydal kladné stanovisko, ve kterém však poukázal na minoritní názor některých </w:t>
      </w:r>
      <w:r w:rsidR="00682CF7">
        <w:t>společností a NGO, mezi nimi i WWF-UK Ltd.</w:t>
      </w:r>
      <w:r w:rsidR="009222B1">
        <w:t xml:space="preserve"> </w:t>
      </w:r>
    </w:p>
    <w:p w:rsidR="0035528B" w:rsidRDefault="0035528B" w:rsidP="0045605A">
      <w:pPr>
        <w:ind w:firstLine="708"/>
      </w:pPr>
      <w:r>
        <w:t xml:space="preserve">WWF-UK Ltd. argumentovala tím, že jako člen </w:t>
      </w:r>
      <w:r w:rsidR="006F344C">
        <w:t xml:space="preserve">NS </w:t>
      </w:r>
      <w:r>
        <w:t>RAC se aktivně podílela na přípravě stanoviska a snažila se ve všech fázích toto stanovisko ovlivnit.</w:t>
      </w:r>
      <w:r w:rsidR="00B94444">
        <w:t xml:space="preserve"> Tímto byl dle ní prokázán silný osobní zájem. </w:t>
      </w:r>
      <w:r w:rsidR="00A968AD">
        <w:t>Další argument byl, že členové</w:t>
      </w:r>
      <w:r w:rsidR="006F344C">
        <w:t xml:space="preserve"> NS</w:t>
      </w:r>
      <w:r w:rsidR="00A968AD">
        <w:t xml:space="preserve"> RAC, kam WWF-UK patří, tvoří jasně odlišenou skupinu osob s jasnými zájmy</w:t>
      </w:r>
      <w:r w:rsidR="00AF76F0">
        <w:t>, která je uznávána členskými státy a podílí se některých rozhodovacích procesech</w:t>
      </w:r>
      <w:r w:rsidR="00A968AD">
        <w:t xml:space="preserve">. </w:t>
      </w:r>
      <w:r w:rsidR="00AF76F0">
        <w:t>Taktéž</w:t>
      </w:r>
      <w:r w:rsidR="00B94444">
        <w:t xml:space="preserve"> dodala</w:t>
      </w:r>
      <w:r w:rsidR="00AF76F0">
        <w:t>, že</w:t>
      </w:r>
      <w:r w:rsidR="00B94444">
        <w:t xml:space="preserve"> s odkazem na čl. 2 odst. 5 a čl. 6 odst. 2 Úmluvy, </w:t>
      </w:r>
      <w:r w:rsidR="00C54F62">
        <w:t>měla právo být</w:t>
      </w:r>
      <w:r w:rsidR="00673332">
        <w:t xml:space="preserve"> informována v rané fázi procedury environmentálního rozhodování a též </w:t>
      </w:r>
      <w:r w:rsidR="00C54F62">
        <w:t>být i</w:t>
      </w:r>
      <w:r w:rsidR="00673332">
        <w:t xml:space="preserve"> zapojena do procesu přijímání nařízení.</w:t>
      </w:r>
      <w:r w:rsidR="00B97383">
        <w:rPr>
          <w:rStyle w:val="Znakapoznpodarou"/>
        </w:rPr>
        <w:footnoteReference w:id="147"/>
      </w:r>
    </w:p>
    <w:p w:rsidR="00B97383" w:rsidRDefault="0034193D" w:rsidP="0045605A">
      <w:pPr>
        <w:ind w:firstLine="708"/>
      </w:pPr>
      <w:r>
        <w:t>Soudní dvůr</w:t>
      </w:r>
      <w:r w:rsidR="000A5040">
        <w:t xml:space="preserve"> opět potvrdil </w:t>
      </w:r>
      <w:r w:rsidR="00C54F62">
        <w:t xml:space="preserve">přístup z případu </w:t>
      </w:r>
      <w:r w:rsidR="00C54F62" w:rsidRPr="006F344C">
        <w:rPr>
          <w:i/>
        </w:rPr>
        <w:t>Plaumann</w:t>
      </w:r>
      <w:r w:rsidR="00C54F62">
        <w:t xml:space="preserve">. </w:t>
      </w:r>
      <w:r w:rsidR="00AF76F0">
        <w:t>Vyjádřil se, že pouze</w:t>
      </w:r>
      <w:r w:rsidR="006F344C">
        <w:t xml:space="preserve"> NS</w:t>
      </w:r>
      <w:r w:rsidR="00AF76F0">
        <w:t xml:space="preserve"> RAC jako celek by mohl namítat porušení procesních pravidel zaručených nařízením č. 2371/2002, které </w:t>
      </w:r>
      <w:r w:rsidR="006F344C">
        <w:t>zaručuje regionálním radám (RAC) možnost podat názory a podněty a tím vyhovět požadavkům čl. 263</w:t>
      </w:r>
      <w:r w:rsidR="00A968AD">
        <w:t xml:space="preserve">. </w:t>
      </w:r>
    </w:p>
    <w:p w:rsidR="00501EC8" w:rsidRDefault="00901EE4" w:rsidP="000A2A6B">
      <w:pPr>
        <w:ind w:firstLine="708"/>
      </w:pPr>
      <w:r>
        <w:t>K argumentaci čl. 2 od</w:t>
      </w:r>
      <w:r w:rsidR="0034193D">
        <w:t>st. 5 a čl. 6 odst. 2 Úmluvy Soudní dvůr</w:t>
      </w:r>
      <w:r>
        <w:t xml:space="preserve"> vyjádřil názor, že tyto ustanovení poskytují </w:t>
      </w:r>
      <w:r w:rsidR="0052629F">
        <w:t xml:space="preserve">WWF-UK Ltd. </w:t>
      </w:r>
      <w:r>
        <w:t>práva</w:t>
      </w:r>
      <w:r w:rsidR="0052629F">
        <w:t xml:space="preserve"> z titulu</w:t>
      </w:r>
      <w:r>
        <w:t xml:space="preserve"> veřejnosti </w:t>
      </w:r>
      <w:r w:rsidR="0052629F">
        <w:t>a nikterak ji neodlišují pro potřeb</w:t>
      </w:r>
      <w:r w:rsidR="0034193D">
        <w:t>u</w:t>
      </w:r>
      <w:r w:rsidR="0052629F">
        <w:t xml:space="preserve"> čl. 263. </w:t>
      </w:r>
      <w:r w:rsidR="0034193D">
        <w:t>Soudní dvůr</w:t>
      </w:r>
      <w:r w:rsidR="0052629F">
        <w:t xml:space="preserve"> nakonec odmítl i argumentaci, kterou se WWF-UK Ltd. domáhala </w:t>
      </w:r>
      <w:r w:rsidR="0052629F" w:rsidRPr="0052629F">
        <w:rPr>
          <w:i/>
        </w:rPr>
        <w:t>locus stan</w:t>
      </w:r>
      <w:r w:rsidR="00B42437">
        <w:rPr>
          <w:i/>
        </w:rPr>
        <w:t>d</w:t>
      </w:r>
      <w:r w:rsidR="0052629F" w:rsidRPr="0052629F">
        <w:rPr>
          <w:i/>
        </w:rPr>
        <w:t>i</w:t>
      </w:r>
      <w:r w:rsidR="0052629F">
        <w:t xml:space="preserve"> z titulu práva na efektivní ochranu týkající se poško</w:t>
      </w:r>
      <w:r w:rsidR="00B42437">
        <w:t xml:space="preserve">zení životního prostředí. </w:t>
      </w:r>
      <w:r w:rsidR="0034193D">
        <w:t>Soudní vůr</w:t>
      </w:r>
      <w:r w:rsidR="00B42437">
        <w:t xml:space="preserve"> se vyjádřil, že napadené nařízení zasahuje WWF-UK Ltd. z důvodu jejího zájmu na ochraně životního prostředí stejně, jako by zasahoval, kteroukoli jinou organizaci se stejným zájmem a tudíž ji to opět neodlišuje pro potřeby čl. 263.</w:t>
      </w:r>
      <w:r w:rsidR="00B42437">
        <w:rPr>
          <w:rStyle w:val="Znakapoznpodarou"/>
        </w:rPr>
        <w:footnoteReference w:id="148"/>
      </w:r>
    </w:p>
    <w:p w:rsidR="00324DEE" w:rsidRDefault="00C47961" w:rsidP="0045605A">
      <w:pPr>
        <w:ind w:firstLine="708"/>
      </w:pPr>
      <w:r>
        <w:t>Posledním</w:t>
      </w:r>
      <w:r w:rsidR="0034193D">
        <w:t xml:space="preserve"> v této linii judikatury</w:t>
      </w:r>
      <w:r>
        <w:t xml:space="preserve"> je zatím případ </w:t>
      </w:r>
      <w:r w:rsidR="00324DEE">
        <w:t xml:space="preserve">C-583/11 P </w:t>
      </w:r>
      <w:r w:rsidR="00324DEE" w:rsidRPr="0034193D">
        <w:rPr>
          <w:i/>
        </w:rPr>
        <w:t>Inuit Tapiriit Kanatami a další pr</w:t>
      </w:r>
      <w:r w:rsidR="0034193D">
        <w:rPr>
          <w:i/>
        </w:rPr>
        <w:t>oti Evropskému parlamentu a Radě</w:t>
      </w:r>
      <w:r w:rsidR="00324DEE" w:rsidRPr="0034193D">
        <w:rPr>
          <w:i/>
        </w:rPr>
        <w:t xml:space="preserve"> Evropské unie</w:t>
      </w:r>
      <w:r w:rsidR="00324DEE" w:rsidRPr="00324DEE">
        <w:t>.</w:t>
      </w:r>
      <w:r>
        <w:t xml:space="preserve"> Zde v kasační stížnosti navrhovatelé netvrdili nesprávné posouzení jejich </w:t>
      </w:r>
      <w:r w:rsidRPr="00C47961">
        <w:rPr>
          <w:i/>
        </w:rPr>
        <w:t>locus standi</w:t>
      </w:r>
      <w:r>
        <w:t xml:space="preserve"> Tribunálem, navrhovali ale</w:t>
      </w:r>
      <w:r w:rsidR="006B1C6A">
        <w:t>, aby Soudní dvůr svoji judikatu</w:t>
      </w:r>
      <w:r>
        <w:t>rní praxi s ohledem na změnu provedenou Lisabonskou smlouvou změnil a uplatnil kritérium „</w:t>
      </w:r>
      <w:r w:rsidRPr="006B1C6A">
        <w:rPr>
          <w:i/>
        </w:rPr>
        <w:t>podstatného škodlivého účinku</w:t>
      </w:r>
      <w:r>
        <w:t xml:space="preserve">“ které by mohlo mít napadené nařízení na strany. </w:t>
      </w:r>
      <w:r w:rsidR="006B1C6A">
        <w:t>Soudní dvůr</w:t>
      </w:r>
      <w:r>
        <w:t xml:space="preserve"> se </w:t>
      </w:r>
      <w:r w:rsidR="006B1C6A">
        <w:t>však i nadále</w:t>
      </w:r>
      <w:r>
        <w:t xml:space="preserve"> držel ustálené judikatury: </w:t>
      </w:r>
      <w:r w:rsidR="009C5680" w:rsidRPr="009C5680">
        <w:rPr>
          <w:i/>
        </w:rPr>
        <w:t>„V tomto ohledu je třeba konstatovat, že druhá část čl. 263 čtvrtého pododstavce SFEU odpovídá, jak bylo konstatováno v bodě 55 tohoto rozsudku, části čl. 230 čtvrtého pododstavce ES. Z</w:t>
      </w:r>
      <w:r w:rsidRPr="009C5680">
        <w:rPr>
          <w:i/>
        </w:rPr>
        <w:t xml:space="preserve">nění tohoto ustanovení přitom nebylo změněno. Kromě toho neexistuje žádná skutečnost umožňující mít za to, že autoři Lisabonské smlouvy měli v úmyslu změnit dosah podmínek </w:t>
      </w:r>
      <w:r w:rsidRPr="009C5680">
        <w:rPr>
          <w:i/>
        </w:rPr>
        <w:lastRenderedPageBreak/>
        <w:t>přípustnosti, které již byly stanoveny v čl. 230 čtvrtém pododstavci ES. Z přípravných prací týkajících se čl. III</w:t>
      </w:r>
      <w:r w:rsidRPr="009C5680">
        <w:rPr>
          <w:i/>
        </w:rPr>
        <w:noBreakHyphen/>
        <w:t>365 odst. 4 návrhu Smlouvy o Ústavě pro Evropu kromě toho vyplývá, že dosah těchto podmínek neměl být změněn</w:t>
      </w:r>
      <w:r w:rsidR="009C5680" w:rsidRPr="009C5680">
        <w:rPr>
          <w:i/>
        </w:rPr>
        <w:t>.</w:t>
      </w:r>
      <w:r w:rsidR="009C5680">
        <w:t>“</w:t>
      </w:r>
    </w:p>
    <w:p w:rsidR="00D937CF" w:rsidRDefault="005C04C3" w:rsidP="000055B5">
      <w:pPr>
        <w:ind w:firstLine="708"/>
      </w:pPr>
      <w:r>
        <w:t>Na závěr bych poznamenal, že t</w:t>
      </w:r>
      <w:r w:rsidR="00434F0E">
        <w:t xml:space="preserve">aktéž </w:t>
      </w:r>
      <w:r w:rsidR="00EE79B0">
        <w:t>Výbor pro dodržování Aarhuské úmluvy vyjádřil</w:t>
      </w:r>
      <w:r w:rsidR="006B1C6A">
        <w:t xml:space="preserve"> názor</w:t>
      </w:r>
      <w:r w:rsidR="00434F0E">
        <w:t xml:space="preserve">, že aplikace Plaumannova testu </w:t>
      </w:r>
      <w:r w:rsidR="00C47961">
        <w:t>v</w:t>
      </w:r>
      <w:r>
        <w:t> odporuje čl. 9 odst. 3 Úmluvy, protože prakticky vylučuje veřejnost z možnosti danou žalobu podat.</w:t>
      </w:r>
      <w:r>
        <w:rPr>
          <w:rStyle w:val="Znakapoznpodarou"/>
        </w:rPr>
        <w:footnoteReference w:id="149"/>
      </w:r>
      <w:r w:rsidR="000055B5">
        <w:t xml:space="preserve"> </w:t>
      </w:r>
    </w:p>
    <w:p w:rsidR="000055B5" w:rsidRDefault="000055B5" w:rsidP="000055B5">
      <w:pPr>
        <w:ind w:firstLine="708"/>
      </w:pPr>
      <w:r>
        <w:t>Osobně se naprosto ztotožňuji s názorem, že současné řešení čl. 263 SFEU pomocí Plaumannova testu je prakticky ultimátní překážkou pro domáhání se soudní ochrany.</w:t>
      </w:r>
      <w:r w:rsidR="003A404D">
        <w:t xml:space="preserve"> </w:t>
      </w:r>
      <w:r w:rsidR="00370185">
        <w:t xml:space="preserve">Přijde mi poněkud absurdní, že prakticky vždy může ESD argumentovat, že na jedné straně tu existuje osoba domáhající se </w:t>
      </w:r>
      <w:r w:rsidR="00370185" w:rsidRPr="00370185">
        <w:rPr>
          <w:i/>
        </w:rPr>
        <w:t>locus standi</w:t>
      </w:r>
      <w:r w:rsidR="00370185">
        <w:t>, s jasným záměrem, dotčená a odlišená od ostatních,</w:t>
      </w:r>
      <w:r w:rsidR="000A4D9F">
        <w:t xml:space="preserve"> nicméně vždy se může stát, že se objeví jiná osoba s podobným zájmem, stejně dotčená a tím už nebude původní osoba „unikátní“ a tudíž jí nebude přiznáno </w:t>
      </w:r>
      <w:r w:rsidR="000A4D9F" w:rsidRPr="000A4D9F">
        <w:rPr>
          <w:i/>
        </w:rPr>
        <w:t>locus standi</w:t>
      </w:r>
      <w:r w:rsidR="000A4D9F">
        <w:t xml:space="preserve">. </w:t>
      </w:r>
      <w:r w:rsidR="00633518">
        <w:t xml:space="preserve">Samotné ustanovení čl. 263 čtvrté odrážky je svým způsobem obsolentní, neboť ho prakticky není možné naplnit. </w:t>
      </w:r>
      <w:r w:rsidR="000A4D9F">
        <w:t xml:space="preserve">Z mého pohledu byla při přijetí Lisabonské smlouvy promarněna velká příležitost jak tuto nerovnováhu napravit. </w:t>
      </w:r>
      <w:r w:rsidR="001701E4">
        <w:t xml:space="preserve">V současné situaci nezbývá než doufat ve změnu judikatorní praxe. Určité náznaky již byly např. </w:t>
      </w:r>
      <w:r w:rsidR="00586DD9">
        <w:t>v případu UPA v. Rada, rozhodnutím Tribunálu T-13/98</w:t>
      </w:r>
      <w:r w:rsidR="008F6B5A">
        <w:t xml:space="preserve"> nebo</w:t>
      </w:r>
      <w:r w:rsidR="00415B9A">
        <w:t xml:space="preserve"> stanovisku generálního advokáta Jacobse. </w:t>
      </w:r>
    </w:p>
    <w:p w:rsidR="00D937CF" w:rsidRPr="00203F8C" w:rsidRDefault="0045605A" w:rsidP="00962B9D">
      <w:pPr>
        <w:spacing w:line="276" w:lineRule="auto"/>
        <w:jc w:val="left"/>
      </w:pPr>
      <w:r>
        <w:br w:type="page"/>
      </w:r>
    </w:p>
    <w:p w:rsidR="00167859" w:rsidRDefault="00167859" w:rsidP="00FA5C10">
      <w:pPr>
        <w:pStyle w:val="Nadpis1"/>
      </w:pPr>
      <w:bookmarkStart w:id="44" w:name="_Toc446336429"/>
      <w:r>
        <w:lastRenderedPageBreak/>
        <w:t>Závěr</w:t>
      </w:r>
      <w:bookmarkEnd w:id="44"/>
    </w:p>
    <w:p w:rsidR="00C11478" w:rsidRPr="00C11478" w:rsidRDefault="005439DC" w:rsidP="00C840B0">
      <w:pPr>
        <w:ind w:firstLine="567"/>
      </w:pPr>
      <w:r>
        <w:t>V úvodu jsem vznesl otázku:</w:t>
      </w:r>
    </w:p>
    <w:p w:rsidR="00C840B0" w:rsidRDefault="00C840B0" w:rsidP="00C840B0">
      <w:pPr>
        <w:ind w:firstLine="567"/>
      </w:pPr>
      <w:r w:rsidRPr="009D6656">
        <w:rPr>
          <w:i/>
        </w:rPr>
        <w:t xml:space="preserve">„Poskytuje právo Evropské unie dostatečné možnosti pro účast veřejnosti na ochraně životního prostředí tak, jak ji definuje Aarhuská úmluva?“ </w:t>
      </w:r>
    </w:p>
    <w:p w:rsidR="005439DC" w:rsidRDefault="005439DC" w:rsidP="00C840B0">
      <w:pPr>
        <w:ind w:firstLine="567"/>
      </w:pPr>
      <w:r>
        <w:t>a k ní připojil dvě hypotézy:</w:t>
      </w:r>
    </w:p>
    <w:p w:rsidR="005439DC" w:rsidRPr="002F7230" w:rsidRDefault="005439DC" w:rsidP="00F57525">
      <w:pPr>
        <w:pStyle w:val="Odstavecseseznamem"/>
        <w:numPr>
          <w:ilvl w:val="0"/>
          <w:numId w:val="7"/>
        </w:numPr>
        <w:spacing w:after="120"/>
        <w:rPr>
          <w:i/>
          <w:szCs w:val="24"/>
        </w:rPr>
      </w:pPr>
      <w:r w:rsidRPr="002F7230">
        <w:rPr>
          <w:i/>
          <w:szCs w:val="24"/>
        </w:rPr>
        <w:t xml:space="preserve">Existují oblasti, kde není účast veřejnosti z materiálního hlediska dostatečně zaručena. </w:t>
      </w:r>
    </w:p>
    <w:p w:rsidR="005439DC" w:rsidRPr="007E3B90" w:rsidRDefault="005439DC" w:rsidP="00F57525">
      <w:pPr>
        <w:pStyle w:val="Odstavecseseznamem"/>
        <w:numPr>
          <w:ilvl w:val="0"/>
          <w:numId w:val="7"/>
        </w:numPr>
        <w:spacing w:after="120"/>
        <w:rPr>
          <w:i/>
          <w:szCs w:val="24"/>
        </w:rPr>
      </w:pPr>
      <w:r w:rsidRPr="002F7230">
        <w:rPr>
          <w:i/>
          <w:szCs w:val="24"/>
        </w:rPr>
        <w:t>Možnosti účasti veřejnosti se rozšiřují.</w:t>
      </w:r>
    </w:p>
    <w:p w:rsidR="005439DC" w:rsidRPr="005439DC" w:rsidRDefault="005439DC" w:rsidP="002D24D4">
      <w:pPr>
        <w:ind w:firstLine="567"/>
      </w:pPr>
      <w:r>
        <w:t>V závěrečném shrnutí na ně odpovím.</w:t>
      </w:r>
      <w:r w:rsidR="006D0A72">
        <w:t xml:space="preserve"> V návaznosti na strukturu práce se budu vyhodnocovat hypotézy a odpovídat na výzkumnou otázku u každého pilíře účasti veřejnosti zvlášť.</w:t>
      </w:r>
    </w:p>
    <w:p w:rsidR="006B1C6A" w:rsidRDefault="00C840B0" w:rsidP="00EB63D4">
      <w:pPr>
        <w:ind w:firstLine="567"/>
      </w:pPr>
      <w:r>
        <w:t xml:space="preserve">Prvním krokem k účasti na ochraně životního prostředí je bezesporu </w:t>
      </w:r>
      <w:r w:rsidRPr="007F14A0">
        <w:rPr>
          <w:b/>
        </w:rPr>
        <w:t>přístup k informacím.</w:t>
      </w:r>
      <w:r>
        <w:t xml:space="preserve"> Na tomto poli </w:t>
      </w:r>
      <w:r w:rsidR="00C11478">
        <w:t xml:space="preserve">existuje určitá „schizofrenní </w:t>
      </w:r>
      <w:r w:rsidR="006B1C6A">
        <w:t xml:space="preserve">aplikační </w:t>
      </w:r>
      <w:r w:rsidR="00C11478">
        <w:t xml:space="preserve">praxe“. Na jedné straně stojí právní úprava, která naplňuje či v některých ohledech překračuje požadavky dané Aarhuskou úmluvou. </w:t>
      </w:r>
      <w:r w:rsidR="007D788A">
        <w:t xml:space="preserve">Na </w:t>
      </w:r>
      <w:r w:rsidR="00C11478">
        <w:t>druhé</w:t>
      </w:r>
      <w:r w:rsidR="007D788A">
        <w:t xml:space="preserve"> straně stojí orgány a subjekty </w:t>
      </w:r>
      <w:r w:rsidR="00C11478">
        <w:t>Evropské unie</w:t>
      </w:r>
      <w:r w:rsidR="007D788A">
        <w:t>, které</w:t>
      </w:r>
      <w:r w:rsidR="00230F6D">
        <w:t xml:space="preserve"> se</w:t>
      </w:r>
      <w:r w:rsidR="00927F88">
        <w:t xml:space="preserve">, </w:t>
      </w:r>
      <w:r w:rsidR="00230F6D">
        <w:t>jak jsem ukázal</w:t>
      </w:r>
      <w:r w:rsidR="007D788A">
        <w:t xml:space="preserve"> na přehledu </w:t>
      </w:r>
      <w:r w:rsidR="00927F88">
        <w:t>rozhodnut</w:t>
      </w:r>
      <w:r w:rsidR="00230F6D">
        <w:t xml:space="preserve">í </w:t>
      </w:r>
      <w:r w:rsidR="006B1C6A">
        <w:t>S</w:t>
      </w:r>
      <w:r w:rsidR="00230F6D">
        <w:t xml:space="preserve">oudního dvora, </w:t>
      </w:r>
      <w:r w:rsidR="00927F88">
        <w:t xml:space="preserve">staví k pasivnímu poskytování informací velmi rezervovaně a vykládají právo na informace o životní prostředí restriktivně. Zde </w:t>
      </w:r>
      <w:r w:rsidR="00C11478">
        <w:t>pak musí</w:t>
      </w:r>
      <w:r w:rsidR="00927F88">
        <w:t xml:space="preserve"> </w:t>
      </w:r>
      <w:r w:rsidR="00C11478">
        <w:t>zasahovat</w:t>
      </w:r>
      <w:r w:rsidR="00927F88">
        <w:t xml:space="preserve"> </w:t>
      </w:r>
      <w:r w:rsidR="006B1C6A">
        <w:t>S</w:t>
      </w:r>
      <w:r w:rsidR="00927F88">
        <w:t xml:space="preserve">oudní dvůr, který </w:t>
      </w:r>
      <w:r w:rsidR="00D67FB4">
        <w:t>ctí naopak li</w:t>
      </w:r>
      <w:r w:rsidR="00C14471">
        <w:t>nii extenzivního výkladu</w:t>
      </w:r>
      <w:r w:rsidR="00D67FB4">
        <w:t xml:space="preserve"> práva </w:t>
      </w:r>
      <w:r w:rsidR="007F14A0">
        <w:t>P</w:t>
      </w:r>
      <w:r w:rsidR="00D67FB4">
        <w:t xml:space="preserve">omáhá </w:t>
      </w:r>
      <w:r w:rsidR="007F14A0">
        <w:t xml:space="preserve">tak </w:t>
      </w:r>
      <w:r w:rsidR="00D67FB4">
        <w:t>k větší transparentnosti</w:t>
      </w:r>
      <w:r w:rsidR="00C14471">
        <w:t xml:space="preserve"> a svým výkladem jde i za hranice požadavků Aarhuské úmluvy, například při připuštění přístupu k informacím o postojích aktérů legislativního procesu. </w:t>
      </w:r>
    </w:p>
    <w:p w:rsidR="003E24A7" w:rsidRDefault="004F2FF2" w:rsidP="00EB63D4">
      <w:pPr>
        <w:ind w:firstLine="567"/>
      </w:pPr>
      <w:r>
        <w:t>V rámci aktivního poskytov</w:t>
      </w:r>
      <w:r w:rsidR="00B92275">
        <w:t>ání informací Evropská unie poskytuje široké možnosti jak se k informacím o životním prostředí dostat. Přesto je evidentní, že přes existenci mnoha informačních systémů</w:t>
      </w:r>
      <w:r w:rsidR="005B1BA1">
        <w:t xml:space="preserve"> s velkým množstvím přístupných informací</w:t>
      </w:r>
      <w:r w:rsidR="00B92275">
        <w:t xml:space="preserve">, je to právě </w:t>
      </w:r>
      <w:r w:rsidR="005B1BA1">
        <w:t xml:space="preserve">jejich množství co brání přehlednosti. </w:t>
      </w:r>
      <w:r w:rsidR="001202C5">
        <w:t>Na tomto poli se rýsuje zajímavá iniciativa SEIS, která by měla sjednotit a zpřehlednit informační toky a tím přispět i k</w:t>
      </w:r>
      <w:r w:rsidR="00930532">
        <w:t>e</w:t>
      </w:r>
      <w:r w:rsidR="001202C5">
        <w:t xml:space="preserve"> snadnějšímu přístupu veřejnosti k informacím. </w:t>
      </w:r>
      <w:r w:rsidR="00C43B3F">
        <w:t>Nicméně zavedení systému je prozatím v nedohlednu.</w:t>
      </w:r>
      <w:r w:rsidR="007F14A0">
        <w:t xml:space="preserve"> </w:t>
      </w:r>
    </w:p>
    <w:p w:rsidR="004F2FF2" w:rsidRDefault="003E24A7" w:rsidP="00EB63D4">
      <w:pPr>
        <w:ind w:firstLine="567"/>
      </w:pPr>
      <w:r>
        <w:t>V oblasti přístupu k informacím je potvrzena druhá hypotéza</w:t>
      </w:r>
      <w:r w:rsidR="00930532">
        <w:t xml:space="preserve"> této</w:t>
      </w:r>
      <w:r>
        <w:t xml:space="preserve"> práce. Ať už judikaturou Soudního dvora, či stabilně se rozšiřujícím aktivním zpřístupňováním informací se možnosti účasti veřejnosti rozšiřují.</w:t>
      </w:r>
      <w:r w:rsidR="007F732F">
        <w:t xml:space="preserve"> </w:t>
      </w:r>
    </w:p>
    <w:p w:rsidR="006D0A72" w:rsidRDefault="006D0A72" w:rsidP="00EB63D4">
      <w:pPr>
        <w:ind w:firstLine="567"/>
      </w:pPr>
      <w:r>
        <w:lastRenderedPageBreak/>
        <w:t>V rámci zkoumání jsem nenarazil na případ, kdy by nebylo z materiálního hlediska dostatečně zaručeno právo veřejnosti na informace</w:t>
      </w:r>
      <w:r w:rsidR="0093159E">
        <w:t>,</w:t>
      </w:r>
      <w:r>
        <w:t xml:space="preserve"> a tudíž se v této oblasti první hypotéza nepotvrdila. </w:t>
      </w:r>
    </w:p>
    <w:p w:rsidR="001F1DB3" w:rsidRDefault="001F1DB3" w:rsidP="001F1DB3">
      <w:r>
        <w:tab/>
      </w:r>
      <w:r w:rsidR="006D0A72">
        <w:t>První částečná odpověď na výzkumnou otázku tedy je</w:t>
      </w:r>
      <w:r>
        <w:t xml:space="preserve"> </w:t>
      </w:r>
      <w:r w:rsidR="00CF4AEB">
        <w:t>„</w:t>
      </w:r>
      <w:r w:rsidRPr="005439DC">
        <w:rPr>
          <w:i/>
        </w:rPr>
        <w:t>Ano. Přes v práci popsané nedostatky má dle mého názoru veřejnost u subjektů a orgánů Unie efektivní přístup k informacím o životním prostředí</w:t>
      </w:r>
      <w:r>
        <w:t>.</w:t>
      </w:r>
      <w:r w:rsidR="00CF4AEB">
        <w:t>“</w:t>
      </w:r>
    </w:p>
    <w:p w:rsidR="00CF4AEB" w:rsidRDefault="00CF4AEB" w:rsidP="001F1DB3">
      <w:r>
        <w:tab/>
        <w:t xml:space="preserve">Nutno v tomto ohledu ještě dodat, že se v posledních letech často vede diskuze nad tématem revize nařízení č. 1049/2001. Hlavními argumenty pro </w:t>
      </w:r>
      <w:r w:rsidR="003C5CAE">
        <w:t>změnu jsou: velký posun vnímání prá</w:t>
      </w:r>
      <w:r w:rsidR="00FC7958">
        <w:t>va na přístup k dokumentům vyplý</w:t>
      </w:r>
      <w:r w:rsidR="003C5CAE">
        <w:t xml:space="preserve">vající z judikatury </w:t>
      </w:r>
      <w:r w:rsidR="00FC7958">
        <w:t>Soudního dvora</w:t>
      </w:r>
      <w:r w:rsidR="00160B27">
        <w:t xml:space="preserve"> a</w:t>
      </w:r>
      <w:r w:rsidR="003C5CAE">
        <w:t xml:space="preserve"> přijetí Aarhuské úmluvy </w:t>
      </w:r>
      <w:r w:rsidR="00FC7958">
        <w:t>včetně nutnosti</w:t>
      </w:r>
      <w:r w:rsidR="003C5CAE">
        <w:t xml:space="preserve"> </w:t>
      </w:r>
      <w:r w:rsidR="00160B27">
        <w:t>přizpůsobit se jejím požadavkům. Zatím však zůstává pouze u debat bez konk</w:t>
      </w:r>
      <w:r w:rsidR="00F93945">
        <w:t>rétního uceleného legislativního</w:t>
      </w:r>
      <w:r w:rsidR="00160B27">
        <w:t xml:space="preserve"> návrh</w:t>
      </w:r>
      <w:r w:rsidR="00F93945">
        <w:t>u</w:t>
      </w:r>
      <w:r w:rsidR="00160B27">
        <w:t>.</w:t>
      </w:r>
      <w:r w:rsidR="00160B27">
        <w:rPr>
          <w:rStyle w:val="Znakapoznpodarou"/>
        </w:rPr>
        <w:footnoteReference w:id="150"/>
      </w:r>
      <w:r w:rsidR="00160B27">
        <w:t xml:space="preserve"> </w:t>
      </w:r>
      <w:r w:rsidR="003C5CAE">
        <w:t xml:space="preserve"> </w:t>
      </w:r>
    </w:p>
    <w:p w:rsidR="00676589" w:rsidRDefault="001807B8" w:rsidP="006B2BF5">
      <w:pPr>
        <w:ind w:firstLine="708"/>
      </w:pPr>
      <w:r w:rsidRPr="007F14A0">
        <w:rPr>
          <w:b/>
        </w:rPr>
        <w:t>Ve druhé části</w:t>
      </w:r>
      <w:r>
        <w:t xml:space="preserve"> práce jsem se zabýval účastí veřejnosti na některých rozhodovacích procesech a též na přijímání environmentální legislativy. </w:t>
      </w:r>
      <w:r w:rsidR="00B96090">
        <w:t>V této oblasti jsou činnosti Evropské unie omezeny předevší</w:t>
      </w:r>
      <w:r w:rsidR="003F0A42">
        <w:t xml:space="preserve">m na přijímání plánů, programů a legislativy a proto byl </w:t>
      </w:r>
      <w:r w:rsidR="00DC5800">
        <w:t xml:space="preserve">také </w:t>
      </w:r>
      <w:r w:rsidR="003F0A42">
        <w:t>okruh mého zkoumání omezen.</w:t>
      </w:r>
    </w:p>
    <w:p w:rsidR="004B67EA" w:rsidRDefault="003F0A42" w:rsidP="006B2BF5">
      <w:pPr>
        <w:ind w:firstLine="708"/>
      </w:pPr>
      <w:r>
        <w:t>E</w:t>
      </w:r>
      <w:r w:rsidR="00E54CC9">
        <w:t xml:space="preserve">vropské právo </w:t>
      </w:r>
      <w:r>
        <w:t xml:space="preserve">dává </w:t>
      </w:r>
      <w:r w:rsidR="00E54CC9">
        <w:t>veřejnosti z mého pohledu poměrně širokou škálu možností jak se do procesu přijímání plánů,</w:t>
      </w:r>
      <w:r w:rsidR="004B67EA">
        <w:t xml:space="preserve"> programů a legislativy zapojit</w:t>
      </w:r>
      <w:r w:rsidR="006B2BF5">
        <w:t xml:space="preserve">. </w:t>
      </w:r>
      <w:r w:rsidR="00466D8C">
        <w:t>Veřejnost zde však musí počítat se značnou časovou náročností takového procesu.</w:t>
      </w:r>
      <w:r w:rsidR="00DC5800">
        <w:t xml:space="preserve"> </w:t>
      </w:r>
      <w:r w:rsidR="00466D8C">
        <w:t xml:space="preserve">Zároveň je třeba zdůraznit, že na evropské úrovni mají prakticky jedinou možnost efektivně promluvit do procesu </w:t>
      </w:r>
      <w:r w:rsidR="006E0309">
        <w:t>organizace, které zastupují kolektivní zájmy. Tato skutečnost však podle mě není chybou, neboť ačkoliv Komise dělá průzkumy mezi širokou veřejností, k přímým jednáním potřebuje silné partnery</w:t>
      </w:r>
      <w:r w:rsidR="003E1A2D">
        <w:t xml:space="preserve"> s jasnými postoji</w:t>
      </w:r>
      <w:r w:rsidR="006E0309">
        <w:t xml:space="preserve">, které už </w:t>
      </w:r>
      <w:r w:rsidR="003E1A2D">
        <w:t>budou hájit zájmy skupiny lidí.</w:t>
      </w:r>
      <w:r w:rsidR="004B67EA">
        <w:t xml:space="preserve"> </w:t>
      </w:r>
    </w:p>
    <w:p w:rsidR="004B67EA" w:rsidRDefault="004B67EA" w:rsidP="004B67EA">
      <w:pPr>
        <w:ind w:firstLine="708"/>
        <w:rPr>
          <w:i/>
        </w:rPr>
      </w:pPr>
      <w:r>
        <w:t xml:space="preserve">Jak jsem ukázal na analýze případu Right2Water, zapojení veřejnosti odpovídá všem požadavkům stanoveným Aarhuskou úmluvou. Zkoumaná iniciativa zatím nedošla až do fáze přijatého legislativního aktu a tudíž nelze </w:t>
      </w:r>
      <w:r w:rsidR="00B06477">
        <w:t>říci</w:t>
      </w:r>
      <w:r w:rsidR="00607739">
        <w:t>,</w:t>
      </w:r>
      <w:r w:rsidR="00B06477">
        <w:t xml:space="preserve"> nakolik bude v konečné fázi úspěšná, zároveň se</w:t>
      </w:r>
      <w:r w:rsidR="005E07FF">
        <w:t xml:space="preserve"> však</w:t>
      </w:r>
      <w:r w:rsidR="00B06477">
        <w:t xml:space="preserve"> jedná o první iniciativu a nenabízí se srovnání. </w:t>
      </w:r>
      <w:r w:rsidR="00607739">
        <w:t xml:space="preserve">Z tohoto pohledu nelze celkově účast veřejnosti z materiálního hlediska posoudit. Pokud </w:t>
      </w:r>
      <w:r w:rsidR="00C310B2">
        <w:t>se však podíváme na jednotlivé možnosti účasti veřejnosti</w:t>
      </w:r>
      <w:r w:rsidR="00171773">
        <w:t xml:space="preserve">, tyto jsou z mého pohledu účinné a transparentní a tudíž </w:t>
      </w:r>
      <w:r w:rsidR="00171773" w:rsidRPr="00A8129B">
        <w:rPr>
          <w:i/>
        </w:rPr>
        <w:t xml:space="preserve">naplňují materiální podstatu účasti veřejnosti. </w:t>
      </w:r>
    </w:p>
    <w:p w:rsidR="0076500B" w:rsidRPr="0076500B" w:rsidRDefault="0076500B" w:rsidP="004B67EA">
      <w:pPr>
        <w:ind w:firstLine="708"/>
      </w:pPr>
      <w:r>
        <w:t xml:space="preserve">Tímto se pro druhý pilíř účasti veřejnosti vyvrací druhá hypotéza. </w:t>
      </w:r>
    </w:p>
    <w:p w:rsidR="007C23D5" w:rsidRDefault="001F7E97" w:rsidP="00171773">
      <w:pPr>
        <w:ind w:firstLine="708"/>
      </w:pPr>
      <w:r>
        <w:lastRenderedPageBreak/>
        <w:t>Ačkoli jsem se soustředil především na účast veřejnosti v počátečních stádiích přípravy návrhu u Komise, existují t</w:t>
      </w:r>
      <w:r w:rsidR="00335D81">
        <w:t>aké</w:t>
      </w:r>
      <w:r>
        <w:t xml:space="preserve"> možnosti zapojení především zájmových skupin ve formě např. svazů či NGO, u dalších institucí Evropské unie </w:t>
      </w:r>
      <w:r w:rsidR="00171773">
        <w:t>zejména</w:t>
      </w:r>
      <w:r>
        <w:t xml:space="preserve"> konzultace pořádané Evropským parlamentem.</w:t>
      </w:r>
    </w:p>
    <w:p w:rsidR="0076500B" w:rsidRDefault="0076500B" w:rsidP="00171773">
      <w:pPr>
        <w:ind w:firstLine="708"/>
      </w:pPr>
      <w:r>
        <w:t>V</w:t>
      </w:r>
      <w:r w:rsidR="00CB22C9">
        <w:t>e své</w:t>
      </w:r>
      <w:r w:rsidR="0019235B">
        <w:t xml:space="preserve"> práci jsem nabídl </w:t>
      </w:r>
      <w:r w:rsidR="000B357E">
        <w:t>kromě rozboru stávající úpravy i pohled na</w:t>
      </w:r>
      <w:r>
        <w:t xml:space="preserve"> dlouhodobý vývoj účasti veřejnosti</w:t>
      </w:r>
      <w:r w:rsidR="00FD5707">
        <w:t xml:space="preserve"> na rozhodovacích procesech</w:t>
      </w:r>
      <w:r w:rsidR="000B357E">
        <w:t>.</w:t>
      </w:r>
      <w:r>
        <w:t xml:space="preserve"> </w:t>
      </w:r>
      <w:r w:rsidR="00FD5707">
        <w:t>V souhrnu lze konstatovat</w:t>
      </w:r>
      <w:r>
        <w:t>, že</w:t>
      </w:r>
      <w:r w:rsidR="00FD5707">
        <w:t xml:space="preserve"> posilování účasti veřejnosti na rozhodovacích procesech je</w:t>
      </w:r>
      <w:r>
        <w:t xml:space="preserve"> nastoleným trendem</w:t>
      </w:r>
      <w:r w:rsidR="0019235B">
        <w:t>. Tím</w:t>
      </w:r>
      <w:r w:rsidR="005D4A61">
        <w:t>to</w:t>
      </w:r>
      <w:r w:rsidR="0019235B">
        <w:t xml:space="preserve"> se potvrzuje pro tuto oblast druhá hypotéza práce.</w:t>
      </w:r>
    </w:p>
    <w:p w:rsidR="00571584" w:rsidRDefault="00571584" w:rsidP="00571584">
      <w:r>
        <w:t>Druhá částečná odpověď na výzkumnou otázku tedy je: „</w:t>
      </w:r>
      <w:r w:rsidRPr="005439DC">
        <w:rPr>
          <w:i/>
        </w:rPr>
        <w:t xml:space="preserve">Ano. </w:t>
      </w:r>
      <w:r>
        <w:rPr>
          <w:i/>
        </w:rPr>
        <w:t>Veřejnost má dostatečné možnosti účasti na rozhodovacích procesech tak, jak ji definuje Aarhuská úmluva.</w:t>
      </w:r>
      <w:r>
        <w:t>“</w:t>
      </w:r>
    </w:p>
    <w:p w:rsidR="007C23D5" w:rsidRPr="007F14A0" w:rsidRDefault="007C23D5" w:rsidP="007C23D5">
      <w:pPr>
        <w:ind w:firstLine="708"/>
        <w:rPr>
          <w:b/>
        </w:rPr>
      </w:pPr>
      <w:r>
        <w:t xml:space="preserve">Jako nejproblematičtější aspekt účasti veřejnosti na ochraně životního prostředí vidím </w:t>
      </w:r>
      <w:r w:rsidRPr="007F14A0">
        <w:rPr>
          <w:b/>
        </w:rPr>
        <w:t>přístup k právní ochraně.</w:t>
      </w:r>
      <w:r w:rsidR="00C855F0" w:rsidRPr="007F14A0">
        <w:rPr>
          <w:b/>
        </w:rPr>
        <w:t xml:space="preserve"> </w:t>
      </w:r>
    </w:p>
    <w:p w:rsidR="00F730FA" w:rsidRDefault="00C855F0" w:rsidP="00F730FA">
      <w:pPr>
        <w:ind w:firstLine="708"/>
      </w:pPr>
      <w:r>
        <w:t>Jako první jsem</w:t>
      </w:r>
      <w:r w:rsidR="003B1081">
        <w:t xml:space="preserve"> se</w:t>
      </w:r>
      <w:r>
        <w:t xml:space="preserve"> v práci </w:t>
      </w:r>
      <w:r w:rsidR="003B1081">
        <w:t>zabýval konstrukcí</w:t>
      </w:r>
      <w:r>
        <w:t xml:space="preserve"> potvrzující žádosti jako opravného prostředku. </w:t>
      </w:r>
      <w:r w:rsidR="000263C2">
        <w:t xml:space="preserve">Jsem přesvědčen, že autoremedura </w:t>
      </w:r>
      <w:r w:rsidR="008459EF">
        <w:t xml:space="preserve">jako jediný opravný prostředek v rámci mimosoudního řízení je nedostatečný. Toto potvrzují i statistiky uvedené ve čtvrté kapitole, které ukazují, že správnost soudně napadených potvrzujících žádostí je pouze kolem 55-65%. </w:t>
      </w:r>
      <w:r w:rsidR="00466E50">
        <w:t>Je třeba uznat, že v evropském správním právu obecně chybí prvek nadřízeného orgánu tak, jak jej známe např. z ČR. Nicméně jeho zřízení pro speciální případy přezkoumávání správníc</w:t>
      </w:r>
      <w:r w:rsidR="0009207D">
        <w:t xml:space="preserve">h aktů by mohlo pomoci kvalitnějšímu a jednotnějšímu rozhodování, které by mohlo v zabránit </w:t>
      </w:r>
      <w:r w:rsidR="00331EEF">
        <w:t xml:space="preserve">některým soudním sporům, které jsou časově i finančně náročné. </w:t>
      </w:r>
      <w:r w:rsidR="00A376D1">
        <w:t xml:space="preserve">Přes výše uvedená fakta </w:t>
      </w:r>
      <w:r w:rsidR="00F730FA">
        <w:t>si tro</w:t>
      </w:r>
      <w:r w:rsidR="00331EEF">
        <w:t>ufám tvrdit, že i zde je účast veřejnosti</w:t>
      </w:r>
      <w:r w:rsidR="00F730FA">
        <w:t xml:space="preserve"> zaručena jak z formálního, tak z materiálního hlediska. </w:t>
      </w:r>
    </w:p>
    <w:p w:rsidR="0009207D" w:rsidRDefault="005439DC" w:rsidP="007C23D5">
      <w:pPr>
        <w:ind w:firstLine="708"/>
      </w:pPr>
      <w:r>
        <w:t xml:space="preserve">Jiná situace ale nastává u přístupu k soudní ochraně. </w:t>
      </w:r>
      <w:r w:rsidR="00913526">
        <w:t>Vzhledem k aplikaci Plaumannova testu nejsou environmentální NGO, případně jednotlivé osoby, schopny napadnout rozhodnutí unijních orgánů u Evropského soudního dvora.</w:t>
      </w:r>
      <w:r w:rsidR="00331B58">
        <w:t xml:space="preserve"> Důvody uváděné zastánci Plaumannova testu – především důvod, že by došlo k hromadnému podávání žalob už k tak přetíženému evropskému soudnímu dvoru, jsou podle mě nesprávné. Není možné odstřihnout dotčenou veřejnost od opravného prostředku z důvodu, že by jeho využívání bylo spojeno s obtížemi, zvláště když jiná varianta nápravy neexistuje. Ta</w:t>
      </w:r>
      <w:r w:rsidR="007B4D79">
        <w:t>ké</w:t>
      </w:r>
      <w:r w:rsidR="00331B58">
        <w:t xml:space="preserve"> to není příliš pozitivní signál pro samotné unijní orgány, které v těchto případech mohou spoléhat na to, že pokud se jim podaří vypořádat </w:t>
      </w:r>
      <w:r w:rsidR="007B4D79">
        <w:t xml:space="preserve">se </w:t>
      </w:r>
      <w:r w:rsidR="00331B58">
        <w:t>s připomínkami těch</w:t>
      </w:r>
      <w:r w:rsidR="007B4D79">
        <w:t>,</w:t>
      </w:r>
      <w:r w:rsidR="00331B58">
        <w:t xml:space="preserve"> jimž je rozhodnutí určeno, tak se nemusí obávat </w:t>
      </w:r>
      <w:r w:rsidR="00331B58">
        <w:lastRenderedPageBreak/>
        <w:t xml:space="preserve">zásahů dotčené veřejnosti. Ochrana v rámci správního řízení probíhá v rámci vnitřního přezkumu u téhož orgánu a soudní ochrana je Plaumannovým testem prakticky vyloučena. </w:t>
      </w:r>
    </w:p>
    <w:p w:rsidR="002D24D4" w:rsidRDefault="005439DC" w:rsidP="002D24D4">
      <w:pPr>
        <w:ind w:firstLine="708"/>
      </w:pPr>
      <w:r>
        <w:t xml:space="preserve">Tímto se </w:t>
      </w:r>
      <w:r w:rsidR="00E606C4">
        <w:t>v oblasti přístupu k právní ochraně</w:t>
      </w:r>
      <w:r w:rsidR="00FE16B3">
        <w:t xml:space="preserve"> </w:t>
      </w:r>
      <w:r>
        <w:t>potvr</w:t>
      </w:r>
      <w:r w:rsidR="00FE16B3">
        <w:t>zuje</w:t>
      </w:r>
      <w:r>
        <w:t xml:space="preserve"> první hypotéza</w:t>
      </w:r>
      <w:r w:rsidR="00E606C4">
        <w:t xml:space="preserve"> práce</w:t>
      </w:r>
      <w:r>
        <w:t>.</w:t>
      </w:r>
      <w:r w:rsidR="00FE16B3">
        <w:t xml:space="preserve"> </w:t>
      </w:r>
      <w:r w:rsidR="00E606C4">
        <w:t>N</w:t>
      </w:r>
      <w:r w:rsidR="00FE16B3">
        <w:t>elze</w:t>
      </w:r>
      <w:r w:rsidR="00E606C4">
        <w:t xml:space="preserve"> také </w:t>
      </w:r>
      <w:r w:rsidR="00FE16B3">
        <w:t>pozorova</w:t>
      </w:r>
      <w:r w:rsidR="002F7107">
        <w:t xml:space="preserve">t posun směrem ke změně </w:t>
      </w:r>
      <w:r w:rsidR="00D70F7D">
        <w:t>v přístupu</w:t>
      </w:r>
      <w:r w:rsidR="00FE16B3">
        <w:t xml:space="preserve"> v této oblasti</w:t>
      </w:r>
      <w:r w:rsidR="007B4D79">
        <w:t>,</w:t>
      </w:r>
      <w:r w:rsidR="00FE16B3">
        <w:t xml:space="preserve"> čímž se vyvrací druhá hypotéza</w:t>
      </w:r>
      <w:r w:rsidR="00AF1FB6">
        <w:t xml:space="preserve"> práce</w:t>
      </w:r>
      <w:r w:rsidR="00FE16B3">
        <w:t>. Odpověď na výzkumnou otázku v této oblasti</w:t>
      </w:r>
      <w:r w:rsidR="007B4D79">
        <w:t xml:space="preserve"> tedy</w:t>
      </w:r>
      <w:r w:rsidR="00FE16B3">
        <w:t xml:space="preserve"> je</w:t>
      </w:r>
      <w:r w:rsidR="007B4D79">
        <w:t>:</w:t>
      </w:r>
      <w:r w:rsidR="00FE16B3">
        <w:t xml:space="preserve"> </w:t>
      </w:r>
      <w:r w:rsidR="0040437F">
        <w:t>„</w:t>
      </w:r>
      <w:r w:rsidR="00FE16B3">
        <w:rPr>
          <w:i/>
        </w:rPr>
        <w:t>Ne.</w:t>
      </w:r>
      <w:r w:rsidR="00FE16B3">
        <w:t xml:space="preserve"> </w:t>
      </w:r>
      <w:r w:rsidR="00FE16B3">
        <w:rPr>
          <w:i/>
        </w:rPr>
        <w:t>N</w:t>
      </w:r>
      <w:r w:rsidR="00FE16B3" w:rsidRPr="00A8129B">
        <w:rPr>
          <w:i/>
        </w:rPr>
        <w:t xml:space="preserve">ejen z materiálního ale i formálního hlediska </w:t>
      </w:r>
      <w:r w:rsidR="00FE16B3">
        <w:rPr>
          <w:i/>
        </w:rPr>
        <w:t xml:space="preserve">je o oblasti přístupu k právní ochraně </w:t>
      </w:r>
      <w:r w:rsidR="00FE16B3" w:rsidRPr="00A8129B">
        <w:rPr>
          <w:i/>
        </w:rPr>
        <w:t>účast veřejnosti tak, jak je předvídána Aarhuskou úmluvou nedostatečná</w:t>
      </w:r>
      <w:r w:rsidR="00FE16B3">
        <w:t>.</w:t>
      </w:r>
      <w:r w:rsidR="0040437F">
        <w:t>“</w:t>
      </w:r>
      <w:r w:rsidR="00FE16B3">
        <w:t xml:space="preserve">  </w:t>
      </w:r>
    </w:p>
    <w:p w:rsidR="007F14A0" w:rsidRDefault="00A8129B" w:rsidP="007C23D5">
      <w:pPr>
        <w:ind w:firstLine="708"/>
      </w:pPr>
      <w:r>
        <w:t xml:space="preserve">I přes </w:t>
      </w:r>
      <w:r w:rsidR="002D24D4">
        <w:t>problémy popsané v práci</w:t>
      </w:r>
      <w:r>
        <w:t xml:space="preserve"> l</w:t>
      </w:r>
      <w:r w:rsidR="00FE16B3">
        <w:t>ze pozorovat jednoznačný posun s</w:t>
      </w:r>
      <w:r>
        <w:t>měrem k zajištění sta</w:t>
      </w:r>
      <w:r w:rsidR="002C01B6">
        <w:t xml:space="preserve">bilní a účinné účasti veřejnosti </w:t>
      </w:r>
      <w:r w:rsidR="00C659D0">
        <w:t>na ochraně životního prostředí v právu</w:t>
      </w:r>
      <w:r w:rsidR="002C01B6">
        <w:t xml:space="preserve"> Evropské unie. Na závěr nezbývá než vyjádřit přání, že to bude právě tento celkový pokrok, který nakonec odstraní překážky, které nyní pro efektivní účast veřejnosti existují.</w:t>
      </w:r>
    </w:p>
    <w:p w:rsidR="002D24D4" w:rsidRDefault="002D24D4" w:rsidP="007C23D5">
      <w:pPr>
        <w:ind w:firstLine="708"/>
      </w:pPr>
    </w:p>
    <w:p w:rsidR="005439DC" w:rsidRDefault="005439DC" w:rsidP="007C23D5">
      <w:pPr>
        <w:ind w:firstLine="708"/>
      </w:pPr>
    </w:p>
    <w:p w:rsidR="00695022" w:rsidRDefault="00695022" w:rsidP="00092F2B">
      <w:r>
        <w:br w:type="page"/>
      </w:r>
    </w:p>
    <w:p w:rsidR="00B76679" w:rsidRDefault="00073EBF" w:rsidP="00267DB0">
      <w:pPr>
        <w:pStyle w:val="Nadpis1"/>
      </w:pPr>
      <w:bookmarkStart w:id="45" w:name="_Toc446336430"/>
      <w:r>
        <w:lastRenderedPageBreak/>
        <w:t>Seznam použitých zdrojů</w:t>
      </w:r>
      <w:bookmarkEnd w:id="45"/>
    </w:p>
    <w:p w:rsidR="00B517B5" w:rsidRPr="000301C5" w:rsidRDefault="00B517B5" w:rsidP="000301C5">
      <w:pPr>
        <w:rPr>
          <w:b/>
          <w:sz w:val="28"/>
          <w:szCs w:val="28"/>
        </w:rPr>
      </w:pPr>
      <w:r w:rsidRPr="000301C5">
        <w:rPr>
          <w:b/>
          <w:sz w:val="28"/>
          <w:szCs w:val="28"/>
        </w:rPr>
        <w:t>Monografie</w:t>
      </w:r>
    </w:p>
    <w:p w:rsidR="001C2983" w:rsidRDefault="001C2983" w:rsidP="001C2983">
      <w:pPr>
        <w:rPr>
          <w:rStyle w:val="A4"/>
          <w:b w:val="0"/>
          <w:sz w:val="24"/>
          <w:szCs w:val="24"/>
        </w:rPr>
      </w:pPr>
      <w:r w:rsidRPr="00FE2652">
        <w:rPr>
          <w:szCs w:val="24"/>
        </w:rPr>
        <w:t xml:space="preserve">ANDRUSEVYCH, Andriy, et al. </w:t>
      </w:r>
      <w:r w:rsidRPr="00FE2652">
        <w:rPr>
          <w:rStyle w:val="A3"/>
          <w:b w:val="0"/>
          <w:i/>
          <w:sz w:val="24"/>
          <w:szCs w:val="24"/>
        </w:rPr>
        <w:t>Case Law of the Aarhus Convention</w:t>
      </w:r>
      <w:r>
        <w:rPr>
          <w:rStyle w:val="A3"/>
          <w:b w:val="0"/>
          <w:i/>
          <w:sz w:val="24"/>
          <w:szCs w:val="24"/>
        </w:rPr>
        <w:t xml:space="preserve"> </w:t>
      </w:r>
      <w:r w:rsidRPr="00FE2652">
        <w:rPr>
          <w:rStyle w:val="A3"/>
          <w:b w:val="0"/>
          <w:i/>
          <w:sz w:val="24"/>
          <w:szCs w:val="24"/>
        </w:rPr>
        <w:t>Compliance Committee</w:t>
      </w:r>
      <w:r w:rsidRPr="00FE2652">
        <w:rPr>
          <w:i/>
          <w:szCs w:val="24"/>
        </w:rPr>
        <w:t xml:space="preserve"> </w:t>
      </w:r>
      <w:r w:rsidRPr="00FE2652">
        <w:rPr>
          <w:rStyle w:val="A4"/>
          <w:b w:val="0"/>
          <w:i/>
          <w:sz w:val="24"/>
          <w:szCs w:val="24"/>
        </w:rPr>
        <w:t>(2004-2011)</w:t>
      </w:r>
      <w:r>
        <w:rPr>
          <w:rStyle w:val="A4"/>
          <w:b w:val="0"/>
          <w:sz w:val="24"/>
          <w:szCs w:val="24"/>
        </w:rPr>
        <w:t>. 2</w:t>
      </w:r>
      <w:r>
        <w:rPr>
          <w:rStyle w:val="A4"/>
          <w:b w:val="0"/>
          <w:sz w:val="24"/>
          <w:szCs w:val="24"/>
          <w:vertAlign w:val="superscript"/>
        </w:rPr>
        <w:t>nd</w:t>
      </w:r>
      <w:r>
        <w:rPr>
          <w:rStyle w:val="A4"/>
          <w:b w:val="0"/>
          <w:sz w:val="24"/>
          <w:szCs w:val="24"/>
        </w:rPr>
        <w:t xml:space="preserve"> edition. Lviv: RASCE. 2011. 212 s.</w:t>
      </w:r>
    </w:p>
    <w:p w:rsidR="001C2983" w:rsidRDefault="001C2983" w:rsidP="001C2983">
      <w:pPr>
        <w:rPr>
          <w:rFonts w:cs="Times New Roman"/>
          <w:shd w:val="clear" w:color="auto" w:fill="FFFFFF"/>
        </w:rPr>
      </w:pPr>
      <w:r w:rsidRPr="00C313F6">
        <w:rPr>
          <w:rFonts w:cs="Times New Roman"/>
          <w:i/>
          <w:iCs/>
          <w:shd w:val="clear" w:color="auto" w:fill="FFFFFF"/>
        </w:rPr>
        <w:t>Aarhus convention: an implementation guide</w:t>
      </w:r>
      <w:r w:rsidRPr="00C313F6">
        <w:rPr>
          <w:rFonts w:cs="Times New Roman"/>
          <w:shd w:val="clear" w:color="auto" w:fill="FFFFFF"/>
        </w:rPr>
        <w:t>. 2</w:t>
      </w:r>
      <w:r w:rsidRPr="00C313F6">
        <w:rPr>
          <w:rFonts w:cs="Times New Roman"/>
          <w:shd w:val="clear" w:color="auto" w:fill="FFFFFF"/>
          <w:vertAlign w:val="superscript"/>
        </w:rPr>
        <w:t>nd</w:t>
      </w:r>
      <w:r w:rsidRPr="00C313F6">
        <w:rPr>
          <w:rFonts w:cs="Times New Roman"/>
          <w:shd w:val="clear" w:color="auto" w:fill="FFFFFF"/>
        </w:rPr>
        <w:t xml:space="preserve"> edition. </w:t>
      </w:r>
      <w:r>
        <w:rPr>
          <w:rFonts w:cs="Times New Roman"/>
          <w:shd w:val="clear" w:color="auto" w:fill="FFFFFF"/>
        </w:rPr>
        <w:t>United Nations Pubns. 2014. 281 s.</w:t>
      </w:r>
    </w:p>
    <w:p w:rsidR="001C2983" w:rsidRDefault="001C2983" w:rsidP="001C2983">
      <w:r>
        <w:rPr>
          <w:shd w:val="clear" w:color="auto" w:fill="FFFFFF"/>
        </w:rPr>
        <w:t xml:space="preserve">EEA. </w:t>
      </w:r>
      <w:r w:rsidRPr="007B4876">
        <w:rPr>
          <w:i/>
        </w:rPr>
        <w:t>The European environment — state and outlook 2015: synthesis report.</w:t>
      </w:r>
      <w:r>
        <w:t xml:space="preserve"> European Environment Agency, 2015. Copenhagen.</w:t>
      </w:r>
    </w:p>
    <w:p w:rsidR="001C2983" w:rsidRDefault="001C2983" w:rsidP="001C2983">
      <w:r>
        <w:t xml:space="preserve">FUCHS, Jiří. </w:t>
      </w:r>
      <w:r>
        <w:rPr>
          <w:i/>
        </w:rPr>
        <w:t>Evropské správní právo</w:t>
      </w:r>
      <w:r>
        <w:t>. 1. vydání. Praha: Vysoká škola finanční a správní, 2012. 72 s.</w:t>
      </w:r>
    </w:p>
    <w:p w:rsidR="001C2983" w:rsidRDefault="001C2983" w:rsidP="001C2983">
      <w:r>
        <w:t xml:space="preserve">HENDRYCH, Dušan a kol. </w:t>
      </w:r>
      <w:r>
        <w:rPr>
          <w:i/>
        </w:rPr>
        <w:t>Správní právo</w:t>
      </w:r>
      <w:r w:rsidRPr="00630006">
        <w:rPr>
          <w:i/>
        </w:rPr>
        <w:t>.</w:t>
      </w:r>
      <w:r>
        <w:rPr>
          <w:i/>
        </w:rPr>
        <w:t xml:space="preserve"> Obecná část. </w:t>
      </w:r>
      <w:r>
        <w:t>7. vydání. Praha: C. H. Beck. 2009. 875 s.</w:t>
      </w:r>
    </w:p>
    <w:p w:rsidR="001C2983" w:rsidRDefault="001C2983" w:rsidP="001C2983">
      <w:r>
        <w:t xml:space="preserve">KINGSTON Susane (ed.) </w:t>
      </w:r>
      <w:r w:rsidRPr="007278A3">
        <w:rPr>
          <w:i/>
        </w:rPr>
        <w:t>European perspective on environmental law and governance</w:t>
      </w:r>
      <w:r>
        <w:t>. London: Routledge, 2014. 236 s.</w:t>
      </w:r>
    </w:p>
    <w:p w:rsidR="001C2983" w:rsidRDefault="001C2983" w:rsidP="001C2983">
      <w:r>
        <w:t xml:space="preserve">KLÍMA, Karel a kol. </w:t>
      </w:r>
      <w:r>
        <w:rPr>
          <w:i/>
        </w:rPr>
        <w:t>Evropské právo</w:t>
      </w:r>
      <w:r>
        <w:t>. 1. vydání. Plzeň: Aleš Čeněk, 2011. 579 s.</w:t>
      </w:r>
    </w:p>
    <w:p w:rsidR="001C2983" w:rsidRDefault="001C2983" w:rsidP="001C2983">
      <w:r>
        <w:t xml:space="preserve">KOŠIČIAROVÁ, Soňa. </w:t>
      </w:r>
      <w:r w:rsidRPr="00C72AC4">
        <w:rPr>
          <w:i/>
        </w:rPr>
        <w:t>EC Environmental law</w:t>
      </w:r>
      <w:r>
        <w:t>. Plzeň: Aleš Čeněk, 2009. 223 s.</w:t>
      </w:r>
    </w:p>
    <w:p w:rsidR="001C2983" w:rsidRPr="0059025A" w:rsidRDefault="001C2983" w:rsidP="001C2983">
      <w:r>
        <w:t xml:space="preserve">KRÄMER, Ludwig. </w:t>
      </w:r>
      <w:r w:rsidRPr="005A5322">
        <w:rPr>
          <w:i/>
        </w:rPr>
        <w:t>EU Environmental law</w:t>
      </w:r>
      <w:r>
        <w:t>. 7</w:t>
      </w:r>
      <w:r>
        <w:rPr>
          <w:vertAlign w:val="superscript"/>
        </w:rPr>
        <w:t>th</w:t>
      </w:r>
      <w:r>
        <w:t xml:space="preserve"> edition. London: Sweet &amp; Maxwell, 2011, 465 s. </w:t>
      </w:r>
      <w:r w:rsidRPr="0059025A">
        <w:t>ISBN: 978-0-41404-299-5</w:t>
      </w:r>
    </w:p>
    <w:p w:rsidR="00272263" w:rsidRPr="0059025A" w:rsidRDefault="001C2983" w:rsidP="00B517B5">
      <w:pPr>
        <w:rPr>
          <w:rFonts w:cs="Verdana"/>
          <w:sz w:val="20"/>
          <w:szCs w:val="20"/>
          <w:u w:val="single"/>
        </w:rPr>
      </w:pPr>
      <w:r w:rsidRPr="0059025A">
        <w:t xml:space="preserve">LABAYLE, H. </w:t>
      </w:r>
      <w:r w:rsidRPr="0059025A">
        <w:rPr>
          <w:i/>
        </w:rPr>
        <w:t>Openness, transparency and access to documents and information in the European U</w:t>
      </w:r>
      <w:r w:rsidRPr="0059025A">
        <w:t xml:space="preserve"> Dostupné z: </w:t>
      </w:r>
      <w:hyperlink r:id="rId9" w:history="1">
        <w:r w:rsidRPr="0059025A">
          <w:rPr>
            <w:rStyle w:val="Hypertextovodkaz"/>
            <w:color w:val="auto"/>
          </w:rPr>
          <w:t>http://www.europarl.europa.eu/studies</w:t>
        </w:r>
      </w:hyperlink>
      <w:r w:rsidR="00272263" w:rsidRPr="0059025A">
        <w:rPr>
          <w:rFonts w:cs="Verdana"/>
          <w:sz w:val="20"/>
          <w:szCs w:val="20"/>
          <w:u w:val="single"/>
        </w:rPr>
        <w:t xml:space="preserve"> </w:t>
      </w:r>
    </w:p>
    <w:p w:rsidR="004873DC" w:rsidRDefault="004873DC" w:rsidP="00B517B5">
      <w:r>
        <w:t xml:space="preserve">POMAHAČ, Richard, HANDRLICA, Jakub. </w:t>
      </w:r>
      <w:r>
        <w:rPr>
          <w:i/>
        </w:rPr>
        <w:t>Evropské správní právo</w:t>
      </w:r>
      <w:r>
        <w:t>. 1. vydání. Praha: C. H. Beck</w:t>
      </w:r>
      <w:r w:rsidR="004404F0">
        <w:t>.</w:t>
      </w:r>
      <w:r>
        <w:t xml:space="preserve"> 2012</w:t>
      </w:r>
      <w:r w:rsidR="00472835">
        <w:t xml:space="preserve">. </w:t>
      </w:r>
      <w:r w:rsidR="004404F0">
        <w:t>169</w:t>
      </w:r>
      <w:r w:rsidR="00472835">
        <w:t xml:space="preserve"> s.</w:t>
      </w:r>
    </w:p>
    <w:p w:rsidR="00272263" w:rsidRPr="00272263" w:rsidRDefault="00272263" w:rsidP="00FE2652">
      <w:pPr>
        <w:rPr>
          <w:szCs w:val="24"/>
          <w:shd w:val="clear" w:color="auto" w:fill="FFFFFF"/>
        </w:rPr>
      </w:pPr>
      <w:r>
        <w:rPr>
          <w:rFonts w:cs="Times New Roman"/>
          <w:szCs w:val="24"/>
          <w:shd w:val="clear" w:color="auto" w:fill="FFFFFF"/>
        </w:rPr>
        <w:t xml:space="preserve">STYLLOVÁ, J. PÍTROVÁ, L. PALDUSOVÁ, H. a kol. </w:t>
      </w:r>
      <w:r w:rsidRPr="001B1D35">
        <w:rPr>
          <w:rFonts w:cs="Times New Roman"/>
          <w:i/>
          <w:szCs w:val="24"/>
          <w:shd w:val="clear" w:color="auto" w:fill="FFFFFF"/>
        </w:rPr>
        <w:t>Lisabonská smlouva. Komentář.</w:t>
      </w:r>
      <w:r>
        <w:rPr>
          <w:rFonts w:cs="Times New Roman"/>
          <w:szCs w:val="24"/>
          <w:shd w:val="clear" w:color="auto" w:fill="FFFFFF"/>
        </w:rPr>
        <w:t xml:space="preserve"> 1. vydání. Praha: C. H. Beck, 2010. 1344 s. </w:t>
      </w:r>
    </w:p>
    <w:p w:rsidR="00472835" w:rsidRDefault="00472835" w:rsidP="00FE2652">
      <w:pPr>
        <w:rPr>
          <w:rFonts w:cs="Times New Roman"/>
          <w:shd w:val="clear" w:color="auto" w:fill="FFFFFF"/>
        </w:rPr>
      </w:pPr>
      <w:r>
        <w:rPr>
          <w:rFonts w:cs="Times New Roman"/>
          <w:shd w:val="clear" w:color="auto" w:fill="FFFFFF"/>
        </w:rPr>
        <w:t xml:space="preserve">TOMÁŠEK, Michal a kol. </w:t>
      </w:r>
      <w:r w:rsidRPr="00472835">
        <w:rPr>
          <w:rFonts w:cs="Times New Roman"/>
          <w:i/>
          <w:shd w:val="clear" w:color="auto" w:fill="FFFFFF"/>
        </w:rPr>
        <w:t>Právo Evropské unie</w:t>
      </w:r>
      <w:r>
        <w:rPr>
          <w:rFonts w:cs="Times New Roman"/>
          <w:shd w:val="clear" w:color="auto" w:fill="FFFFFF"/>
        </w:rPr>
        <w:t>. 1. vydání. Praha: Leges, 2013. 496 s.</w:t>
      </w:r>
    </w:p>
    <w:p w:rsidR="00973BB3" w:rsidRPr="0059025A" w:rsidRDefault="00C17CB5" w:rsidP="00FE2652">
      <w:pPr>
        <w:rPr>
          <w:rStyle w:val="A4"/>
          <w:rFonts w:cs="Times New Roman"/>
          <w:b w:val="0"/>
          <w:bCs w:val="0"/>
          <w:color w:val="auto"/>
          <w:sz w:val="24"/>
          <w:szCs w:val="24"/>
          <w:shd w:val="clear" w:color="auto" w:fill="FFFFFF"/>
        </w:rPr>
      </w:pPr>
      <w:r w:rsidRPr="00C17CB5">
        <w:rPr>
          <w:szCs w:val="24"/>
        </w:rPr>
        <w:t>VESELÝ, A. NEKOLA, M.</w:t>
      </w:r>
      <w:r w:rsidRPr="00C17CB5">
        <w:rPr>
          <w:rFonts w:cs="Times New Roman"/>
          <w:i/>
          <w:szCs w:val="24"/>
        </w:rPr>
        <w:t xml:space="preserve"> </w:t>
      </w:r>
      <w:r w:rsidRPr="00C17CB5">
        <w:rPr>
          <w:rFonts w:cs="Times New Roman"/>
          <w:i/>
          <w:szCs w:val="24"/>
          <w:shd w:val="clear" w:color="auto" w:fill="FFFFFF"/>
        </w:rPr>
        <w:t>Analýza a tvorba veřejných politik: přístupy, metody a praxe.</w:t>
      </w:r>
      <w:r w:rsidRPr="00C17CB5">
        <w:rPr>
          <w:rFonts w:cs="Times New Roman"/>
          <w:szCs w:val="24"/>
          <w:shd w:val="clear" w:color="auto" w:fill="FFFFFF"/>
        </w:rPr>
        <w:t xml:space="preserve"> 1. vyd. Praha: Sociologické nakladatelství, 2007. 407 s.</w:t>
      </w:r>
    </w:p>
    <w:p w:rsidR="00FE057C" w:rsidRPr="000301C5" w:rsidRDefault="00D42136" w:rsidP="000301C5">
      <w:pPr>
        <w:rPr>
          <w:b/>
          <w:sz w:val="28"/>
          <w:szCs w:val="28"/>
        </w:rPr>
      </w:pPr>
      <w:r>
        <w:rPr>
          <w:b/>
          <w:sz w:val="28"/>
          <w:szCs w:val="28"/>
        </w:rPr>
        <w:lastRenderedPageBreak/>
        <w:t>Odborné články</w:t>
      </w:r>
    </w:p>
    <w:p w:rsidR="00FE057C" w:rsidRDefault="00FE057C" w:rsidP="00FE057C">
      <w:r>
        <w:t xml:space="preserve">OLIVER, Peter. Access to Information and to Justice in EU Environmental Law: The Aarhus Convention (2013). </w:t>
      </w:r>
      <w:r w:rsidRPr="00FE057C">
        <w:rPr>
          <w:i/>
        </w:rPr>
        <w:t>Fordham International Law Journal</w:t>
      </w:r>
      <w:r>
        <w:t xml:space="preserve">, 2013, Vol. 36, No. 1423. s. 1424 – 1469. </w:t>
      </w:r>
    </w:p>
    <w:p w:rsidR="00CB6E61" w:rsidRDefault="00CB6E61" w:rsidP="00CB6E61">
      <w:r>
        <w:t xml:space="preserve">STEJSKAL, Vojtěch. </w:t>
      </w:r>
      <w:r w:rsidRPr="00CB6E61">
        <w:t>Rozhodnutí o předběžné otázce C-240/09: Lesoochranárske zoskupenie VLK vs. MŽP Slovensko</w:t>
      </w:r>
      <w:r>
        <w:t xml:space="preserve">. </w:t>
      </w:r>
      <w:r w:rsidRPr="00CB6E61">
        <w:rPr>
          <w:i/>
        </w:rPr>
        <w:t>České právo životního prostředí</w:t>
      </w:r>
      <w:r>
        <w:t xml:space="preserve">, 2011, č. 30. s. 87 – 96. ISSN: </w:t>
      </w:r>
      <w:r w:rsidRPr="00CB6E61">
        <w:t>1213-5542</w:t>
      </w:r>
    </w:p>
    <w:p w:rsidR="00D42136" w:rsidRPr="00D42136" w:rsidRDefault="00D42136" w:rsidP="00CB6E61">
      <w:r w:rsidRPr="006F5878">
        <w:t xml:space="preserve">SVOBODOVÁ, Markéta. </w:t>
      </w:r>
      <w:r w:rsidRPr="00CB6E61">
        <w:t xml:space="preserve">Evropská občanská iniciativa jako pokus o přímou demokracii v Evropské unii. </w:t>
      </w:r>
      <w:r w:rsidRPr="006F5878">
        <w:t>ASPI. 20.</w:t>
      </w:r>
      <w:r w:rsidR="0059025A">
        <w:t xml:space="preserve"> </w:t>
      </w:r>
      <w:r w:rsidRPr="006F5878">
        <w:t>6.</w:t>
      </w:r>
      <w:r w:rsidR="0059025A">
        <w:t xml:space="preserve"> </w:t>
      </w:r>
      <w:r w:rsidRPr="006F5878">
        <w:t>2014. Cit. 27.</w:t>
      </w:r>
      <w:r w:rsidR="0059025A">
        <w:t xml:space="preserve"> </w:t>
      </w:r>
      <w:r w:rsidRPr="006F5878">
        <w:t>10.</w:t>
      </w:r>
      <w:r w:rsidR="0059025A">
        <w:t xml:space="preserve"> </w:t>
      </w:r>
      <w:r w:rsidRPr="006F5878">
        <w:t>2015. LIT48571CZ</w:t>
      </w:r>
    </w:p>
    <w:p w:rsidR="000301C5" w:rsidRPr="00B119EF" w:rsidRDefault="00B119EF" w:rsidP="00FE057C">
      <w:pPr>
        <w:rPr>
          <w:i/>
        </w:rPr>
      </w:pPr>
      <w:r>
        <w:t xml:space="preserve">TOMOSZKOVÁ, Veronika. </w:t>
      </w:r>
      <w:r w:rsidRPr="00B119EF">
        <w:t>Annual Conference on European environmental law 2011</w:t>
      </w:r>
      <w:r>
        <w:t xml:space="preserve">. </w:t>
      </w:r>
      <w:r w:rsidRPr="00CB6E61">
        <w:rPr>
          <w:i/>
        </w:rPr>
        <w:t>České právo životního prostředí</w:t>
      </w:r>
      <w:r>
        <w:t xml:space="preserve">, 2011, č. 30. s. 64-70. ISSN: </w:t>
      </w:r>
      <w:r w:rsidRPr="00CB6E61">
        <w:t>1213-5542</w:t>
      </w:r>
    </w:p>
    <w:p w:rsidR="005E1C5C" w:rsidRPr="000301C5" w:rsidRDefault="005E1C5C" w:rsidP="000301C5">
      <w:pPr>
        <w:rPr>
          <w:b/>
          <w:sz w:val="28"/>
          <w:szCs w:val="28"/>
        </w:rPr>
      </w:pPr>
      <w:r w:rsidRPr="000301C5">
        <w:rPr>
          <w:b/>
          <w:sz w:val="28"/>
          <w:szCs w:val="28"/>
        </w:rPr>
        <w:t>Judikáty</w:t>
      </w:r>
    </w:p>
    <w:p w:rsidR="00DA1482" w:rsidRPr="00CC1D32" w:rsidRDefault="007C6D36" w:rsidP="005E1C5C">
      <w:pPr>
        <w:rPr>
          <w:b/>
        </w:rPr>
      </w:pPr>
      <w:r>
        <w:rPr>
          <w:b/>
        </w:rPr>
        <w:t>Soudní dvůr</w:t>
      </w:r>
      <w:r w:rsidR="005E1C5C" w:rsidRPr="00CC1D32">
        <w:rPr>
          <w:b/>
        </w:rPr>
        <w:t xml:space="preserve">: </w:t>
      </w:r>
    </w:p>
    <w:p w:rsidR="005E1C5C" w:rsidRDefault="007C6D36" w:rsidP="005E1C5C">
      <w:r>
        <w:t>Rozsudek</w:t>
      </w:r>
      <w:r w:rsidR="005E1C5C">
        <w:t xml:space="preserve"> ze dne 7. </w:t>
      </w:r>
      <w:r w:rsidR="00D55D90">
        <w:t>února</w:t>
      </w:r>
      <w:r w:rsidR="005E1C5C">
        <w:t xml:space="preserve"> 1985, </w:t>
      </w:r>
      <w:r w:rsidR="005E1C5C" w:rsidRPr="00576499">
        <w:rPr>
          <w:i/>
        </w:rPr>
        <w:t xml:space="preserve">France </w:t>
      </w:r>
      <w:r w:rsidR="00536148">
        <w:rPr>
          <w:i/>
        </w:rPr>
        <w:t>v</w:t>
      </w:r>
      <w:r w:rsidR="005E1C5C" w:rsidRPr="00576499">
        <w:rPr>
          <w:i/>
        </w:rPr>
        <w:t> Association DBHU</w:t>
      </w:r>
      <w:r w:rsidR="005E1C5C">
        <w:t xml:space="preserve">, C-240/83, </w:t>
      </w:r>
      <w:hyperlink r:id="rId10" w:history="1">
        <w:r w:rsidR="005E1C5C" w:rsidRPr="005E1C5C">
          <w:t>CELEX:</w:t>
        </w:r>
        <w:r w:rsidR="00A95519">
          <w:t xml:space="preserve"> </w:t>
        </w:r>
        <w:r w:rsidR="005E1C5C" w:rsidRPr="005E1C5C">
          <w:t>61983CJ0240</w:t>
        </w:r>
      </w:hyperlink>
    </w:p>
    <w:p w:rsidR="003D1279" w:rsidRPr="003D1279" w:rsidRDefault="007C6D36" w:rsidP="005E1C5C">
      <w:r>
        <w:t>Rozsudek</w:t>
      </w:r>
      <w:r w:rsidR="003D1279">
        <w:t xml:space="preserve"> ze dne 18. prosince 2007, </w:t>
      </w:r>
      <w:r w:rsidR="003D1279" w:rsidRPr="003D1279">
        <w:rPr>
          <w:i/>
        </w:rPr>
        <w:t xml:space="preserve">Švédsko v. Komise, </w:t>
      </w:r>
      <w:r w:rsidR="003D1279" w:rsidRPr="003D1279">
        <w:rPr>
          <w:rStyle w:val="apple-converted-space"/>
          <w:rFonts w:ascii="Lucida Sans Unicode" w:hAnsi="Lucida Sans Unicode" w:cs="Lucida Sans Unicode"/>
          <w:b/>
          <w:bCs/>
          <w:i/>
          <w:color w:val="444444"/>
          <w:sz w:val="19"/>
          <w:szCs w:val="19"/>
          <w:bdr w:val="none" w:sz="0" w:space="0" w:color="auto" w:frame="1"/>
          <w:shd w:val="clear" w:color="auto" w:fill="FFFFFF"/>
        </w:rPr>
        <w:t> </w:t>
      </w:r>
      <w:r w:rsidR="003D1279" w:rsidRPr="003D1279">
        <w:t xml:space="preserve">C-64/05 P, </w:t>
      </w:r>
      <w:r w:rsidR="003D1279">
        <w:t>CELEX</w:t>
      </w:r>
      <w:r w:rsidR="003D1279" w:rsidRPr="003D1279">
        <w:t>: 62005CJ0064</w:t>
      </w:r>
    </w:p>
    <w:p w:rsidR="00DA1482" w:rsidRDefault="007C6D36" w:rsidP="005E1C5C">
      <w:r>
        <w:t>Rozsudek</w:t>
      </w:r>
      <w:r w:rsidR="00DA1482">
        <w:t xml:space="preserve"> ze dne 25. dubna 2007, </w:t>
      </w:r>
      <w:r w:rsidR="00DA1482" w:rsidRPr="00A95519">
        <w:rPr>
          <w:i/>
        </w:rPr>
        <w:t>WWF European Policy Programme v. Council of the European Union,</w:t>
      </w:r>
      <w:r w:rsidR="00DA1482">
        <w:t xml:space="preserve"> T-264/04, CELEX: </w:t>
      </w:r>
      <w:r w:rsidR="00DA1482" w:rsidRPr="00DA1482">
        <w:t>62004TJ0264</w:t>
      </w:r>
    </w:p>
    <w:p w:rsidR="00A95519" w:rsidRDefault="007C6D36" w:rsidP="005E1C5C">
      <w:r>
        <w:t>Rozsudek</w:t>
      </w:r>
      <w:r w:rsidR="00A95519">
        <w:t xml:space="preserve"> </w:t>
      </w:r>
      <w:r>
        <w:t xml:space="preserve">Evropského soudního dvora </w:t>
      </w:r>
      <w:r w:rsidR="00A95519">
        <w:t>ze dne 6. prosince 2001,</w:t>
      </w:r>
      <w:r w:rsidR="00A95519" w:rsidRPr="00A95519">
        <w:rPr>
          <w:i/>
        </w:rPr>
        <w:t xml:space="preserve"> Council v Hautala</w:t>
      </w:r>
      <w:r w:rsidR="00A95519">
        <w:t xml:space="preserve">, C-353/99, CELEX: </w:t>
      </w:r>
      <w:r w:rsidR="00A95519" w:rsidRPr="00A95519">
        <w:t>61999CJ0353</w:t>
      </w:r>
    </w:p>
    <w:p w:rsidR="00544E4E" w:rsidRDefault="007C6D36" w:rsidP="005E1C5C">
      <w:r>
        <w:t>Rozsudek</w:t>
      </w:r>
      <w:r w:rsidR="00544E4E">
        <w:t xml:space="preserve"> ze dne 6. prosince 2012, </w:t>
      </w:r>
      <w:r w:rsidR="00544E4E" w:rsidRPr="00544E4E">
        <w:rPr>
          <w:i/>
        </w:rPr>
        <w:t>Evropaïki Dynamiki – Proigmena Systimata Tilepikoinonion Pliroforikis kai Tilematikis AE v. European Commission</w:t>
      </w:r>
      <w:r w:rsidR="00544E4E">
        <w:t xml:space="preserve">, </w:t>
      </w:r>
      <w:r w:rsidR="00544E4E" w:rsidRPr="00544E4E">
        <w:t>T</w:t>
      </w:r>
      <w:r w:rsidR="00544E4E" w:rsidRPr="00544E4E">
        <w:noBreakHyphen/>
        <w:t>167/10</w:t>
      </w:r>
      <w:r w:rsidR="00544E4E">
        <w:t>, CELEX:</w:t>
      </w:r>
      <w:r w:rsidR="00C549FF" w:rsidRPr="00C549FF">
        <w:t xml:space="preserve"> 62010TJ0167</w:t>
      </w:r>
    </w:p>
    <w:p w:rsidR="00C549FF" w:rsidRDefault="00C549FF" w:rsidP="005E1C5C">
      <w:r>
        <w:t>Roz</w:t>
      </w:r>
      <w:r w:rsidR="00E036A9">
        <w:t>sudek</w:t>
      </w:r>
      <w:r>
        <w:t xml:space="preserve"> ze dne 4. května 2012, </w:t>
      </w:r>
      <w:r w:rsidRPr="00C549FF">
        <w:rPr>
          <w:i/>
        </w:rPr>
        <w:t>Sophie In’t Veld v</w:t>
      </w:r>
      <w:r>
        <w:rPr>
          <w:i/>
        </w:rPr>
        <w:t> </w:t>
      </w:r>
      <w:r w:rsidRPr="00C549FF">
        <w:rPr>
          <w:i/>
        </w:rPr>
        <w:t>Council</w:t>
      </w:r>
      <w:r>
        <w:t xml:space="preserve">, T-529/09, CELEX: </w:t>
      </w:r>
      <w:r w:rsidRPr="00C549FF">
        <w:t>62009TJ0529</w:t>
      </w:r>
    </w:p>
    <w:p w:rsidR="00CC1D32" w:rsidRDefault="00457228" w:rsidP="005E1C5C">
      <w:r>
        <w:t>Rozsudek</w:t>
      </w:r>
      <w:r w:rsidR="00CC1D32">
        <w:t xml:space="preserve"> ze dne 20. června 2010, </w:t>
      </w:r>
      <w:r w:rsidR="00CC1D32" w:rsidRPr="00CC1D32">
        <w:rPr>
          <w:i/>
        </w:rPr>
        <w:t>Komise v. The Bavarian Lager Co. Ltd.</w:t>
      </w:r>
      <w:r w:rsidR="00CC1D32">
        <w:t xml:space="preserve">, C-28/08 P, CELEX: </w:t>
      </w:r>
      <w:r w:rsidR="00CC1D32" w:rsidRPr="00CC1D32">
        <w:t>62008CJ0028</w:t>
      </w:r>
      <w:r w:rsidR="00CC1D32">
        <w:t xml:space="preserve"> </w:t>
      </w:r>
    </w:p>
    <w:p w:rsidR="00F90906" w:rsidRDefault="00457228" w:rsidP="005E1C5C">
      <w:r>
        <w:lastRenderedPageBreak/>
        <w:t>Rozsudek</w:t>
      </w:r>
      <w:r w:rsidR="00F90906">
        <w:t xml:space="preserve"> ze dne 22. května 2012, </w:t>
      </w:r>
      <w:r w:rsidR="00F90906" w:rsidRPr="00F90906">
        <w:rPr>
          <w:i/>
        </w:rPr>
        <w:t>Internationaler Hilfsfonds eV v Komise</w:t>
      </w:r>
      <w:r w:rsidR="00F90906">
        <w:t xml:space="preserve">, T-300/10, CELEX: </w:t>
      </w:r>
      <w:r w:rsidR="00F90906" w:rsidRPr="00F90906">
        <w:t>62010TJ0300</w:t>
      </w:r>
    </w:p>
    <w:p w:rsidR="001E79EA" w:rsidRDefault="00457228" w:rsidP="005E1C5C">
      <w:r>
        <w:t>Rozsudek</w:t>
      </w:r>
      <w:r w:rsidR="001E79EA">
        <w:t xml:space="preserve"> ze dne 8. října 2013, </w:t>
      </w:r>
      <w:r w:rsidR="001E79EA" w:rsidRPr="001E79EA">
        <w:rPr>
          <w:i/>
        </w:rPr>
        <w:t>Stichting Greenpeace Nederland v. Pesticide Action Network Europe (PAN Europe)</w:t>
      </w:r>
      <w:r w:rsidR="001E79EA">
        <w:rPr>
          <w:i/>
        </w:rPr>
        <w:t xml:space="preserve">, </w:t>
      </w:r>
      <w:r w:rsidR="001E79EA">
        <w:t xml:space="preserve">T-545/11, CELEX: </w:t>
      </w:r>
      <w:r w:rsidR="001E79EA" w:rsidRPr="001E79EA">
        <w:t>62011TJ0545</w:t>
      </w:r>
    </w:p>
    <w:p w:rsidR="002178D4" w:rsidRDefault="00457228" w:rsidP="002178D4">
      <w:r>
        <w:t xml:space="preserve">Rozsudek </w:t>
      </w:r>
      <w:r w:rsidR="002178D4">
        <w:t xml:space="preserve">ze dne 21. září 2010, ve spojené věci </w:t>
      </w:r>
      <w:r w:rsidR="002178D4" w:rsidRPr="002178D4">
        <w:rPr>
          <w:i/>
        </w:rPr>
        <w:t>Švědsko a další v. API a Komise</w:t>
      </w:r>
      <w:r w:rsidR="002178D4">
        <w:t xml:space="preserve">, C-514/07 P, C-528/07 P a C-532/07 P, CELEX: </w:t>
      </w:r>
      <w:r w:rsidR="002178D4" w:rsidRPr="002178D4">
        <w:t>62007CJ0514</w:t>
      </w:r>
    </w:p>
    <w:p w:rsidR="005A669D" w:rsidRDefault="00457228" w:rsidP="002178D4">
      <w:r>
        <w:t>Rozsudek</w:t>
      </w:r>
      <w:r w:rsidR="005A669D">
        <w:t xml:space="preserve"> </w:t>
      </w:r>
      <w:r>
        <w:t xml:space="preserve">Evropského soudního dvora </w:t>
      </w:r>
      <w:r w:rsidR="005A669D">
        <w:t xml:space="preserve">ze dne </w:t>
      </w:r>
      <w:r w:rsidR="00455B2A">
        <w:t>23. listopadu 2004,</w:t>
      </w:r>
      <w:r w:rsidR="005A669D">
        <w:t xml:space="preserve"> ve věci </w:t>
      </w:r>
      <w:r w:rsidR="005A669D" w:rsidRPr="00455B2A">
        <w:rPr>
          <w:i/>
        </w:rPr>
        <w:t>Turco v. Rada,</w:t>
      </w:r>
      <w:r w:rsidR="005A669D">
        <w:t xml:space="preserve"> T-84/03</w:t>
      </w:r>
      <w:r w:rsidR="00455B2A">
        <w:t xml:space="preserve">, CELEX: </w:t>
      </w:r>
      <w:r w:rsidR="00455B2A" w:rsidRPr="00455B2A">
        <w:t>62003TJ0084</w:t>
      </w:r>
    </w:p>
    <w:p w:rsidR="00704AE7" w:rsidRDefault="00457228" w:rsidP="00704AE7">
      <w:r>
        <w:t>Rozsudek</w:t>
      </w:r>
      <w:r w:rsidR="00704AE7">
        <w:t xml:space="preserve"> ze dne 21. července 2011, ve věci </w:t>
      </w:r>
      <w:r w:rsidR="00704AE7" w:rsidRPr="00704AE7">
        <w:rPr>
          <w:i/>
        </w:rPr>
        <w:t>MyTravel Group plc a Švédské království v.</w:t>
      </w:r>
      <w:r w:rsidR="00704AE7">
        <w:rPr>
          <w:i/>
        </w:rPr>
        <w:t xml:space="preserve"> </w:t>
      </w:r>
      <w:r w:rsidR="00704AE7" w:rsidRPr="00704AE7">
        <w:rPr>
          <w:i/>
        </w:rPr>
        <w:t>Komise</w:t>
      </w:r>
      <w:r w:rsidR="00704AE7">
        <w:t xml:space="preserve">, C-506/08 P, CELEX: </w:t>
      </w:r>
      <w:r w:rsidR="00704AE7" w:rsidRPr="00704AE7">
        <w:t>62008CJ0506</w:t>
      </w:r>
      <w:r w:rsidR="00704AE7">
        <w:t xml:space="preserve"> </w:t>
      </w:r>
    </w:p>
    <w:p w:rsidR="009953FA" w:rsidRDefault="00457228" w:rsidP="00704AE7">
      <w:r>
        <w:t>Rozsudek</w:t>
      </w:r>
      <w:r w:rsidR="009953FA">
        <w:t xml:space="preserve"> ze dne 17. října 2013 ve věci </w:t>
      </w:r>
      <w:r w:rsidR="009953FA" w:rsidRPr="009953FA">
        <w:rPr>
          <w:i/>
        </w:rPr>
        <w:t>Komise v. Acces Info Europe</w:t>
      </w:r>
      <w:r w:rsidR="009953FA">
        <w:t xml:space="preserve">, C-280/11 P, CELEX: </w:t>
      </w:r>
      <w:r w:rsidR="009953FA" w:rsidRPr="009953FA">
        <w:t>62011CJ0280</w:t>
      </w:r>
      <w:r w:rsidR="009953FA">
        <w:t xml:space="preserve"> </w:t>
      </w:r>
    </w:p>
    <w:p w:rsidR="00704AE7" w:rsidRDefault="00457228" w:rsidP="002178D4">
      <w:r>
        <w:t>Rozsudek</w:t>
      </w:r>
      <w:r w:rsidR="00E53D41">
        <w:t xml:space="preserve"> ze dne 21. června 2012 ve věci </w:t>
      </w:r>
      <w:r w:rsidR="00E53D41" w:rsidRPr="00E53D41">
        <w:rPr>
          <w:i/>
        </w:rPr>
        <w:t>IFAW v. Komise</w:t>
      </w:r>
      <w:r w:rsidR="00E53D41">
        <w:t xml:space="preserve">, C-135/11 P, CELEX: </w:t>
      </w:r>
      <w:r w:rsidR="00E53D41" w:rsidRPr="00E53D41">
        <w:t>62011CJ0135</w:t>
      </w:r>
    </w:p>
    <w:p w:rsidR="006271DD" w:rsidRPr="006271DD" w:rsidRDefault="006271DD" w:rsidP="006271DD">
      <w:r w:rsidRPr="006271DD">
        <w:t xml:space="preserve">Usnesení Soudu prvního stupně (třetího senátu) ze dne 23. listopadu 1999 ve věci </w:t>
      </w:r>
      <w:r w:rsidRPr="006271DD">
        <w:rPr>
          <w:i/>
        </w:rPr>
        <w:t>Unión de Pequeños Agricultores (UPA) proti Radě Evropské unie</w:t>
      </w:r>
      <w:r w:rsidRPr="006271DD">
        <w:t>, T-173/98</w:t>
      </w:r>
      <w:r w:rsidR="0034193D">
        <w:t xml:space="preserve">, CELEX: </w:t>
      </w:r>
      <w:r w:rsidR="0034193D" w:rsidRPr="0034193D">
        <w:t>61998TO0173</w:t>
      </w:r>
    </w:p>
    <w:p w:rsidR="0005080D" w:rsidRDefault="00457228" w:rsidP="002178D4">
      <w:r>
        <w:t xml:space="preserve">Rozsudek Evropského soudního dvora </w:t>
      </w:r>
      <w:r w:rsidR="0005080D">
        <w:t xml:space="preserve">ze dne 25. července 2002 ve věci </w:t>
      </w:r>
      <w:r w:rsidR="0005080D" w:rsidRPr="0005080D">
        <w:rPr>
          <w:i/>
        </w:rPr>
        <w:t>UPA v. Rada</w:t>
      </w:r>
      <w:r w:rsidR="0005080D">
        <w:t xml:space="preserve">, C-50/00, CELEX: </w:t>
      </w:r>
      <w:r w:rsidR="0005080D" w:rsidRPr="0005080D">
        <w:t>62000CJ0050</w:t>
      </w:r>
    </w:p>
    <w:p w:rsidR="00B40109" w:rsidRDefault="00457228" w:rsidP="002178D4">
      <w:r>
        <w:t xml:space="preserve">Rozsudek Evropského soudního dvora </w:t>
      </w:r>
      <w:r w:rsidR="001B081B">
        <w:t xml:space="preserve">ze dne 9. srpna 1995 ve věci </w:t>
      </w:r>
      <w:r w:rsidR="001B081B" w:rsidRPr="00B25AB0">
        <w:rPr>
          <w:i/>
        </w:rPr>
        <w:t>Stichting Greenpeace Council and Others v</w:t>
      </w:r>
      <w:r w:rsidR="001B081B">
        <w:rPr>
          <w:i/>
        </w:rPr>
        <w:t> </w:t>
      </w:r>
      <w:r w:rsidR="001B081B" w:rsidRPr="00B25AB0">
        <w:rPr>
          <w:i/>
        </w:rPr>
        <w:t>Commission</w:t>
      </w:r>
      <w:r w:rsidR="001B081B">
        <w:t xml:space="preserve">, </w:t>
      </w:r>
      <w:r w:rsidR="00B40109">
        <w:t>T-585/93</w:t>
      </w:r>
      <w:r w:rsidR="001B081B">
        <w:t xml:space="preserve">, CELEX: </w:t>
      </w:r>
      <w:r w:rsidR="001B081B" w:rsidRPr="001B081B">
        <w:t>61993TO0585</w:t>
      </w:r>
      <w:r w:rsidR="00B40109">
        <w:t xml:space="preserve"> </w:t>
      </w:r>
    </w:p>
    <w:p w:rsidR="00C96627" w:rsidRDefault="00457228" w:rsidP="001B081B">
      <w:r>
        <w:t xml:space="preserve">Rozsudek Evropského soudního dvora </w:t>
      </w:r>
      <w:r w:rsidR="001B081B">
        <w:t>ze dne 3. května 2002</w:t>
      </w:r>
      <w:r w:rsidR="00C96627">
        <w:t>,</w:t>
      </w:r>
      <w:r w:rsidR="001B081B">
        <w:t xml:space="preserve"> </w:t>
      </w:r>
      <w:r w:rsidR="001B081B" w:rsidRPr="001B081B">
        <w:rPr>
          <w:i/>
        </w:rPr>
        <w:t>Jégo-Quéré et Cie SA v Commission</w:t>
      </w:r>
      <w:r w:rsidR="001B081B">
        <w:t>, T</w:t>
      </w:r>
      <w:r w:rsidR="00C96627">
        <w:t>-177/01</w:t>
      </w:r>
      <w:r>
        <w:t xml:space="preserve">, CELEX: </w:t>
      </w:r>
      <w:r w:rsidRPr="00457228">
        <w:t>62001TJ0177</w:t>
      </w:r>
    </w:p>
    <w:p w:rsidR="001B081B" w:rsidRDefault="00457228" w:rsidP="001B081B">
      <w:r>
        <w:t>Rozsudek</w:t>
      </w:r>
      <w:r w:rsidR="00C96627">
        <w:t xml:space="preserve"> ze dne 1. dubna 2004, </w:t>
      </w:r>
      <w:r w:rsidR="001B081B" w:rsidRPr="00C96627">
        <w:rPr>
          <w:i/>
        </w:rPr>
        <w:t>Commission v Jégo-Quéré &amp; Cie SA</w:t>
      </w:r>
      <w:r w:rsidR="001B081B">
        <w:t xml:space="preserve">, C-263/02P, </w:t>
      </w:r>
      <w:r w:rsidR="00C96627">
        <w:t xml:space="preserve">CELEX: </w:t>
      </w:r>
      <w:r w:rsidR="00C96627" w:rsidRPr="00C96627">
        <w:t>62002CJ0263</w:t>
      </w:r>
    </w:p>
    <w:p w:rsidR="000850E1" w:rsidRDefault="000850E1" w:rsidP="001B081B">
      <w:r>
        <w:t xml:space="preserve">Rozsudek ze dne 15. července 1953 </w:t>
      </w:r>
      <w:r w:rsidRPr="000850E1">
        <w:rPr>
          <w:i/>
        </w:rPr>
        <w:t>Plaumann &amp; Co. v Komise</w:t>
      </w:r>
      <w:r>
        <w:t>, věc 25/62</w:t>
      </w:r>
      <w:r w:rsidR="0034193D">
        <w:t xml:space="preserve">, CELEX: </w:t>
      </w:r>
      <w:r w:rsidR="0034193D" w:rsidRPr="0034193D">
        <w:t>61962CJ0025</w:t>
      </w:r>
    </w:p>
    <w:p w:rsidR="001B081B" w:rsidRDefault="00457228" w:rsidP="001B081B">
      <w:r>
        <w:lastRenderedPageBreak/>
        <w:t>Rozsudek</w:t>
      </w:r>
      <w:r w:rsidR="00C96627">
        <w:t xml:space="preserve"> ze dne 28. listopadu 2005, </w:t>
      </w:r>
      <w:r w:rsidR="001B081B" w:rsidRPr="00C96627">
        <w:rPr>
          <w:i/>
        </w:rPr>
        <w:t>EEB and Stichting Natuur en Milieu v Commission</w:t>
      </w:r>
      <w:r w:rsidR="001B081B">
        <w:t xml:space="preserve">, T-236/04, </w:t>
      </w:r>
      <w:r w:rsidR="00C96627">
        <w:t>CELEX:</w:t>
      </w:r>
      <w:r w:rsidR="00C96627" w:rsidRPr="00C96627">
        <w:t xml:space="preserve"> 62004TO0236</w:t>
      </w:r>
    </w:p>
    <w:p w:rsidR="006271DD" w:rsidRDefault="006271DD" w:rsidP="001B081B">
      <w:r>
        <w:t xml:space="preserve">Rozsudek ze dne 2. června 2008, </w:t>
      </w:r>
      <w:r w:rsidRPr="006271DD">
        <w:rPr>
          <w:i/>
        </w:rPr>
        <w:t>WWF-UK Ltd v Council of the European Union</w:t>
      </w:r>
      <w:r>
        <w:t>, T-91/07, CELEX:</w:t>
      </w:r>
      <w:r w:rsidR="0034193D">
        <w:t xml:space="preserve"> </w:t>
      </w:r>
      <w:r w:rsidR="0034193D" w:rsidRPr="0034193D">
        <w:t>62007TO0091</w:t>
      </w:r>
    </w:p>
    <w:p w:rsidR="001B081B" w:rsidRDefault="0034193D" w:rsidP="0034193D">
      <w:r w:rsidRPr="0034193D">
        <w:t>Rozsudek</w:t>
      </w:r>
      <w:r>
        <w:t xml:space="preserve"> ze dne 3. října 2013, </w:t>
      </w:r>
      <w:r w:rsidRPr="0034193D">
        <w:rPr>
          <w:i/>
        </w:rPr>
        <w:t>Inuit Tapiriit Kanatami a další v. Evropský parlament, Rada Evropské unie, Nizozemské království, Evropská komise</w:t>
      </w:r>
      <w:r>
        <w:t xml:space="preserve">, C-583/11 P, CELEX: </w:t>
      </w:r>
      <w:r w:rsidRPr="0034193D">
        <w:t>CELEX:62011CA0583</w:t>
      </w:r>
    </w:p>
    <w:p w:rsidR="004B4DE2" w:rsidRPr="0034193D" w:rsidRDefault="004B4DE2" w:rsidP="0034193D">
      <w:r>
        <w:t xml:space="preserve">Rozhodnutí ze dne 8. března 2011 ve </w:t>
      </w:r>
      <w:r w:rsidRPr="003D1279">
        <w:t>věci  </w:t>
      </w:r>
      <w:r w:rsidRPr="004B4DE2">
        <w:t>Lesoochranárske zoskupenie VLK vs. Ministerstvo životného prostredia Slovenskej republiky,</w:t>
      </w:r>
      <w:r>
        <w:t xml:space="preserve"> </w:t>
      </w:r>
      <w:r>
        <w:rPr>
          <w:rStyle w:val="apple-converted-space"/>
          <w:rFonts w:ascii="Lucida Sans Unicode" w:hAnsi="Lucida Sans Unicode" w:cs="Lucida Sans Unicode"/>
          <w:b/>
          <w:bCs/>
          <w:color w:val="444444"/>
          <w:sz w:val="19"/>
          <w:szCs w:val="19"/>
          <w:bdr w:val="none" w:sz="0" w:space="0" w:color="auto" w:frame="1"/>
          <w:shd w:val="clear" w:color="auto" w:fill="FFFFFF"/>
        </w:rPr>
        <w:t> </w:t>
      </w:r>
      <w:r>
        <w:t xml:space="preserve">C-240/09,  CELEX: </w:t>
      </w:r>
      <w:r w:rsidRPr="004B4DE2">
        <w:t>62009CJ0240</w:t>
      </w:r>
    </w:p>
    <w:p w:rsidR="002178D4" w:rsidRDefault="006C2C30" w:rsidP="005E1C5C">
      <w:pPr>
        <w:rPr>
          <w:b/>
        </w:rPr>
      </w:pPr>
      <w:r>
        <w:rPr>
          <w:b/>
        </w:rPr>
        <w:t>Výbor pro dodržování Aarhuské úmluvy</w:t>
      </w:r>
    </w:p>
    <w:p w:rsidR="00DC3419" w:rsidRDefault="00DC3419" w:rsidP="00DC3419">
      <w:r>
        <w:t>Belgium ACCC/2005/11; ECE/MP.PP/C.1/2006/4/Add.2, 28 July 2006</w:t>
      </w:r>
    </w:p>
    <w:p w:rsidR="00A078EC" w:rsidRDefault="00A078EC" w:rsidP="00DC3419">
      <w:pPr>
        <w:rPr>
          <w:rFonts w:cs="Book Antiqua"/>
          <w:iCs/>
          <w:color w:val="000000"/>
          <w:szCs w:val="24"/>
        </w:rPr>
      </w:pPr>
      <w:r w:rsidRPr="00A078EC">
        <w:rPr>
          <w:rFonts w:cs="Book Antiqua"/>
          <w:iCs/>
          <w:color w:val="000000"/>
          <w:szCs w:val="24"/>
        </w:rPr>
        <w:t>European Union</w:t>
      </w:r>
      <w:r w:rsidRPr="00A078EC">
        <w:rPr>
          <w:rFonts w:cs="Book Antiqua"/>
          <w:i/>
          <w:iCs/>
          <w:color w:val="000000"/>
          <w:szCs w:val="24"/>
        </w:rPr>
        <w:t xml:space="preserve"> </w:t>
      </w:r>
      <w:r w:rsidRPr="00A078EC">
        <w:rPr>
          <w:rFonts w:cs="Book Antiqua"/>
          <w:iCs/>
          <w:color w:val="000000"/>
          <w:szCs w:val="24"/>
        </w:rPr>
        <w:t>ACCC/C/2008/32 (Part I), ECE/MP.PP/C.1/2011/4/Add.1, May 2011</w:t>
      </w:r>
    </w:p>
    <w:p w:rsidR="00AE011A" w:rsidRDefault="00AE011A" w:rsidP="00DC3419">
      <w:pPr>
        <w:rPr>
          <w:rFonts w:cs="Book Antiqua"/>
          <w:iCs/>
          <w:color w:val="000000"/>
        </w:rPr>
      </w:pPr>
      <w:r>
        <w:rPr>
          <w:rFonts w:cs="Book Antiqua"/>
          <w:iCs/>
          <w:color w:val="000000"/>
          <w:szCs w:val="24"/>
        </w:rPr>
        <w:t xml:space="preserve">Spain </w:t>
      </w:r>
      <w:r>
        <w:t xml:space="preserve">ACCC/C/2008/24 </w:t>
      </w:r>
      <w:r w:rsidRPr="00AE011A">
        <w:rPr>
          <w:rFonts w:cs="Book Antiqua"/>
          <w:iCs/>
          <w:color w:val="000000"/>
        </w:rPr>
        <w:t>ECE/MP.PP/C.1/2009/8/Ad</w:t>
      </w:r>
      <w:r>
        <w:rPr>
          <w:rFonts w:cs="Book Antiqua"/>
          <w:iCs/>
          <w:color w:val="000000"/>
        </w:rPr>
        <w:t>d.1, 30 September 2010</w:t>
      </w:r>
    </w:p>
    <w:p w:rsidR="00066110" w:rsidRDefault="00066110" w:rsidP="00066110">
      <w:r>
        <w:t>Spain ACCC/C/2009/36, ECE/MP.PP/C.1/2010/4/Add.2, 08 February 20</w:t>
      </w:r>
    </w:p>
    <w:p w:rsidR="00DC5475" w:rsidRDefault="00DC5475" w:rsidP="00DC5475">
      <w:r>
        <w:t>United Kingdom ACCC/C/2010/52, ECE/MP.PP/C.1/2010/8, 14 February 2011</w:t>
      </w:r>
    </w:p>
    <w:p w:rsidR="00840DF7" w:rsidRDefault="00840DF7" w:rsidP="00840DF7">
      <w:r>
        <w:t>Ukraine ACCC/C/2004/3 and ACCC/S/2004/1; ECE/MP.PP/C.1/2005/2/Add.3, 14 March 2005</w:t>
      </w:r>
    </w:p>
    <w:p w:rsidR="00C954B5" w:rsidRDefault="00840DF7" w:rsidP="00840DF7">
      <w:pPr>
        <w:rPr>
          <w:rFonts w:cs="Book Antiqua"/>
          <w:iCs/>
          <w:color w:val="000000"/>
        </w:rPr>
      </w:pPr>
      <w:r w:rsidRPr="00840DF7">
        <w:rPr>
          <w:rFonts w:cs="Book Antiqua"/>
          <w:iCs/>
          <w:color w:val="000000"/>
        </w:rPr>
        <w:t>United Kingdom</w:t>
      </w:r>
      <w:r w:rsidRPr="003667C6">
        <w:rPr>
          <w:rFonts w:cs="Book Antiqua"/>
          <w:i/>
          <w:iCs/>
          <w:color w:val="000000"/>
        </w:rPr>
        <w:t xml:space="preserve"> </w:t>
      </w:r>
      <w:r w:rsidRPr="00C954B5">
        <w:rPr>
          <w:rFonts w:cs="Book Antiqua"/>
          <w:iCs/>
          <w:color w:val="000000"/>
        </w:rPr>
        <w:t>ACCC/C/2008/27, ECE/MP.PP</w:t>
      </w:r>
      <w:r w:rsidR="00C954B5" w:rsidRPr="00C954B5">
        <w:rPr>
          <w:rFonts w:cs="Book Antiqua"/>
          <w:iCs/>
          <w:color w:val="000000"/>
        </w:rPr>
        <w:t>/C.1/2010/6/Add.2, November 2011</w:t>
      </w:r>
    </w:p>
    <w:p w:rsidR="00AE011A" w:rsidRPr="00A078EC" w:rsidRDefault="003D10BC" w:rsidP="003D10BC">
      <w:pPr>
        <w:rPr>
          <w:b/>
          <w:szCs w:val="24"/>
        </w:rPr>
      </w:pPr>
      <w:r>
        <w:t>Kazakhstan ACCC/C/2004/1; ECE/MP.PP/C.1/2005/2/Add.1, 11 March 2005</w:t>
      </w:r>
    </w:p>
    <w:p w:rsidR="00073EBF" w:rsidRPr="000301C5" w:rsidRDefault="00EB6E74" w:rsidP="000301C5">
      <w:pPr>
        <w:rPr>
          <w:b/>
          <w:sz w:val="28"/>
          <w:szCs w:val="28"/>
        </w:rPr>
      </w:pPr>
      <w:r w:rsidRPr="000301C5">
        <w:rPr>
          <w:b/>
          <w:sz w:val="28"/>
          <w:szCs w:val="28"/>
        </w:rPr>
        <w:t>Internetové zdroje</w:t>
      </w:r>
    </w:p>
    <w:p w:rsidR="00EB6E74" w:rsidRPr="006F5878" w:rsidRDefault="000D18AA" w:rsidP="00EB6E74">
      <w:hyperlink r:id="rId11" w:history="1">
        <w:r w:rsidR="006E68BE" w:rsidRPr="006F5878">
          <w:rPr>
            <w:rStyle w:val="Hypertextovodkaz"/>
            <w:color w:val="auto"/>
          </w:rPr>
          <w:t>http://europa.eu</w:t>
        </w:r>
      </w:hyperlink>
      <w:r w:rsidR="00EB6E74" w:rsidRPr="006F5878">
        <w:t xml:space="preserve"> </w:t>
      </w:r>
      <w:r w:rsidR="006E68BE" w:rsidRPr="006F5878">
        <w:t xml:space="preserve"> </w:t>
      </w:r>
    </w:p>
    <w:p w:rsidR="006F5878" w:rsidRPr="006F5878" w:rsidRDefault="000D18AA" w:rsidP="00EB6E74">
      <w:pPr>
        <w:rPr>
          <w:szCs w:val="24"/>
        </w:rPr>
      </w:pPr>
      <w:hyperlink r:id="rId12" w:history="1">
        <w:r w:rsidR="006F5878" w:rsidRPr="006F5878">
          <w:rPr>
            <w:rStyle w:val="Hypertextovodkaz"/>
            <w:rFonts w:cs="Verdana"/>
            <w:color w:val="auto"/>
            <w:szCs w:val="24"/>
          </w:rPr>
          <w:t>http://www.europarl.europa.eu/studies</w:t>
        </w:r>
      </w:hyperlink>
      <w:r w:rsidR="006F5878" w:rsidRPr="006F5878">
        <w:rPr>
          <w:szCs w:val="24"/>
        </w:rPr>
        <w:t xml:space="preserve"> </w:t>
      </w:r>
    </w:p>
    <w:p w:rsidR="006F5878" w:rsidRPr="006F5878" w:rsidRDefault="000D18AA" w:rsidP="00EB6E74">
      <w:pPr>
        <w:rPr>
          <w:rFonts w:cs="Verdana"/>
        </w:rPr>
      </w:pPr>
      <w:hyperlink r:id="rId13" w:history="1">
        <w:r w:rsidR="006F5878" w:rsidRPr="006F5878">
          <w:rPr>
            <w:rStyle w:val="Hypertextovodkaz"/>
            <w:color w:val="auto"/>
          </w:rPr>
          <w:t>http://ec.europa.eu/yourvoice/index_cs.htm</w:t>
        </w:r>
      </w:hyperlink>
    </w:p>
    <w:p w:rsidR="002205AC" w:rsidRPr="006F5878" w:rsidRDefault="002205AC" w:rsidP="00EB6E74">
      <w:pPr>
        <w:rPr>
          <w:rFonts w:cs="Verdana"/>
        </w:rPr>
      </w:pPr>
      <w:r w:rsidRPr="006F5878">
        <w:rPr>
          <w:rFonts w:cs="Verdana"/>
        </w:rPr>
        <w:lastRenderedPageBreak/>
        <w:t xml:space="preserve">O'NEILL, B., LIVINGSTONE, S., McLAUGHLIN, S. COM(2007) 185, Zelená kniha: </w:t>
      </w:r>
      <w:r w:rsidRPr="006F5878">
        <w:t>Přístup veřejnosti k dokumentům orgánů Evropského společenství, Přezkum</w:t>
      </w:r>
      <w:r w:rsidR="0059025A">
        <w:rPr>
          <w:rFonts w:cs="Verdana"/>
        </w:rPr>
        <w:t>. D</w:t>
      </w:r>
      <w:r w:rsidRPr="006F5878">
        <w:rPr>
          <w:rFonts w:cs="Verdana"/>
        </w:rPr>
        <w:t xml:space="preserve">ostupné z: </w:t>
      </w:r>
      <w:hyperlink r:id="rId14" w:history="1">
        <w:r w:rsidRPr="006F5878">
          <w:rPr>
            <w:rStyle w:val="Hypertextovodkaz"/>
            <w:rFonts w:cs="Verdana"/>
            <w:color w:val="auto"/>
          </w:rPr>
          <w:t>http://eur-lex.europa.eu/</w:t>
        </w:r>
      </w:hyperlink>
      <w:r w:rsidRPr="006F5878">
        <w:rPr>
          <w:rFonts w:cs="Verdana"/>
        </w:rPr>
        <w:t xml:space="preserve"> </w:t>
      </w:r>
    </w:p>
    <w:p w:rsidR="006C6CC2" w:rsidRPr="006F5878" w:rsidRDefault="00CA3FC7" w:rsidP="00621F7A">
      <w:r w:rsidRPr="006F5878">
        <w:t xml:space="preserve">SVOBODOVÁ, Markéta. </w:t>
      </w:r>
      <w:r w:rsidRPr="006F5878">
        <w:rPr>
          <w:i/>
        </w:rPr>
        <w:t>Evropská občanská iniciativa jako pokus o přímou demokracii v Evropské unii</w:t>
      </w:r>
      <w:r w:rsidRPr="006F5878">
        <w:t>. ASPI. 20.</w:t>
      </w:r>
      <w:r w:rsidR="00844D42">
        <w:t xml:space="preserve"> </w:t>
      </w:r>
      <w:r w:rsidRPr="006F5878">
        <w:t>6.</w:t>
      </w:r>
      <w:r w:rsidR="00844D42">
        <w:t xml:space="preserve"> </w:t>
      </w:r>
      <w:r w:rsidRPr="006F5878">
        <w:t>20</w:t>
      </w:r>
      <w:r w:rsidR="006F5878" w:rsidRPr="006F5878">
        <w:t>14. Cit. 27.</w:t>
      </w:r>
      <w:r w:rsidR="00844D42">
        <w:t xml:space="preserve"> </w:t>
      </w:r>
      <w:r w:rsidR="006F5878" w:rsidRPr="006F5878">
        <w:t>10.</w:t>
      </w:r>
      <w:r w:rsidR="00844D42">
        <w:t xml:space="preserve"> </w:t>
      </w:r>
      <w:r w:rsidR="006F5878" w:rsidRPr="006F5878">
        <w:t>2015. LIT48571CZ</w:t>
      </w:r>
    </w:p>
    <w:p w:rsidR="00CA3FC7" w:rsidRPr="00844D42" w:rsidRDefault="006F5878" w:rsidP="00844D42">
      <w:pPr>
        <w:rPr>
          <w:rStyle w:val="Hypertextovodkaz"/>
          <w:color w:val="auto"/>
        </w:rPr>
      </w:pPr>
      <w:r w:rsidRPr="00844D42">
        <w:t xml:space="preserve">EUROPEAN OMBUDSMAN. </w:t>
      </w:r>
      <w:r w:rsidRPr="00844D42">
        <w:rPr>
          <w:i/>
        </w:rPr>
        <w:t>Putting it Right? - How the EU institutions responded to the Ombudsman in 2013</w:t>
      </w:r>
      <w:r w:rsidRPr="00844D42">
        <w:t xml:space="preserve"> [online]. 21. ledna 2016 [cit. 28. ledna 2016]. </w:t>
      </w:r>
      <w:r w:rsidRPr="00844D42">
        <w:rPr>
          <w:rFonts w:cs="Times New Roman"/>
        </w:rPr>
        <w:t>Dostupné z:</w:t>
      </w:r>
      <w:r w:rsidRPr="00844D42">
        <w:t xml:space="preserve"> </w:t>
      </w:r>
      <w:hyperlink r:id="rId15" w:history="1">
        <w:r w:rsidRPr="00844D42">
          <w:rPr>
            <w:rStyle w:val="Hypertextovodkaz"/>
            <w:color w:val="auto"/>
          </w:rPr>
          <w:t>http://www.ombudsman.europa.eu/cs/cases/followup.faces/cs/58401/html.bookmark</w:t>
        </w:r>
      </w:hyperlink>
    </w:p>
    <w:p w:rsidR="003C17FB" w:rsidRPr="000301C5" w:rsidRDefault="003C17FB" w:rsidP="003C17FB">
      <w:pPr>
        <w:rPr>
          <w:b/>
          <w:sz w:val="28"/>
          <w:szCs w:val="28"/>
        </w:rPr>
      </w:pPr>
      <w:r w:rsidRPr="000301C5">
        <w:rPr>
          <w:b/>
          <w:sz w:val="28"/>
          <w:szCs w:val="28"/>
        </w:rPr>
        <w:t>Právní předpisy</w:t>
      </w:r>
    </w:p>
    <w:p w:rsidR="003C17FB" w:rsidRDefault="003C17FB" w:rsidP="003C17FB">
      <w:r w:rsidRPr="00B76679">
        <w:t>Rozhodnutí Rady</w:t>
      </w:r>
      <w:r>
        <w:t xml:space="preserve"> ze dne 17. února č. 2005/3</w:t>
      </w:r>
      <w:r w:rsidRPr="00B76679">
        <w:t>70/ES o uzavření Úmluvy o přístupu k informacím, účasti veřejnosti na rozhodování a přístupu k právní ochraně v záležitostech životního prostředí jménem Evropského společenství</w:t>
      </w:r>
      <w:r>
        <w:t>.</w:t>
      </w:r>
      <w:r w:rsidRPr="001A29D3">
        <w:t xml:space="preserve"> </w:t>
      </w:r>
      <w:r w:rsidRPr="00B036AB">
        <w:t>Úř. věst. L 124, 17.</w:t>
      </w:r>
      <w:r>
        <w:t xml:space="preserve"> </w:t>
      </w:r>
      <w:r w:rsidR="00C61FF2">
        <w:t xml:space="preserve">května </w:t>
      </w:r>
      <w:r w:rsidRPr="00B036AB">
        <w:t>2005, s. 1</w:t>
      </w:r>
      <w:r>
        <w:t xml:space="preserve"> a násl. </w:t>
      </w:r>
    </w:p>
    <w:p w:rsidR="003C17FB" w:rsidRDefault="003C17FB" w:rsidP="003C17FB">
      <w:r w:rsidRPr="00040DA1">
        <w:t>Nařízení Evropského parlamentu a Rady (ES)</w:t>
      </w:r>
      <w:r w:rsidRPr="00AA5FF0">
        <w:t xml:space="preserve"> </w:t>
      </w:r>
      <w:r>
        <w:t>ze dne 6. září 2006</w:t>
      </w:r>
      <w:r w:rsidRPr="00040DA1">
        <w:t xml:space="preserve"> č. 1367/2006</w:t>
      </w:r>
      <w:r>
        <w:t>,</w:t>
      </w:r>
      <w:r w:rsidRPr="00040DA1">
        <w:t xml:space="preserve"> o použití ustanovení Aarhuské úmluvy o přístupu k informacím, účasti veřejnosti na rozhodování</w:t>
      </w:r>
      <w:r>
        <w:t xml:space="preserve"> </w:t>
      </w:r>
      <w:r w:rsidRPr="00040DA1">
        <w:t>a přístupu k právní ochraně v záležitostech životního prostředí na orgány a subjekty Společenství</w:t>
      </w:r>
      <w:r>
        <w:t>. Úř. věst. L 274, 25. září 2006, s. 13 a násl.</w:t>
      </w:r>
    </w:p>
    <w:p w:rsidR="003C17FB" w:rsidRDefault="003C17FB" w:rsidP="003C17FB">
      <w:pPr>
        <w:rPr>
          <w:b/>
        </w:rPr>
      </w:pPr>
      <w:r>
        <w:t>Rozhodnutí Evropského parlamentu a Rady č. 1600/2002/ES ze dne 22 července 2002 o Šestém akčním programu Společenství pro životní prostředí.</w:t>
      </w:r>
      <w:r w:rsidRPr="00B76679">
        <w:rPr>
          <w:b/>
        </w:rPr>
        <w:t xml:space="preserve"> </w:t>
      </w:r>
      <w:r w:rsidRPr="00B036AB">
        <w:t>Úř.</w:t>
      </w:r>
      <w:r>
        <w:t xml:space="preserve"> věst. L 242, 10. </w:t>
      </w:r>
      <w:r w:rsidR="00C61FF2">
        <w:t>září</w:t>
      </w:r>
      <w:r>
        <w:t xml:space="preserve"> 2002, s. 1 a násl.</w:t>
      </w:r>
    </w:p>
    <w:p w:rsidR="003C17FB" w:rsidRDefault="003C17FB" w:rsidP="003C17FB">
      <w:r w:rsidRPr="003555F4">
        <w:t>Smlou</w:t>
      </w:r>
      <w:r>
        <w:t>va o fungování Evropské unie</w:t>
      </w:r>
    </w:p>
    <w:p w:rsidR="003C17FB" w:rsidRDefault="003C17FB" w:rsidP="003C17FB">
      <w:r>
        <w:t>Smlouva o Evropské unii</w:t>
      </w:r>
    </w:p>
    <w:p w:rsidR="003C17FB" w:rsidRDefault="003C17FB" w:rsidP="003C17FB">
      <w:r>
        <w:t>Protokol o používání zásad subsidiarity a proporcionality</w:t>
      </w:r>
    </w:p>
    <w:p w:rsidR="003C17FB" w:rsidRDefault="003C17FB" w:rsidP="003C17FB">
      <w:r>
        <w:t>zákon č. 500/2004 Sb., správní řád ve znění pozdějších předpisů</w:t>
      </w:r>
    </w:p>
    <w:p w:rsidR="003C17FB" w:rsidRDefault="003C17FB" w:rsidP="003C17FB">
      <w:r w:rsidRPr="00F522FB">
        <w:t>Rozhodnutí Evropského parlamentu a Rady č. 1386/2013/EU ze dne 20. listopadu 2013,</w:t>
      </w:r>
      <w:r>
        <w:t xml:space="preserve"> o všeobecném akčním programu Unie pro životní prostředí na období do roku 2020 „Spokojený život v mezích naší planety“. Úř. věst. L 354 28. prosince 2013, s. 171 a násl.</w:t>
      </w:r>
    </w:p>
    <w:p w:rsidR="003C17FB" w:rsidRDefault="003C17FB" w:rsidP="003C17FB">
      <w:r>
        <w:lastRenderedPageBreak/>
        <w:t xml:space="preserve">Nařízení Evropského parlamentu a Rady (ES) č. 401/2009 ze dne 26. dubna 2009, o Evropské agentuře pro životní prostředí a pozorovací síti pro životní prostředí. Úř. věst. L 126, 21. května 2009, s. 13 a násl. </w:t>
      </w:r>
    </w:p>
    <w:p w:rsidR="003C17FB" w:rsidRDefault="003C17FB" w:rsidP="003C17FB">
      <w:r>
        <w:t xml:space="preserve">Nařízení Evropského parlamentu a Rady (ES) </w:t>
      </w:r>
      <w:r>
        <w:rPr>
          <w:rFonts w:hint="eastAsia"/>
        </w:rPr>
        <w:t>č</w:t>
      </w:r>
      <w:r>
        <w:t>. 1049/2001 ze dne 30. kv</w:t>
      </w:r>
      <w:r>
        <w:rPr>
          <w:rFonts w:hint="eastAsia"/>
        </w:rPr>
        <w:t>ě</w:t>
      </w:r>
      <w:r>
        <w:t>tna 2001, o p</w:t>
      </w:r>
      <w:r>
        <w:rPr>
          <w:rFonts w:hint="eastAsia"/>
        </w:rPr>
        <w:t>ří</w:t>
      </w:r>
      <w:r>
        <w:t>stupu ve</w:t>
      </w:r>
      <w:r>
        <w:rPr>
          <w:rFonts w:hint="eastAsia"/>
        </w:rPr>
        <w:t>ř</w:t>
      </w:r>
      <w:r>
        <w:t>ejnosti k dokument</w:t>
      </w:r>
      <w:r>
        <w:rPr>
          <w:rFonts w:hint="eastAsia"/>
        </w:rPr>
        <w:t>ů</w:t>
      </w:r>
      <w:r>
        <w:t>m Evropsk</w:t>
      </w:r>
      <w:r>
        <w:rPr>
          <w:rFonts w:hint="eastAsia"/>
        </w:rPr>
        <w:t>é</w:t>
      </w:r>
      <w:r>
        <w:t xml:space="preserve">ho parlamentu, Rady a Komise. Úř. věst. L 145, 31. května 2001, s. 331 a násl. </w:t>
      </w:r>
    </w:p>
    <w:p w:rsidR="003C17FB" w:rsidRDefault="003C17FB" w:rsidP="003C17FB">
      <w:r>
        <w:t xml:space="preserve">Nařízení Evropského parlamentu a Rady (ES) č.  401/2009 ze dne 23.  dubna 2009, o  Evropské agentuře pro životní prostředí a  Evropské informační a  pozorovací síti pro životní prostředí. Úř. věst. L 126, 21. května 2009, s. 13 a násl.  </w:t>
      </w:r>
    </w:p>
    <w:p w:rsidR="003C17FB" w:rsidRDefault="003C17FB" w:rsidP="003C17FB">
      <w:r>
        <w:t>Council regulation (EEC) No. 880/92 of 23 March 1992 on a Community eco-label award scheme. Official Journal of the European Communities.</w:t>
      </w:r>
      <w:r w:rsidRPr="003C17FB">
        <w:t xml:space="preserve"> </w:t>
      </w:r>
      <w:r w:rsidRPr="00B036AB">
        <w:t>Úř. věst. L 99, 11.</w:t>
      </w:r>
      <w:r>
        <w:t xml:space="preserve"> dubna </w:t>
      </w:r>
      <w:r w:rsidRPr="00B036AB">
        <w:t>1992, s. 1</w:t>
      </w:r>
      <w:r>
        <w:t xml:space="preserve"> a násl.</w:t>
      </w:r>
    </w:p>
    <w:p w:rsidR="003C17FB" w:rsidRDefault="003C17FB" w:rsidP="003C17FB">
      <w:r>
        <w:t xml:space="preserve">Směrnice Evropského parlamentu a Rady 2003/4/ES ze dne 28. ledna 2003 o přístupu veřejnosti k informacím o životním prostředí a o zrušení směrnice Rady 90/313/EHS. Úř. věst. L 41/26, 14. února 2003, s. 375 a násl. </w:t>
      </w:r>
    </w:p>
    <w:p w:rsidR="003C17FB" w:rsidRDefault="003C17FB" w:rsidP="003C17FB">
      <w:r>
        <w:t>Zákon č. 123/1998 Sb., o právu na informace o životním prostředí, ve znění pozdějších předpisů</w:t>
      </w:r>
    </w:p>
    <w:p w:rsidR="003C17FB" w:rsidRDefault="003C17FB" w:rsidP="003C17FB">
      <w:pPr>
        <w:rPr>
          <w:rStyle w:val="Hypertextovodkaz"/>
        </w:rPr>
      </w:pPr>
      <w:r>
        <w:t>Sdělení Komise Evropskému parlamentu, Radě, Evropskému hospodářskému a sociálnímu výboru a Výboru regionů, COM(2</w:t>
      </w:r>
      <w:r w:rsidR="00C61FF2">
        <w:t xml:space="preserve">010) 743, ze dne 15. prosince </w:t>
      </w:r>
      <w:r>
        <w:t xml:space="preserve">2010, Evropský akční plán „eGovernment“ na období 2011–2015 Využívání IKT na podporu inteligentní, udržitelné a inovativní veřejné správy. </w:t>
      </w:r>
    </w:p>
    <w:p w:rsidR="003C17FB" w:rsidRDefault="003C17FB" w:rsidP="003C17FB">
      <w:r>
        <w:t>Nařízení Evropského parlamentu a Rady (ES) ze dne 18. prosince 2000, č. 45/2001, o ochraně fyzických osob v souvislosti se zpracováním osobních údajů orgány a institucemi Společenství a o volném pohybu těchto údajů.</w:t>
      </w:r>
      <w:r w:rsidRPr="003C17FB">
        <w:t xml:space="preserve"> </w:t>
      </w:r>
      <w:r>
        <w:t xml:space="preserve">Úř. věst. L 8, 12. ledna </w:t>
      </w:r>
      <w:r w:rsidRPr="00B036AB">
        <w:t>2001, s. 1</w:t>
      </w:r>
      <w:r>
        <w:t xml:space="preserve"> a násl.</w:t>
      </w:r>
    </w:p>
    <w:p w:rsidR="003C17FB" w:rsidRDefault="003C17FB" w:rsidP="003C17FB">
      <w:r>
        <w:t xml:space="preserve">Směrnice Evropského parlamentu a Rady ze dne 24. listopadu 2010, č. 2010/75/EU, o průmyslových emisích, Úř. Věst. L 334, 17. prosince 2010, s. 17 a násl. </w:t>
      </w:r>
    </w:p>
    <w:p w:rsidR="003C17FB" w:rsidRDefault="003C17FB" w:rsidP="003C17FB">
      <w:r>
        <w:t>Rozhodnutí rady ze dne 23. září 2013 o bezpečnostních pravidlech na ochranu utajovaných informací EU, č. 2013/488/EU, Úř. Věst. L 274, 15. října 2013, s. 1 a násl.</w:t>
      </w:r>
    </w:p>
    <w:p w:rsidR="003C17FB" w:rsidRDefault="003C17FB" w:rsidP="003C17FB">
      <w:pPr>
        <w:rPr>
          <w:rStyle w:val="Hypertextovodkaz"/>
        </w:rPr>
      </w:pPr>
      <w:r>
        <w:lastRenderedPageBreak/>
        <w:t xml:space="preserve">Sdělení Komise, </w:t>
      </w:r>
      <w:r>
        <w:rPr>
          <w:rFonts w:cs="Times New Roman"/>
          <w:szCs w:val="24"/>
        </w:rPr>
        <w:t xml:space="preserve">COM(2002) 704, ze dne 11. prosince 2002, </w:t>
      </w:r>
      <w:r>
        <w:t xml:space="preserve">Towards a reinforced culture of consultation and dialogue - General principles and minimum standards for consultation of interested parties by the Commission. </w:t>
      </w:r>
    </w:p>
    <w:p w:rsidR="003C17FB" w:rsidRDefault="003C17FB" w:rsidP="003C17FB">
      <w:pPr>
        <w:rPr>
          <w:rStyle w:val="Hypertextovodkaz"/>
          <w:color w:val="auto"/>
        </w:rPr>
      </w:pPr>
      <w:r>
        <w:rPr>
          <w:rStyle w:val="Hypertextovodkaz"/>
          <w:color w:val="auto"/>
        </w:rPr>
        <w:t xml:space="preserve">Sdělení komise, </w:t>
      </w:r>
      <w:r>
        <w:t xml:space="preserve">COM(2001) 428, ze dne 12. října 2001, </w:t>
      </w:r>
      <w:r>
        <w:rPr>
          <w:rStyle w:val="Hypertextovodkaz"/>
          <w:color w:val="auto"/>
        </w:rPr>
        <w:t xml:space="preserve">European governance – A white paper, Úř. Věst. C 287, 12. října 2001, s 1 a násl. </w:t>
      </w:r>
    </w:p>
    <w:p w:rsidR="003C17FB" w:rsidRDefault="003C17FB" w:rsidP="003C17FB">
      <w:r>
        <w:t xml:space="preserve">Rozhodnutí Komise č. </w:t>
      </w:r>
      <w:r w:rsidRPr="008C6967">
        <w:t>2008/401/ES</w:t>
      </w:r>
      <w:r>
        <w:t xml:space="preserve">, ze dne 30. dubna 2008, </w:t>
      </w:r>
      <w:r w:rsidRPr="008C6967">
        <w:t>kterým se mění její jednací řád</w:t>
      </w:r>
      <w:r>
        <w:t>, Úř. Věst. L 140, 30. května 2008</w:t>
      </w:r>
    </w:p>
    <w:p w:rsidR="003C17FB" w:rsidRPr="00506C5D" w:rsidRDefault="003C17FB" w:rsidP="003C17FB">
      <w:pPr>
        <w:rPr>
          <w:rStyle w:val="Hypertextovodkaz"/>
          <w:color w:val="auto"/>
        </w:rPr>
      </w:pPr>
      <w:r>
        <w:t>Sdělení Komise, COM(2012) 746, ze dne 12. prosince 2012, Účelnost právních předpisů EU</w:t>
      </w:r>
    </w:p>
    <w:p w:rsidR="003C17FB" w:rsidRDefault="003C17FB" w:rsidP="003C17FB">
      <w:r>
        <w:t xml:space="preserve">Nařízení Evropského parlamentu a Rady (EU), ze dne 16. února 2011, č. 211/2011, o občanské iniciativě, Úř. Věst. L 65, 11. dubna 2011, s 1 a násl. </w:t>
      </w:r>
    </w:p>
    <w:p w:rsidR="003C17FB" w:rsidRDefault="003C17FB" w:rsidP="003C17FB">
      <w:r>
        <w:t>Sdělení Komise, COM(2015) 215, ze dne 19. května 2015, Zlepšování právní úpravy k dosažení lepších výsledků – agenda EU.</w:t>
      </w:r>
    </w:p>
    <w:p w:rsidR="003C17FB" w:rsidRDefault="003C17FB" w:rsidP="003C17FB">
      <w:r>
        <w:t xml:space="preserve">Interinstitucionální dohoda - Dohoda mezi Evropským parlamentem a Evropskou komisí o rejstříku transparentnosti pro organizace a osoby samostatně výdělečně činné, jež se podílejí na tvorbě a provádění politik EU, Úř. Věst. L227, ze dne 19. října 214, s. 11 a násl. </w:t>
      </w:r>
    </w:p>
    <w:p w:rsidR="003C17FB" w:rsidRDefault="003C17FB" w:rsidP="003C17FB">
      <w:r>
        <w:t>Sdělení Komise, COM(2013) 515, ze dne 10. července 2013, o používání nařízení (ES) č. 1049/2001 o přístupu veřejnosti k dokumentům Evropského parlamentu, Rady a Komise v průběhu roku 2012</w:t>
      </w:r>
    </w:p>
    <w:p w:rsidR="003C17FB" w:rsidRDefault="003C17FB" w:rsidP="003C17FB">
      <w:r>
        <w:t>Sdělení Komise, COM(2014) 619, ze dne 8. října 2014, o používání nařízení (ES) č. 1049/2001 o přístupu veřejnosti k dokumentům Evropského parlamentu, Rady a Komise v průběhu roku 2013</w:t>
      </w:r>
    </w:p>
    <w:p w:rsidR="003C17FB" w:rsidRDefault="003C17FB" w:rsidP="003C17FB">
      <w:r>
        <w:t>Sdělení Komise, COM(2015) 391, ze dne 6. srpna 2015, o používání nařízení (ES) č. 1049/2001 o přístupu veřejnosti k dokumentům Evropského parlamentu, Rady a Komise v průběhu roku 2014</w:t>
      </w:r>
    </w:p>
    <w:p w:rsidR="003C17FB" w:rsidRDefault="003C17FB" w:rsidP="003C17FB">
      <w:r>
        <w:t xml:space="preserve">Rozhodnutí Komise č. 2008/50/ES ze dne 13. prosince 2007, kterým se stanoví </w:t>
      </w:r>
      <w:r w:rsidRPr="008451C5">
        <w:t>prováděcí</w:t>
      </w:r>
      <w:r>
        <w:t xml:space="preserve"> pravidla k na</w:t>
      </w:r>
      <w:r w:rsidRPr="008451C5">
        <w:t>ř</w:t>
      </w:r>
      <w:r>
        <w:t xml:space="preserve">ízení </w:t>
      </w:r>
      <w:r w:rsidRPr="008451C5">
        <w:t>Evropského parlamentu a Rady (ES) č. 1367/2006 o Aarhuské úmluvě, pokud jde o žádosti o vnitřní přezkum</w:t>
      </w:r>
      <w:r>
        <w:t xml:space="preserve"> správních aktů, Úř. věst. L 13, 16. ledna 2008, s. 24 a násl.</w:t>
      </w:r>
    </w:p>
    <w:p w:rsidR="003C17FB" w:rsidRDefault="003C17FB" w:rsidP="003C17FB">
      <w:r>
        <w:lastRenderedPageBreak/>
        <w:t>Návrh Komise č. COM(2008) 229, ze dne 30.4.2008, na změnu nařízení č. 1049/2001</w:t>
      </w:r>
    </w:p>
    <w:p w:rsidR="003C17FB" w:rsidRDefault="003C17FB" w:rsidP="003C17FB">
      <w:r w:rsidRPr="00C24121">
        <w:t>Sdělení Komise, COM(2000) 11, ze dne 18. ledna 2000, Discussion paper: The Commission and Non-governmental organisation building a stronger partnership</w:t>
      </w:r>
      <w:r>
        <w:t xml:space="preserve">. </w:t>
      </w:r>
    </w:p>
    <w:p w:rsidR="003C17FB" w:rsidRPr="003555F4" w:rsidRDefault="003C17FB" w:rsidP="003C17FB">
      <w:r>
        <w:t>Sdělení Komise COM(2006) 194, ze dne 3. května 2006. Zelená kniha o evropské iniciativě pro transparentnost</w:t>
      </w:r>
    </w:p>
    <w:p w:rsidR="003C17FB" w:rsidRPr="006F5878" w:rsidRDefault="003C17FB" w:rsidP="00621F7A">
      <w:pPr>
        <w:rPr>
          <w:szCs w:val="24"/>
        </w:rPr>
      </w:pPr>
    </w:p>
    <w:p w:rsidR="00256D71" w:rsidRDefault="00256D71">
      <w:pPr>
        <w:spacing w:line="276" w:lineRule="auto"/>
        <w:jc w:val="left"/>
        <w:rPr>
          <w:rFonts w:eastAsiaTheme="majorEastAsia" w:cstheme="majorBidi"/>
          <w:b/>
          <w:bCs/>
          <w:color w:val="000000" w:themeColor="text1"/>
          <w:sz w:val="32"/>
          <w:szCs w:val="28"/>
        </w:rPr>
      </w:pPr>
    </w:p>
    <w:sectPr w:rsidR="00256D71" w:rsidSect="00AF1316">
      <w:footerReference w:type="default" r:id="rId16"/>
      <w:pgSz w:w="11906" w:h="16838"/>
      <w:pgMar w:top="1418" w:right="1134"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8AA" w:rsidRDefault="000D18AA" w:rsidP="0017205D">
      <w:pPr>
        <w:spacing w:after="0" w:line="240" w:lineRule="auto"/>
      </w:pPr>
      <w:r>
        <w:separator/>
      </w:r>
    </w:p>
  </w:endnote>
  <w:endnote w:type="continuationSeparator" w:id="0">
    <w:p w:rsidR="000D18AA" w:rsidRDefault="000D18AA" w:rsidP="0017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3" w:csb1="00000000"/>
  </w:font>
  <w:font w:name="GaramondC">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Warnock Pro">
    <w:altName w:val="Times New Roman"/>
    <w:panose1 w:val="00000000000000000000"/>
    <w:charset w:val="00"/>
    <w:family w:val="roman"/>
    <w:notTrueType/>
    <w:pitch w:val="default"/>
    <w:sig w:usb0="00000001" w:usb1="00000000" w:usb2="00000000" w:usb3="00000000" w:csb0="00000003" w:csb1="00000000"/>
  </w:font>
  <w:font w:name="MyriadPro-Light">
    <w:altName w:val="Arial"/>
    <w:panose1 w:val="00000000000000000000"/>
    <w:charset w:val="CC"/>
    <w:family w:val="swiss"/>
    <w:notTrueType/>
    <w:pitch w:val="default"/>
    <w:sig w:usb0="00000201" w:usb1="00000000" w:usb2="00000000" w:usb3="00000000" w:csb0="00000004" w:csb1="00000000"/>
  </w:font>
  <w:font w:name="EUAlbertina_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428542"/>
      <w:docPartObj>
        <w:docPartGallery w:val="Page Numbers (Bottom of Page)"/>
        <w:docPartUnique/>
      </w:docPartObj>
    </w:sdtPr>
    <w:sdtEndPr/>
    <w:sdtContent>
      <w:p w:rsidR="003C17FB" w:rsidRDefault="003C17FB">
        <w:pPr>
          <w:pStyle w:val="Zpat"/>
          <w:jc w:val="center"/>
        </w:pPr>
        <w:r>
          <w:fldChar w:fldCharType="begin"/>
        </w:r>
        <w:r>
          <w:instrText>PAGE   \* MERGEFORMAT</w:instrText>
        </w:r>
        <w:r>
          <w:fldChar w:fldCharType="separate"/>
        </w:r>
        <w:r w:rsidR="00EA699F">
          <w:rPr>
            <w:noProof/>
          </w:rPr>
          <w:t>10</w:t>
        </w:r>
        <w:r>
          <w:fldChar w:fldCharType="end"/>
        </w:r>
      </w:p>
    </w:sdtContent>
  </w:sdt>
  <w:p w:rsidR="003C17FB" w:rsidRDefault="003C17F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8AA" w:rsidRDefault="000D18AA" w:rsidP="0017205D">
      <w:pPr>
        <w:spacing w:after="0" w:line="240" w:lineRule="auto"/>
      </w:pPr>
      <w:r>
        <w:separator/>
      </w:r>
    </w:p>
  </w:footnote>
  <w:footnote w:type="continuationSeparator" w:id="0">
    <w:p w:rsidR="000D18AA" w:rsidRDefault="000D18AA" w:rsidP="0017205D">
      <w:pPr>
        <w:spacing w:after="0" w:line="240" w:lineRule="auto"/>
      </w:pPr>
      <w:r>
        <w:continuationSeparator/>
      </w:r>
    </w:p>
  </w:footnote>
  <w:footnote w:id="1">
    <w:p w:rsidR="003C17FB" w:rsidRDefault="003C17FB">
      <w:pPr>
        <w:pStyle w:val="Textpoznpodarou"/>
      </w:pPr>
      <w:r>
        <w:rPr>
          <w:rStyle w:val="Znakapoznpodarou"/>
        </w:rPr>
        <w:footnoteRef/>
      </w:r>
      <w:r>
        <w:t xml:space="preserve"> Zákon č. 100/2001 Sb., o posuzování vlivů, ve znění pozdějších předpisů</w:t>
      </w:r>
    </w:p>
  </w:footnote>
  <w:footnote w:id="2">
    <w:p w:rsidR="003C17FB" w:rsidRDefault="003C17FB">
      <w:pPr>
        <w:pStyle w:val="Textpoznpodarou"/>
      </w:pPr>
      <w:r>
        <w:rPr>
          <w:rStyle w:val="Znakapoznpodarou"/>
        </w:rPr>
        <w:footnoteRef/>
      </w:r>
      <w:r>
        <w:t xml:space="preserve"> Rozhodnutí Evropského parlamentu a Rady č. 1600/2002/ES ze dne 22 července 2002 o Šestém akčním programu Společenství pro životní prostředí</w:t>
      </w:r>
    </w:p>
  </w:footnote>
  <w:footnote w:id="3">
    <w:p w:rsidR="003C17FB" w:rsidRDefault="003C17FB">
      <w:pPr>
        <w:pStyle w:val="Textpoznpodarou"/>
      </w:pPr>
      <w:r>
        <w:rPr>
          <w:rStyle w:val="Znakapoznpodarou"/>
        </w:rPr>
        <w:footnoteRef/>
      </w:r>
      <w:r>
        <w:t xml:space="preserve"> Jedná se zejména o článek 2, bod 3, kde jsou stanoveny obecné cíle ve vztahu k účasti veřejnosti ochraně na životního prostředí.</w:t>
      </w:r>
    </w:p>
  </w:footnote>
  <w:footnote w:id="4">
    <w:p w:rsidR="003C17FB" w:rsidRPr="00B76679" w:rsidRDefault="003C17FB" w:rsidP="00B76679">
      <w:pPr>
        <w:autoSpaceDE w:val="0"/>
        <w:autoSpaceDN w:val="0"/>
        <w:adjustRightInd w:val="0"/>
        <w:spacing w:after="0" w:line="240" w:lineRule="auto"/>
        <w:jc w:val="left"/>
        <w:rPr>
          <w:rFonts w:cs="Times New Roman"/>
          <w:sz w:val="20"/>
          <w:szCs w:val="20"/>
        </w:rPr>
      </w:pPr>
      <w:r w:rsidRPr="00B76679">
        <w:rPr>
          <w:rStyle w:val="Znakapoznpodarou"/>
          <w:rFonts w:cs="Times New Roman"/>
          <w:sz w:val="20"/>
          <w:szCs w:val="20"/>
        </w:rPr>
        <w:footnoteRef/>
      </w:r>
      <w:r w:rsidRPr="00B76679">
        <w:rPr>
          <w:rFonts w:cs="Times New Roman"/>
          <w:sz w:val="20"/>
          <w:szCs w:val="20"/>
        </w:rPr>
        <w:t xml:space="preserve"> Rozhodnutí Rady ze dne 17. února</w:t>
      </w:r>
      <w:r>
        <w:rPr>
          <w:rFonts w:cs="Times New Roman"/>
          <w:sz w:val="20"/>
          <w:szCs w:val="20"/>
        </w:rPr>
        <w:t xml:space="preserve"> č.</w:t>
      </w:r>
      <w:r w:rsidRPr="00B76679">
        <w:rPr>
          <w:rFonts w:cs="Times New Roman"/>
          <w:sz w:val="20"/>
          <w:szCs w:val="20"/>
        </w:rPr>
        <w:t xml:space="preserve"> 2005 </w:t>
      </w:r>
      <w:r>
        <w:rPr>
          <w:rFonts w:cs="Times New Roman"/>
          <w:sz w:val="20"/>
          <w:szCs w:val="20"/>
        </w:rPr>
        <w:t xml:space="preserve">2005/270/ES </w:t>
      </w:r>
      <w:r w:rsidRPr="00B76679">
        <w:rPr>
          <w:rFonts w:cs="Times New Roman"/>
          <w:sz w:val="20"/>
          <w:szCs w:val="20"/>
        </w:rPr>
        <w:t>o uzavření Úmluvy o přístupu k informacím, účasti veřejnosti na rozhodování a přístupu</w:t>
      </w:r>
      <w:r>
        <w:rPr>
          <w:rFonts w:cs="Times New Roman"/>
          <w:sz w:val="20"/>
          <w:szCs w:val="20"/>
        </w:rPr>
        <w:t xml:space="preserve"> </w:t>
      </w:r>
      <w:r w:rsidRPr="00B76679">
        <w:rPr>
          <w:rFonts w:cs="Times New Roman"/>
          <w:sz w:val="20"/>
          <w:szCs w:val="20"/>
        </w:rPr>
        <w:t>k právní ochraně v záležitostech životního prostředí jménem Evropského společenství</w:t>
      </w:r>
      <w:r>
        <w:rPr>
          <w:rFonts w:cs="Times New Roman"/>
          <w:sz w:val="20"/>
          <w:szCs w:val="20"/>
        </w:rPr>
        <w:t>.</w:t>
      </w:r>
    </w:p>
  </w:footnote>
  <w:footnote w:id="5">
    <w:p w:rsidR="003C17FB" w:rsidRDefault="003C17FB">
      <w:pPr>
        <w:pStyle w:val="Textpoznpodarou"/>
      </w:pPr>
      <w:r>
        <w:rPr>
          <w:rStyle w:val="Znakapoznpodarou"/>
        </w:rPr>
        <w:footnoteRef/>
      </w:r>
      <w:r>
        <w:t xml:space="preserve"> Od roku 1972 bylo vyhlášeno 7 akčních programů</w:t>
      </w:r>
    </w:p>
  </w:footnote>
  <w:footnote w:id="6">
    <w:p w:rsidR="003C17FB" w:rsidRDefault="003C17FB">
      <w:pPr>
        <w:pStyle w:val="Textpoznpodarou"/>
      </w:pPr>
      <w:r>
        <w:rPr>
          <w:rStyle w:val="Znakapoznpodarou"/>
        </w:rPr>
        <w:footnoteRef/>
      </w:r>
      <w:r>
        <w:t xml:space="preserve"> Evropský soudní dvůr: Rozsudek ze dne 7. 2. 1985, </w:t>
      </w:r>
      <w:r w:rsidRPr="00576499">
        <w:rPr>
          <w:i/>
        </w:rPr>
        <w:t>France v Association DBHU</w:t>
      </w:r>
      <w:r>
        <w:t xml:space="preserve">, C-240/83, </w:t>
      </w:r>
      <w:hyperlink r:id="rId1" w:history="1">
        <w:r w:rsidRPr="005E1C5C">
          <w:t>CELEX:61983CJ0240</w:t>
        </w:r>
      </w:hyperlink>
      <w:r>
        <w:t xml:space="preserve">, bod. 13. Dostupné z: </w:t>
      </w:r>
      <w:hyperlink r:id="rId2" w:history="1"/>
      <w:r>
        <w:t xml:space="preserve"> </w:t>
      </w:r>
      <w:hyperlink r:id="rId3" w:history="1">
        <w:r w:rsidRPr="003F4EDE">
          <w:rPr>
            <w:rStyle w:val="Hypertextovodkaz"/>
          </w:rPr>
          <w:t>http://eur-lex.europa.eu</w:t>
        </w:r>
      </w:hyperlink>
      <w:r>
        <w:t xml:space="preserve">  </w:t>
      </w:r>
      <w:r>
        <w:rPr>
          <w:rFonts w:ascii="Segoe UI" w:hAnsi="Segoe UI" w:cs="Segoe UI"/>
          <w:color w:val="000000"/>
        </w:rPr>
        <w:t xml:space="preserve"> </w:t>
      </w:r>
    </w:p>
  </w:footnote>
  <w:footnote w:id="7">
    <w:p w:rsidR="003C17FB" w:rsidRDefault="003C17FB">
      <w:pPr>
        <w:pStyle w:val="Textpoznpodarou"/>
      </w:pPr>
      <w:r>
        <w:rPr>
          <w:rStyle w:val="Znakapoznpodarou"/>
        </w:rPr>
        <w:footnoteRef/>
      </w:r>
      <w:r>
        <w:t xml:space="preserve"> Dnes hlava XX SFEU</w:t>
      </w:r>
    </w:p>
  </w:footnote>
  <w:footnote w:id="8">
    <w:p w:rsidR="003C17FB" w:rsidRDefault="003C17FB">
      <w:pPr>
        <w:pStyle w:val="Textpoznpodarou"/>
      </w:pPr>
      <w:r>
        <w:rPr>
          <w:rStyle w:val="Znakapoznpodarou"/>
        </w:rPr>
        <w:footnoteRef/>
      </w:r>
      <w:r>
        <w:t xml:space="preserve"> Zřízena na základě čl. 175 Smlouvy o založení Evropského společenství (dnes čl. 192 SFEU) nařízením Rady (EHS) č, 1210/90, rekodifikováno nařízením Evropského parlamentu a Rady (ES) č. 401/2009 ze dne 26. dubna 2009, o Evropské agentuře pro životní prostředí a pozorovací síti pro životní prostředí.</w:t>
      </w:r>
    </w:p>
  </w:footnote>
  <w:footnote w:id="9">
    <w:p w:rsidR="003C17FB" w:rsidRDefault="003C17FB">
      <w:pPr>
        <w:pStyle w:val="Textpoznpodarou"/>
      </w:pPr>
      <w:r>
        <w:rPr>
          <w:rStyle w:val="Znakapoznpodarou"/>
        </w:rPr>
        <w:footnoteRef/>
      </w:r>
      <w:r>
        <w:t xml:space="preserve"> Dnes čl. 11 SFEU</w:t>
      </w:r>
    </w:p>
  </w:footnote>
  <w:footnote w:id="10">
    <w:p w:rsidR="003C17FB" w:rsidRDefault="003C17FB">
      <w:pPr>
        <w:pStyle w:val="Textpoznpodarou"/>
      </w:pPr>
      <w:r>
        <w:rPr>
          <w:rStyle w:val="Znakapoznpodarou"/>
        </w:rPr>
        <w:footnoteRef/>
      </w:r>
      <w:r>
        <w:t xml:space="preserve"> Akční plány jsou nyní přijímány formou Rozhodnutí Evropského parlamentu a Rady.</w:t>
      </w:r>
    </w:p>
  </w:footnote>
  <w:footnote w:id="11">
    <w:p w:rsidR="003C17FB" w:rsidRDefault="003C17FB">
      <w:pPr>
        <w:pStyle w:val="Textpoznpodarou"/>
      </w:pPr>
      <w:r>
        <w:rPr>
          <w:rStyle w:val="Znakapoznpodarou"/>
        </w:rPr>
        <w:footnoteRef/>
      </w:r>
      <w:r>
        <w:t xml:space="preserve"> K tomu blíže: KOŠIČIAROVÁ, Soňa. EC Environmental law. s. 23-26</w:t>
      </w:r>
    </w:p>
  </w:footnote>
  <w:footnote w:id="12">
    <w:p w:rsidR="003C17FB" w:rsidRDefault="003C17FB" w:rsidP="007504BA">
      <w:pPr>
        <w:pStyle w:val="Textpoznpodarou"/>
      </w:pPr>
      <w:r>
        <w:rPr>
          <w:rStyle w:val="Znakapoznpodarou"/>
        </w:rPr>
        <w:footnoteRef/>
      </w:r>
      <w:r>
        <w:t xml:space="preserve"> K nadřazenosti Aarhuské úmluvy se vyjádřil i prof. Krämer. Dále: TOMOSZKOVÁ, Veronika. </w:t>
      </w:r>
      <w:r w:rsidRPr="00B119EF">
        <w:t>Annual Conference on European environmental law 2011</w:t>
      </w:r>
      <w:r>
        <w:t xml:space="preserve">. </w:t>
      </w:r>
      <w:r w:rsidRPr="00CB6E61">
        <w:rPr>
          <w:i/>
        </w:rPr>
        <w:t>České právo životního prostředí</w:t>
      </w:r>
      <w:r>
        <w:t>, 2011, č. 30. s. 68</w:t>
      </w:r>
    </w:p>
  </w:footnote>
  <w:footnote w:id="13">
    <w:p w:rsidR="003C17FB" w:rsidRDefault="003C17FB" w:rsidP="007504BA">
      <w:pPr>
        <w:pStyle w:val="Textpoznpodarou"/>
      </w:pPr>
      <w:r>
        <w:rPr>
          <w:rStyle w:val="Znakapoznpodarou"/>
        </w:rPr>
        <w:footnoteRef/>
      </w:r>
      <w:r>
        <w:t xml:space="preserve"> Opět skrze čl. 263 SFEU</w:t>
      </w:r>
    </w:p>
  </w:footnote>
  <w:footnote w:id="14">
    <w:p w:rsidR="003C17FB" w:rsidRDefault="003C17FB" w:rsidP="007504BA">
      <w:pPr>
        <w:pStyle w:val="Textpoznpodarou"/>
      </w:pPr>
      <w:r>
        <w:rPr>
          <w:rStyle w:val="Znakapoznpodarou"/>
        </w:rPr>
        <w:footnoteRef/>
      </w:r>
      <w:r>
        <w:t xml:space="preserve"> V konkrétním případě Čl. 9 odst. 3 Aarhuské úmluvy</w:t>
      </w:r>
    </w:p>
  </w:footnote>
  <w:footnote w:id="15">
    <w:p w:rsidR="003C17FB" w:rsidRDefault="003C17FB">
      <w:pPr>
        <w:pStyle w:val="Textpoznpodarou"/>
      </w:pPr>
      <w:r>
        <w:rPr>
          <w:rStyle w:val="Znakapoznpodarou"/>
        </w:rPr>
        <w:footnoteRef/>
      </w:r>
      <w:r>
        <w:t xml:space="preserve"> Rozhodnutí ve </w:t>
      </w:r>
      <w:r w:rsidRPr="003D1279">
        <w:t>věci  </w:t>
      </w:r>
      <w:r w:rsidRPr="004B4DE2">
        <w:t>Lesoochranárske zoskupenie VLK vs. Ministerstvo životného prostredia Slovenskej republiky,</w:t>
      </w:r>
      <w:r>
        <w:t xml:space="preserve"> </w:t>
      </w:r>
      <w:r>
        <w:rPr>
          <w:rStyle w:val="apple-converted-space"/>
          <w:rFonts w:ascii="Lucida Sans Unicode" w:hAnsi="Lucida Sans Unicode" w:cs="Lucida Sans Unicode"/>
          <w:b/>
          <w:bCs/>
          <w:color w:val="444444"/>
          <w:sz w:val="19"/>
          <w:szCs w:val="19"/>
          <w:bdr w:val="none" w:sz="0" w:space="0" w:color="auto" w:frame="1"/>
          <w:shd w:val="clear" w:color="auto" w:fill="FFFFFF"/>
        </w:rPr>
        <w:t> </w:t>
      </w:r>
      <w:r>
        <w:t>C-240/09, par. 45</w:t>
      </w:r>
    </w:p>
  </w:footnote>
  <w:footnote w:id="16">
    <w:p w:rsidR="003C17FB" w:rsidRDefault="003C17FB" w:rsidP="00A072C9">
      <w:pPr>
        <w:pStyle w:val="Textpoznpodarou"/>
        <w:jc w:val="left"/>
      </w:pPr>
      <w:r>
        <w:rPr>
          <w:rStyle w:val="Znakapoznpodarou"/>
        </w:rPr>
        <w:footnoteRef/>
      </w:r>
      <w:r>
        <w:t xml:space="preserve"> K jeho prioritám blíže: Introductory statement to the European Parliament. Dostupné z: </w:t>
      </w:r>
      <w:hyperlink r:id="rId4" w:history="1">
        <w:r w:rsidRPr="003F4EDE">
          <w:rPr>
            <w:rStyle w:val="Hypertextovodkaz"/>
            <w:rFonts w:cs="Times New Roman"/>
          </w:rPr>
          <w:t>http://ec.europa.eu/commission/sites/cwt/files/commissioner_ep_hearings/vella-statement_en.pdf</w:t>
        </w:r>
      </w:hyperlink>
      <w:r>
        <w:rPr>
          <w:rFonts w:cs="Times New Roman"/>
          <w:color w:val="000000"/>
        </w:rPr>
        <w:t xml:space="preserve"> </w:t>
      </w:r>
    </w:p>
  </w:footnote>
  <w:footnote w:id="17">
    <w:p w:rsidR="003C17FB" w:rsidRDefault="003C17FB">
      <w:pPr>
        <w:pStyle w:val="Textpoznpodarou"/>
      </w:pPr>
      <w:r>
        <w:rPr>
          <w:rStyle w:val="Znakapoznpodarou"/>
        </w:rPr>
        <w:footnoteRef/>
      </w:r>
      <w:r>
        <w:t xml:space="preserve"> KLÍMA a kol. </w:t>
      </w:r>
      <w:r>
        <w:rPr>
          <w:i/>
        </w:rPr>
        <w:t>Evropské právo</w:t>
      </w:r>
      <w:r>
        <w:t>. s. 299</w:t>
      </w:r>
    </w:p>
  </w:footnote>
  <w:footnote w:id="18">
    <w:p w:rsidR="003C17FB" w:rsidRDefault="003C17FB">
      <w:pPr>
        <w:pStyle w:val="Textpoznpodarou"/>
      </w:pPr>
      <w:r>
        <w:rPr>
          <w:rStyle w:val="Znakapoznpodarou"/>
        </w:rPr>
        <w:footnoteRef/>
      </w:r>
      <w:r>
        <w:t xml:space="preserve"> Švýcarsko, Albánie, Turecko, Kosovo, Makedonie, Norsko, Černá hora</w:t>
      </w:r>
    </w:p>
  </w:footnote>
  <w:footnote w:id="19">
    <w:p w:rsidR="003C17FB" w:rsidRDefault="003C17FB">
      <w:pPr>
        <w:pStyle w:val="Textpoznpodarou"/>
      </w:pPr>
      <w:r>
        <w:rPr>
          <w:rStyle w:val="Znakapoznpodarou"/>
        </w:rPr>
        <w:footnoteRef/>
      </w:r>
      <w:r>
        <w:t xml:space="preserve"> POMAHAČ, HANDRLICA. </w:t>
      </w:r>
      <w:r>
        <w:rPr>
          <w:i/>
        </w:rPr>
        <w:t xml:space="preserve">Evropské správní právo. s. 77 ; </w:t>
      </w:r>
      <w:r w:rsidRPr="00C16D2A">
        <w:rPr>
          <w:rFonts w:cs="Times New Roman"/>
        </w:rPr>
        <w:t xml:space="preserve">EUROPEAN ENVIRONMENT AGENCY. </w:t>
      </w:r>
      <w:r w:rsidRPr="00C16D2A">
        <w:rPr>
          <w:rFonts w:cs="Times New Roman"/>
          <w:i/>
          <w:iCs/>
        </w:rPr>
        <w:t>Who we are</w:t>
      </w:r>
      <w:r w:rsidRPr="00C16D2A">
        <w:rPr>
          <w:rFonts w:cs="Times New Roman"/>
        </w:rPr>
        <w:t xml:space="preserve"> [online]. 2014 [cit. </w:t>
      </w:r>
      <w:r>
        <w:rPr>
          <w:rFonts w:cs="Times New Roman"/>
        </w:rPr>
        <w:t>16. března 2016</w:t>
      </w:r>
      <w:r w:rsidRPr="00C16D2A">
        <w:rPr>
          <w:rFonts w:cs="Times New Roman"/>
        </w:rPr>
        <w:t xml:space="preserve">]. Dostupné z: </w:t>
      </w:r>
      <w:hyperlink r:id="rId5" w:history="1">
        <w:r w:rsidRPr="00824D0A">
          <w:rPr>
            <w:rStyle w:val="Hypertextovodkaz"/>
            <w:color w:val="auto"/>
          </w:rPr>
          <w:t>http://www.eea.europa.eu/about-us/who/who-we-are</w:t>
        </w:r>
      </w:hyperlink>
    </w:p>
  </w:footnote>
  <w:footnote w:id="20">
    <w:p w:rsidR="003C17FB" w:rsidRPr="00824D0A" w:rsidRDefault="003C17FB" w:rsidP="00824D0A">
      <w:pPr>
        <w:autoSpaceDE w:val="0"/>
        <w:autoSpaceDN w:val="0"/>
        <w:adjustRightInd w:val="0"/>
        <w:spacing w:after="0" w:line="240" w:lineRule="auto"/>
        <w:jc w:val="left"/>
        <w:rPr>
          <w:rFonts w:cs="Times New Roman"/>
          <w:sz w:val="20"/>
          <w:szCs w:val="20"/>
        </w:rPr>
      </w:pPr>
      <w:r>
        <w:rPr>
          <w:rStyle w:val="Znakapoznpodarou"/>
        </w:rPr>
        <w:footnoteRef/>
      </w:r>
      <w:r>
        <w:t xml:space="preserve"> </w:t>
      </w:r>
      <w:r w:rsidRPr="00824D0A">
        <w:rPr>
          <w:sz w:val="20"/>
          <w:szCs w:val="20"/>
        </w:rPr>
        <w:t xml:space="preserve">Evropská Komise. </w:t>
      </w:r>
      <w:r w:rsidRPr="00824D0A">
        <w:rPr>
          <w:i/>
          <w:sz w:val="20"/>
          <w:szCs w:val="20"/>
        </w:rPr>
        <w:t>Communication from the Commission - Promoting the development of Voluntary Organisations and Foundations in Europe</w:t>
      </w:r>
      <w:r w:rsidRPr="00824D0A">
        <w:rPr>
          <w:sz w:val="20"/>
          <w:szCs w:val="20"/>
        </w:rPr>
        <w:t xml:space="preserve">. </w:t>
      </w:r>
      <w:r w:rsidRPr="00824D0A">
        <w:rPr>
          <w:rFonts w:cs="Times New Roman"/>
          <w:sz w:val="20"/>
          <w:szCs w:val="20"/>
        </w:rPr>
        <w:t>[online]. europa.eu, 4. června 1997 [cit. 16. března 2016]. Dostupné na</w:t>
      </w:r>
      <w:r>
        <w:rPr>
          <w:rFonts w:cs="Times New Roman"/>
          <w:sz w:val="20"/>
          <w:szCs w:val="20"/>
        </w:rPr>
        <w:t xml:space="preserve">: </w:t>
      </w:r>
      <w:r w:rsidRPr="00824D0A">
        <w:rPr>
          <w:rFonts w:cs="Times New Roman"/>
          <w:sz w:val="20"/>
          <w:szCs w:val="20"/>
        </w:rPr>
        <w:t xml:space="preserve">http://europa.eu/rapid/press-release_IP-97-481_en.htm </w:t>
      </w:r>
    </w:p>
  </w:footnote>
  <w:footnote w:id="21">
    <w:p w:rsidR="003C17FB" w:rsidRPr="00C24121" w:rsidRDefault="003C17FB" w:rsidP="009B13DC">
      <w:pPr>
        <w:spacing w:line="240" w:lineRule="auto"/>
        <w:rPr>
          <w:sz w:val="20"/>
          <w:szCs w:val="20"/>
        </w:rPr>
      </w:pPr>
      <w:r>
        <w:rPr>
          <w:rStyle w:val="Znakapoznpodarou"/>
        </w:rPr>
        <w:footnoteRef/>
      </w:r>
      <w:r>
        <w:rPr>
          <w:sz w:val="20"/>
          <w:szCs w:val="20"/>
        </w:rPr>
        <w:t xml:space="preserve">Sdělení Komise, COM(2000) 11, ze dne 18. ledna 2000, </w:t>
      </w:r>
      <w:r w:rsidRPr="00C24121">
        <w:rPr>
          <w:sz w:val="20"/>
          <w:szCs w:val="20"/>
        </w:rPr>
        <w:t>Discussion paper: The Commission and Non-governmental organisation building a stronger partnership</w:t>
      </w:r>
    </w:p>
  </w:footnote>
  <w:footnote w:id="22">
    <w:p w:rsidR="003C17FB" w:rsidRDefault="003C17FB" w:rsidP="009B13DC">
      <w:pPr>
        <w:pStyle w:val="Textpoznpodarou"/>
      </w:pPr>
      <w:r>
        <w:rPr>
          <w:rStyle w:val="Znakapoznpodarou"/>
        </w:rPr>
        <w:footnoteRef/>
      </w:r>
      <w:r>
        <w:t xml:space="preserve"> </w:t>
      </w:r>
      <w:r>
        <w:rPr>
          <w:rStyle w:val="Hypertextovodkaz"/>
          <w:color w:val="auto"/>
        </w:rPr>
        <w:t xml:space="preserve">Sdělení komise, </w:t>
      </w:r>
      <w:r>
        <w:t xml:space="preserve">COM(2001) 428, ze dne 12. října 2001, </w:t>
      </w:r>
      <w:r>
        <w:rPr>
          <w:rStyle w:val="Hypertextovodkaz"/>
          <w:color w:val="auto"/>
        </w:rPr>
        <w:t>European governance – A white paper</w:t>
      </w:r>
    </w:p>
  </w:footnote>
  <w:footnote w:id="23">
    <w:p w:rsidR="003C17FB" w:rsidRDefault="003C17FB">
      <w:pPr>
        <w:pStyle w:val="Textpoznpodarou"/>
      </w:pPr>
      <w:r>
        <w:rPr>
          <w:rStyle w:val="Znakapoznpodarou"/>
        </w:rPr>
        <w:footnoteRef/>
      </w:r>
      <w:r>
        <w:t xml:space="preserve"> Sdělení Komise COM(2002) 704, ze dne 11. prosince 2002. </w:t>
      </w:r>
      <w:r w:rsidRPr="001837D3">
        <w:t>Towards a reinforced culture of consultation and dialogue - General principles and minimum standards for consultation of interested parties by the Commission</w:t>
      </w:r>
    </w:p>
  </w:footnote>
  <w:footnote w:id="24">
    <w:p w:rsidR="003C17FB" w:rsidRDefault="003C17FB" w:rsidP="006A2FE3">
      <w:pPr>
        <w:pStyle w:val="Textpoznpodarou"/>
      </w:pPr>
      <w:r>
        <w:rPr>
          <w:rStyle w:val="Znakapoznpodarou"/>
        </w:rPr>
        <w:footnoteRef/>
      </w:r>
      <w:r>
        <w:t xml:space="preserve"> Tzv. EU’s Transparency regulation </w:t>
      </w:r>
    </w:p>
  </w:footnote>
  <w:footnote w:id="25">
    <w:p w:rsidR="003C17FB" w:rsidRDefault="003C17FB">
      <w:pPr>
        <w:pStyle w:val="Textpoznpodarou"/>
      </w:pPr>
      <w:r>
        <w:rPr>
          <w:rStyle w:val="Znakapoznpodarou"/>
        </w:rPr>
        <w:footnoteRef/>
      </w:r>
      <w:r>
        <w:t xml:space="preserve"> </w:t>
      </w:r>
      <w:r w:rsidRPr="00040DA1">
        <w:t>Nařízení Evropského parlamentu a Rady (ES)</w:t>
      </w:r>
      <w:r w:rsidRPr="00AA5FF0">
        <w:t xml:space="preserve"> </w:t>
      </w:r>
      <w:r>
        <w:t>ze dne 6. září 2006</w:t>
      </w:r>
      <w:r w:rsidRPr="00040DA1">
        <w:t xml:space="preserve"> č. 1367/2006</w:t>
      </w:r>
      <w:r>
        <w:t>,</w:t>
      </w:r>
      <w:r w:rsidRPr="00040DA1">
        <w:t xml:space="preserve"> o použití ustanovení Aarhuské úmluvy o přístupu k informacím, účasti veřejnosti na rozhodování</w:t>
      </w:r>
      <w:r>
        <w:t xml:space="preserve"> </w:t>
      </w:r>
      <w:r w:rsidRPr="00040DA1">
        <w:t>a přístupu k právní ochraně v záležitostech životního prostředí na orgány a subjekty Společenství</w:t>
      </w:r>
    </w:p>
  </w:footnote>
  <w:footnote w:id="26">
    <w:p w:rsidR="003C17FB" w:rsidRDefault="003C17FB">
      <w:pPr>
        <w:pStyle w:val="Textpoznpodarou"/>
      </w:pPr>
      <w:r>
        <w:rPr>
          <w:rStyle w:val="Znakapoznpodarou"/>
        </w:rPr>
        <w:footnoteRef/>
      </w:r>
      <w:r>
        <w:t xml:space="preserve"> Sdělení Komise COM(2006) 194, ze dne 3. května 2006. Zelená kniha o evropské iniciativě pro transparentnost</w:t>
      </w:r>
    </w:p>
  </w:footnote>
  <w:footnote w:id="27">
    <w:p w:rsidR="003C17FB" w:rsidRPr="00290380" w:rsidRDefault="003C17FB">
      <w:pPr>
        <w:pStyle w:val="Textpoznpodarou"/>
      </w:pPr>
      <w:r w:rsidRPr="00290380">
        <w:rPr>
          <w:rStyle w:val="Znakapoznpodarou"/>
        </w:rPr>
        <w:footnoteRef/>
      </w:r>
      <w:r w:rsidRPr="00290380">
        <w:t xml:space="preserve"> Sdělení Komise Evropskému parlamentu, Radě, Evropskému hospodářskému a sociálnímu výboru a Výboru regionů, COM(2010) 743, ze dne 15.12.2010, Evropský akční plán „eGovernment“ na období 2011–2015 Využívání IKT na podporu inteligentní, udržitelné a inovativní veřejné správy. Dostupné z: </w:t>
      </w:r>
      <w:hyperlink r:id="rId6" w:history="1">
        <w:r w:rsidRPr="00290380">
          <w:rPr>
            <w:rStyle w:val="Hypertextovodkaz"/>
            <w:color w:val="auto"/>
          </w:rPr>
          <w:t>http://eur-lex.europa.eu/</w:t>
        </w:r>
      </w:hyperlink>
      <w:r w:rsidRPr="00290380">
        <w:t xml:space="preserve"> (dále jen COM(2010) 743 akční plán eGovernment);</w:t>
      </w:r>
    </w:p>
  </w:footnote>
  <w:footnote w:id="28">
    <w:p w:rsidR="003C17FB" w:rsidRPr="0020052C" w:rsidRDefault="003C17FB">
      <w:pPr>
        <w:pStyle w:val="Textpoznpodarou"/>
      </w:pPr>
      <w:r>
        <w:rPr>
          <w:rStyle w:val="Znakapoznpodarou"/>
        </w:rPr>
        <w:footnoteRef/>
      </w:r>
      <w:r>
        <w:t xml:space="preserve"> Případ </w:t>
      </w:r>
      <w:r w:rsidRPr="0048119E">
        <w:rPr>
          <w:rFonts w:cs="Book Antiqua"/>
          <w:i/>
          <w:iCs/>
          <w:color w:val="000000"/>
        </w:rPr>
        <w:t>Spain ACCC/2008/24</w:t>
      </w:r>
      <w:r>
        <w:rPr>
          <w:rFonts w:cs="Book Antiqua"/>
          <w:i/>
          <w:iCs/>
          <w:color w:val="000000"/>
        </w:rPr>
        <w:t xml:space="preserve"> para.70. </w:t>
      </w:r>
      <w:r>
        <w:rPr>
          <w:rFonts w:cs="Book Antiqua"/>
          <w:iCs/>
          <w:color w:val="000000"/>
        </w:rPr>
        <w:t xml:space="preserve">Zdroj: </w:t>
      </w:r>
      <w:r w:rsidRPr="00663726">
        <w:t>ANDRUSEVYCH</w:t>
      </w:r>
      <w:r>
        <w:t xml:space="preserve">, et al. </w:t>
      </w:r>
      <w:r w:rsidRPr="00663726">
        <w:rPr>
          <w:rStyle w:val="A3"/>
          <w:b w:val="0"/>
          <w:i/>
          <w:sz w:val="20"/>
          <w:szCs w:val="20"/>
        </w:rPr>
        <w:t>Case Law of the Aarhus Convention</w:t>
      </w:r>
      <w:r>
        <w:rPr>
          <w:rStyle w:val="A3"/>
          <w:b w:val="0"/>
          <w:i/>
          <w:sz w:val="20"/>
          <w:szCs w:val="20"/>
        </w:rPr>
        <w:t xml:space="preserve"> </w:t>
      </w:r>
      <w:r w:rsidRPr="00663726">
        <w:rPr>
          <w:rStyle w:val="A3"/>
          <w:b w:val="0"/>
          <w:i/>
          <w:sz w:val="20"/>
          <w:szCs w:val="20"/>
        </w:rPr>
        <w:t>Compliance Committee</w:t>
      </w:r>
      <w:r w:rsidRPr="00663726">
        <w:rPr>
          <w:i/>
        </w:rPr>
        <w:t xml:space="preserve"> </w:t>
      </w:r>
      <w:r w:rsidRPr="00663726">
        <w:rPr>
          <w:rStyle w:val="A4"/>
          <w:b w:val="0"/>
          <w:i/>
          <w:sz w:val="20"/>
          <w:szCs w:val="20"/>
        </w:rPr>
        <w:t>(2004-2011)</w:t>
      </w:r>
      <w:r>
        <w:rPr>
          <w:rStyle w:val="A4"/>
          <w:b w:val="0"/>
          <w:i/>
          <w:sz w:val="20"/>
          <w:szCs w:val="20"/>
        </w:rPr>
        <w:t xml:space="preserve"> s. 22. </w:t>
      </w:r>
      <w:r>
        <w:rPr>
          <w:rStyle w:val="A4"/>
          <w:b w:val="0"/>
          <w:sz w:val="20"/>
          <w:szCs w:val="20"/>
        </w:rPr>
        <w:t xml:space="preserve">V tomto případě byla porušena též lhůta pro poskytnutí informace, kdy papírovou formu dat orgán veřejné správy poskytl až po čtyřech měsících. </w:t>
      </w:r>
    </w:p>
  </w:footnote>
  <w:footnote w:id="29">
    <w:p w:rsidR="003C17FB" w:rsidRDefault="003C17FB">
      <w:pPr>
        <w:pStyle w:val="Textpoznpodarou"/>
      </w:pPr>
      <w:r>
        <w:rPr>
          <w:rStyle w:val="Znakapoznpodarou"/>
        </w:rPr>
        <w:footnoteRef/>
      </w:r>
      <w:r>
        <w:t xml:space="preserve"> V </w:t>
      </w:r>
      <w:r w:rsidRPr="00E51B0A">
        <w:rPr>
          <w:rFonts w:ascii="Open Sans" w:hAnsi="Open Sans"/>
          <w:i/>
          <w:iCs/>
          <w:shd w:val="clear" w:color="auto" w:fill="FFFFFF"/>
        </w:rPr>
        <w:t>Aarhus convention: an implementation guide</w:t>
      </w:r>
      <w:r>
        <w:rPr>
          <w:rFonts w:ascii="Open Sans" w:hAnsi="Open Sans"/>
          <w:shd w:val="clear" w:color="auto" w:fill="FFFFFF"/>
        </w:rPr>
        <w:t>. 2</w:t>
      </w:r>
      <w:r>
        <w:rPr>
          <w:rFonts w:ascii="Open Sans" w:hAnsi="Open Sans"/>
          <w:shd w:val="clear" w:color="auto" w:fill="FFFFFF"/>
          <w:vertAlign w:val="superscript"/>
        </w:rPr>
        <w:t>nd</w:t>
      </w:r>
      <w:r>
        <w:rPr>
          <w:rFonts w:ascii="Open Sans" w:hAnsi="Open Sans"/>
          <w:shd w:val="clear" w:color="auto" w:fill="FFFFFF"/>
        </w:rPr>
        <w:t xml:space="preserve"> edition. United Nations Pubns, 2014</w:t>
      </w:r>
      <w:r w:rsidRPr="00E51B0A">
        <w:rPr>
          <w:rFonts w:ascii="Open Sans" w:hAnsi="Open Sans"/>
          <w:shd w:val="clear" w:color="auto" w:fill="FFFFFF"/>
        </w:rPr>
        <w:t>.</w:t>
      </w:r>
      <w:r>
        <w:rPr>
          <w:rFonts w:ascii="Open Sans" w:hAnsi="Open Sans"/>
          <w:shd w:val="clear" w:color="auto" w:fill="FFFFFF"/>
        </w:rPr>
        <w:t xml:space="preserve"> s. 81 se doslova hovoří o „reasonable cost standards“</w:t>
      </w:r>
    </w:p>
  </w:footnote>
  <w:footnote w:id="30">
    <w:p w:rsidR="003C17FB" w:rsidRDefault="003C17FB" w:rsidP="00227A58">
      <w:pPr>
        <w:pStyle w:val="Textpoznpodarou"/>
      </w:pPr>
      <w:r>
        <w:rPr>
          <w:rStyle w:val="Znakapoznpodarou"/>
        </w:rPr>
        <w:footnoteRef/>
      </w:r>
      <w:r>
        <w:t xml:space="preserve"> K informačním tokům více čl. 5 ; kapitola 2.2</w:t>
      </w:r>
    </w:p>
  </w:footnote>
  <w:footnote w:id="31">
    <w:p w:rsidR="003C17FB" w:rsidRDefault="003C17FB" w:rsidP="002B1901">
      <w:pPr>
        <w:pStyle w:val="Textpoznpodarou"/>
      </w:pPr>
      <w:r>
        <w:rPr>
          <w:rStyle w:val="Znakapoznpodarou"/>
        </w:rPr>
        <w:footnoteRef/>
      </w:r>
      <w:r>
        <w:t xml:space="preserve"> Pokud by tuto povinnost měl, ale informaci neměl, mohlo by se v tomto případě jednat o porušení čl. 5 odst. 1 písm. a). K tomu dále v kapitole 2.2</w:t>
      </w:r>
    </w:p>
  </w:footnote>
  <w:footnote w:id="32">
    <w:p w:rsidR="003C17FB" w:rsidRDefault="003C17FB" w:rsidP="002B1901">
      <w:pPr>
        <w:pStyle w:val="Textpoznpodarou"/>
      </w:pPr>
      <w:r>
        <w:rPr>
          <w:rStyle w:val="Znakapoznpodarou"/>
        </w:rPr>
        <w:footnoteRef/>
      </w:r>
      <w:r>
        <w:t xml:space="preserve"> Čl. 4 odst. 5 Úmluvy. Např. v české právní úpravě je tento postup upraven v § 4 zákona č. 123/1998 Sb., o právu na informace o životním prostředí, ve znění pozdějších předpisů. (dále jen zákon č. 123/1998 Sb.). Stejný přístup, být uživateli veřejné správy nápomocen, vyplívá např. i z Bílé knihy o správ věcí veřejných viz kapitola 1.1</w:t>
      </w:r>
    </w:p>
  </w:footnote>
  <w:footnote w:id="33">
    <w:p w:rsidR="003C17FB" w:rsidRDefault="003C17FB">
      <w:pPr>
        <w:pStyle w:val="Textpoznpodarou"/>
      </w:pPr>
      <w:r>
        <w:rPr>
          <w:rStyle w:val="Znakapoznpodarou"/>
        </w:rPr>
        <w:footnoteRef/>
      </w:r>
      <w:r>
        <w:t xml:space="preserve"> K tomu rozhodnutí Ukraine ACCC/C/2004/3 zdroj: </w:t>
      </w:r>
      <w:r w:rsidRPr="00663726">
        <w:t>ANDRUSEVYCH</w:t>
      </w:r>
      <w:r>
        <w:t xml:space="preserve">, et al. </w:t>
      </w:r>
      <w:r w:rsidRPr="00663726">
        <w:rPr>
          <w:rStyle w:val="A3"/>
          <w:b w:val="0"/>
          <w:i/>
          <w:sz w:val="20"/>
          <w:szCs w:val="20"/>
        </w:rPr>
        <w:t>Case Law of the Aarhus Convention</w:t>
      </w:r>
      <w:r>
        <w:rPr>
          <w:rStyle w:val="A3"/>
          <w:b w:val="0"/>
          <w:i/>
          <w:sz w:val="20"/>
          <w:szCs w:val="20"/>
        </w:rPr>
        <w:t xml:space="preserve"> </w:t>
      </w:r>
      <w:r w:rsidRPr="00663726">
        <w:rPr>
          <w:rStyle w:val="A3"/>
          <w:b w:val="0"/>
          <w:i/>
          <w:sz w:val="20"/>
          <w:szCs w:val="20"/>
        </w:rPr>
        <w:t>Compliance Committee</w:t>
      </w:r>
      <w:r w:rsidRPr="00663726">
        <w:rPr>
          <w:i/>
        </w:rPr>
        <w:t xml:space="preserve"> </w:t>
      </w:r>
      <w:r w:rsidRPr="00663726">
        <w:rPr>
          <w:rStyle w:val="A4"/>
          <w:b w:val="0"/>
          <w:i/>
          <w:sz w:val="20"/>
          <w:szCs w:val="20"/>
        </w:rPr>
        <w:t>(2004-2011)</w:t>
      </w:r>
      <w:r>
        <w:rPr>
          <w:rStyle w:val="A4"/>
          <w:b w:val="0"/>
          <w:i/>
          <w:sz w:val="20"/>
          <w:szCs w:val="20"/>
        </w:rPr>
        <w:t xml:space="preserve"> s. 24</w:t>
      </w:r>
    </w:p>
  </w:footnote>
  <w:footnote w:id="34">
    <w:p w:rsidR="003C17FB" w:rsidRDefault="003C17FB">
      <w:pPr>
        <w:pStyle w:val="Textpoznpodarou"/>
      </w:pPr>
      <w:r>
        <w:rPr>
          <w:rStyle w:val="Znakapoznpodarou"/>
        </w:rPr>
        <w:footnoteRef/>
      </w:r>
      <w:r>
        <w:t xml:space="preserve"> par. 73-78</w:t>
      </w:r>
    </w:p>
  </w:footnote>
  <w:footnote w:id="35">
    <w:p w:rsidR="003C17FB" w:rsidRDefault="003C17FB" w:rsidP="001D137E">
      <w:pPr>
        <w:pStyle w:val="Textpoznpodarou"/>
      </w:pPr>
      <w:r>
        <w:rPr>
          <w:rStyle w:val="Znakapoznpodarou"/>
        </w:rPr>
        <w:footnoteRef/>
      </w:r>
      <w:r>
        <w:t xml:space="preserve"> Tzv. EU’s Transparency regulation </w:t>
      </w:r>
    </w:p>
  </w:footnote>
  <w:footnote w:id="36">
    <w:p w:rsidR="003C17FB" w:rsidRDefault="003C17FB">
      <w:pPr>
        <w:pStyle w:val="Textpoznpodarou"/>
      </w:pPr>
      <w:r>
        <w:rPr>
          <w:rStyle w:val="Znakapoznpodarou"/>
        </w:rPr>
        <w:footnoteRef/>
      </w:r>
      <w:r>
        <w:t xml:space="preserve"> Zdroj: </w:t>
      </w:r>
      <w:r>
        <w:rPr>
          <w:rFonts w:cs="Verdana"/>
          <w:color w:val="000000"/>
        </w:rPr>
        <w:t>O'NEILL, B., LIVINGSTONE, S.,</w:t>
      </w:r>
      <w:r w:rsidRPr="00137EA2">
        <w:rPr>
          <w:rFonts w:cs="Verdana"/>
          <w:color w:val="000000"/>
        </w:rPr>
        <w:t xml:space="preserve"> </w:t>
      </w:r>
      <w:r>
        <w:rPr>
          <w:rFonts w:cs="Verdana"/>
          <w:color w:val="000000"/>
        </w:rPr>
        <w:t>McLAUGHLIN, S.</w:t>
      </w:r>
      <w:r w:rsidRPr="00137EA2">
        <w:rPr>
          <w:rFonts w:cs="Verdana"/>
          <w:color w:val="000000"/>
        </w:rPr>
        <w:t xml:space="preserve"> COM(2007) 185, </w:t>
      </w:r>
      <w:r>
        <w:rPr>
          <w:rFonts w:cs="Verdana"/>
          <w:color w:val="000000"/>
        </w:rPr>
        <w:t>Zelená kniha</w:t>
      </w:r>
      <w:r w:rsidRPr="00137EA2">
        <w:rPr>
          <w:rFonts w:cs="Verdana"/>
          <w:color w:val="000000"/>
        </w:rPr>
        <w:t xml:space="preserve">: </w:t>
      </w:r>
      <w:r>
        <w:t>Přístup veřejnosti k dokumentům orgánů Evropského společenství, Přezkum</w:t>
      </w:r>
      <w:r>
        <w:rPr>
          <w:rFonts w:cs="Verdana"/>
          <w:color w:val="000000"/>
        </w:rPr>
        <w:t>, s</w:t>
      </w:r>
      <w:r w:rsidRPr="00137EA2">
        <w:rPr>
          <w:rFonts w:cs="Verdana"/>
          <w:color w:val="000000"/>
        </w:rPr>
        <w:t>.10.</w:t>
      </w:r>
      <w:r>
        <w:rPr>
          <w:rFonts w:cs="Verdana"/>
          <w:color w:val="000000"/>
        </w:rPr>
        <w:t xml:space="preserve"> dostupné z: </w:t>
      </w:r>
      <w:hyperlink r:id="rId7" w:history="1">
        <w:r w:rsidRPr="009B3893">
          <w:rPr>
            <w:rStyle w:val="Hypertextovodkaz"/>
            <w:rFonts w:cs="Verdana"/>
          </w:rPr>
          <w:t>http://eur-lex.europa.eu/</w:t>
        </w:r>
      </w:hyperlink>
      <w:r>
        <w:rPr>
          <w:rFonts w:cs="Verdana"/>
          <w:color w:val="000000"/>
        </w:rPr>
        <w:t xml:space="preserve"> </w:t>
      </w:r>
    </w:p>
  </w:footnote>
  <w:footnote w:id="37">
    <w:p w:rsidR="003C17FB" w:rsidRDefault="003C17FB">
      <w:pPr>
        <w:pStyle w:val="Textpoznpodarou"/>
      </w:pPr>
      <w:r>
        <w:rPr>
          <w:rStyle w:val="Znakapoznpodarou"/>
        </w:rPr>
        <w:footnoteRef/>
      </w:r>
      <w:r>
        <w:t xml:space="preserve">Směrnice Evropského parlamentu a Rady ze dne 28. ledna 2003 č. 2003/4/ES </w:t>
      </w:r>
      <w:r w:rsidRPr="00D37F4E">
        <w:t>o p</w:t>
      </w:r>
      <w:r w:rsidRPr="00D37F4E">
        <w:rPr>
          <w:rFonts w:hint="eastAsia"/>
        </w:rPr>
        <w:t>ří</w:t>
      </w:r>
      <w:r w:rsidRPr="00D37F4E">
        <w:t>stupu ve</w:t>
      </w:r>
      <w:r w:rsidRPr="00D37F4E">
        <w:rPr>
          <w:rFonts w:hint="eastAsia"/>
        </w:rPr>
        <w:t>ř</w:t>
      </w:r>
      <w:r w:rsidRPr="00D37F4E">
        <w:t>ejnosti k informac</w:t>
      </w:r>
      <w:r w:rsidRPr="00D37F4E">
        <w:rPr>
          <w:rFonts w:hint="eastAsia"/>
        </w:rPr>
        <w:t>í</w:t>
      </w:r>
      <w:r w:rsidRPr="00D37F4E">
        <w:t xml:space="preserve">m o </w:t>
      </w:r>
      <w:r w:rsidRPr="00D37F4E">
        <w:rPr>
          <w:rFonts w:hint="eastAsia"/>
        </w:rPr>
        <w:t>ž</w:t>
      </w:r>
      <w:r w:rsidRPr="00D37F4E">
        <w:t>ivotn</w:t>
      </w:r>
      <w:r w:rsidRPr="00D37F4E">
        <w:rPr>
          <w:rFonts w:hint="eastAsia"/>
        </w:rPr>
        <w:t>í</w:t>
      </w:r>
      <w:r w:rsidRPr="00D37F4E">
        <w:t>m prost</w:t>
      </w:r>
      <w:r w:rsidRPr="00D37F4E">
        <w:rPr>
          <w:rFonts w:hint="eastAsia"/>
        </w:rPr>
        <w:t>ř</w:t>
      </w:r>
      <w:r w:rsidRPr="00D37F4E">
        <w:t>ed</w:t>
      </w:r>
      <w:r w:rsidRPr="00D37F4E">
        <w:rPr>
          <w:rFonts w:hint="eastAsia"/>
        </w:rPr>
        <w:t>í</w:t>
      </w:r>
      <w:r>
        <w:t>.</w:t>
      </w:r>
    </w:p>
  </w:footnote>
  <w:footnote w:id="38">
    <w:p w:rsidR="003C17FB" w:rsidRDefault="003C17FB" w:rsidP="001D137E">
      <w:pPr>
        <w:pStyle w:val="Textpoznpodarou"/>
      </w:pPr>
      <w:r>
        <w:rPr>
          <w:rStyle w:val="Znakapoznpodarou"/>
        </w:rPr>
        <w:footnoteRef/>
      </w:r>
      <w:r>
        <w:t xml:space="preserve"> Čl. 6 nařízení 1049/2001</w:t>
      </w:r>
    </w:p>
  </w:footnote>
  <w:footnote w:id="39">
    <w:p w:rsidR="003C17FB" w:rsidRDefault="003C17FB" w:rsidP="001D137E">
      <w:pPr>
        <w:pStyle w:val="Textpoznpodarou"/>
      </w:pPr>
      <w:r>
        <w:rPr>
          <w:rStyle w:val="Znakapoznpodarou"/>
        </w:rPr>
        <w:footnoteRef/>
      </w:r>
      <w:r>
        <w:t xml:space="preserve"> Úředními jazyky jsou jazyky uvedené v čl. 55 Smlouvy o Evropské unii</w:t>
      </w:r>
    </w:p>
  </w:footnote>
  <w:footnote w:id="40">
    <w:p w:rsidR="003C17FB" w:rsidRDefault="003C17FB" w:rsidP="001D137E">
      <w:pPr>
        <w:pStyle w:val="Textpoznpodarou"/>
      </w:pPr>
      <w:r>
        <w:rPr>
          <w:rStyle w:val="Znakapoznpodarou"/>
        </w:rPr>
        <w:footnoteRef/>
      </w:r>
      <w:r>
        <w:t xml:space="preserve"> Čl. 10 nařízení 1049/2001 - od poplatku je zcela osvobozeno nahlédnutí do spisu, pořízení kopie do rozsahu 20 stran A4, přímý přístup v elektronické formě a přístup pomocí databáze či rejstříku. </w:t>
      </w:r>
    </w:p>
  </w:footnote>
  <w:footnote w:id="41">
    <w:p w:rsidR="003C17FB" w:rsidRPr="001A03EC" w:rsidRDefault="003C17FB">
      <w:pPr>
        <w:pStyle w:val="Textpoznpodarou"/>
      </w:pPr>
      <w:r>
        <w:rPr>
          <w:rStyle w:val="Znakapoznpodarou"/>
        </w:rPr>
        <w:footnoteRef/>
      </w:r>
      <w:r>
        <w:t xml:space="preserve"> Nelze žadatele například odkázat na knihovnu nacházející</w:t>
      </w:r>
      <w:r w:rsidRPr="001A03EC">
        <w:t xml:space="preserve"> se v jiném členském státě. Naopak tento postup se uplatní u informací zveřejněných ve veřejně přístupných databázích a rejstřících. K tomu více v kapitole 2.2</w:t>
      </w:r>
    </w:p>
  </w:footnote>
  <w:footnote w:id="42">
    <w:p w:rsidR="003C17FB" w:rsidRPr="001A03EC" w:rsidRDefault="003C17FB">
      <w:pPr>
        <w:pStyle w:val="Textpoznpodarou"/>
      </w:pPr>
      <w:r w:rsidRPr="001A03EC">
        <w:rPr>
          <w:rStyle w:val="Znakapoznpodarou"/>
        </w:rPr>
        <w:footnoteRef/>
      </w:r>
      <w:r w:rsidRPr="001A03EC">
        <w:t xml:space="preserve"> Sdělení Komise Evropskému parlamentu, Radě, Evropskému hospodářskému a sociálnímu výboru a Výboru regionů, COM(2010) 743, ze dne 15.12.2010, Evropský akční plán „eGovernment“ na období 2011–2015 Využívání IKT na podporu inteligentní, udržitelné a inovativní veřejné správy. Dostupné z: </w:t>
      </w:r>
      <w:hyperlink r:id="rId8" w:history="1">
        <w:r w:rsidRPr="001A03EC">
          <w:rPr>
            <w:rStyle w:val="Hypertextovodkaz"/>
            <w:color w:val="auto"/>
          </w:rPr>
          <w:t>http://eur-lex.europa.eu/</w:t>
        </w:r>
      </w:hyperlink>
      <w:r w:rsidRPr="001A03EC">
        <w:t xml:space="preserve"> (dále jen COM(2010) 743 akční plán eGovernment); nyní se připravuje nový akční plán na období let 2016-2020</w:t>
      </w:r>
    </w:p>
  </w:footnote>
  <w:footnote w:id="43">
    <w:p w:rsidR="003C17FB" w:rsidRPr="001A03EC" w:rsidRDefault="003C17FB">
      <w:pPr>
        <w:pStyle w:val="Textpoznpodarou"/>
      </w:pPr>
      <w:r w:rsidRPr="001A03EC">
        <w:rPr>
          <w:rStyle w:val="Znakapoznpodarou"/>
        </w:rPr>
        <w:footnoteRef/>
      </w:r>
      <w:r w:rsidRPr="001A03EC">
        <w:t xml:space="preserve"> Bod 2.1.3 COM(2010) 743 akční plán eGovernment</w:t>
      </w:r>
    </w:p>
  </w:footnote>
  <w:footnote w:id="44">
    <w:p w:rsidR="003C17FB" w:rsidRDefault="003C17FB" w:rsidP="00D55D90">
      <w:pPr>
        <w:pStyle w:val="Textpoznpodarou"/>
      </w:pPr>
      <w:r w:rsidRPr="001A03EC">
        <w:rPr>
          <w:rStyle w:val="Znakapoznpodarou"/>
        </w:rPr>
        <w:footnoteRef/>
      </w:r>
      <w:r w:rsidRPr="001A03EC">
        <w:t xml:space="preserve"> Například elektronický formulář žádosti o informaci u Komise: </w:t>
      </w:r>
      <w:hyperlink r:id="rId9" w:history="1">
        <w:r w:rsidRPr="001A03EC">
          <w:rPr>
            <w:rStyle w:val="Hypertextovodkaz"/>
            <w:color w:val="auto"/>
          </w:rPr>
          <w:t>http://ec.europa.eu/environment/contact/form_en.htm</w:t>
        </w:r>
      </w:hyperlink>
      <w:r w:rsidRPr="001A03EC">
        <w:t xml:space="preserve"> , taktéž např. databáze </w:t>
      </w:r>
      <w:hyperlink r:id="rId10" w:history="1">
        <w:r w:rsidRPr="001A03EC">
          <w:rPr>
            <w:rStyle w:val="Hypertextovodkaz"/>
            <w:rFonts w:ascii="TimesNewRoman" w:hAnsi="TimesNewRoman" w:cs="TimesNewRoman"/>
            <w:color w:val="auto"/>
            <w:szCs w:val="24"/>
          </w:rPr>
          <w:t>http://eur-lex.europa.eu/en/index.htm</w:t>
        </w:r>
      </w:hyperlink>
      <w:r w:rsidRPr="001A03EC">
        <w:rPr>
          <w:rFonts w:ascii="TimesNewRoman" w:hAnsi="TimesNewRoman" w:cs="TimesNewRoman"/>
          <w:szCs w:val="24"/>
        </w:rPr>
        <w:t xml:space="preserve"> , </w:t>
      </w:r>
      <w:hyperlink r:id="rId11" w:history="1">
        <w:r w:rsidRPr="001A03EC">
          <w:rPr>
            <w:rStyle w:val="Hypertextovodkaz"/>
            <w:rFonts w:ascii="TimesNewRoman" w:hAnsi="TimesNewRoman" w:cs="TimesNewRoman"/>
            <w:color w:val="auto"/>
            <w:szCs w:val="24"/>
          </w:rPr>
          <w:t>http://ec.europa.eu/prelex/apcnet.cfm?CL=en</w:t>
        </w:r>
      </w:hyperlink>
      <w:r w:rsidRPr="001A03EC">
        <w:rPr>
          <w:rFonts w:ascii="TimesNewRoman" w:hAnsi="TimesNewRoman" w:cs="TimesNewRoman"/>
          <w:szCs w:val="24"/>
        </w:rPr>
        <w:t xml:space="preserve"> a další. </w:t>
      </w:r>
      <w:r w:rsidRPr="001A03EC">
        <w:t xml:space="preserve"> </w:t>
      </w:r>
    </w:p>
  </w:footnote>
  <w:footnote w:id="45">
    <w:p w:rsidR="003C17FB" w:rsidRPr="00920CF3" w:rsidRDefault="003C17FB" w:rsidP="00920CF3">
      <w:pPr>
        <w:autoSpaceDE w:val="0"/>
        <w:autoSpaceDN w:val="0"/>
        <w:adjustRightInd w:val="0"/>
        <w:spacing w:after="0" w:line="240" w:lineRule="auto"/>
        <w:jc w:val="left"/>
        <w:rPr>
          <w:rFonts w:eastAsia="EUAlbertina-Regular-Identity-H" w:cs="Times New Roman"/>
          <w:sz w:val="20"/>
          <w:szCs w:val="20"/>
        </w:rPr>
      </w:pPr>
      <w:r w:rsidRPr="00920CF3">
        <w:rPr>
          <w:rStyle w:val="Znakapoznpodarou"/>
          <w:rFonts w:cs="Times New Roman"/>
          <w:sz w:val="20"/>
          <w:szCs w:val="20"/>
        </w:rPr>
        <w:footnoteRef/>
      </w:r>
      <w:r w:rsidRPr="00920CF3">
        <w:rPr>
          <w:rFonts w:cs="Times New Roman"/>
          <w:sz w:val="20"/>
          <w:szCs w:val="20"/>
        </w:rPr>
        <w:t xml:space="preserve"> </w:t>
      </w:r>
      <w:r>
        <w:rPr>
          <w:rFonts w:eastAsia="EUAlbertina-Regular-Identity-H" w:cs="Times New Roman"/>
          <w:sz w:val="20"/>
          <w:szCs w:val="20"/>
        </w:rPr>
        <w:t>V</w:t>
      </w:r>
      <w:r w:rsidRPr="00920CF3">
        <w:rPr>
          <w:rFonts w:eastAsia="EUAlbertina-Regular-Identity-H" w:cs="Times New Roman"/>
          <w:sz w:val="20"/>
          <w:szCs w:val="20"/>
        </w:rPr>
        <w:t>láda nebo jiný orgán veřejné správy, každá fyzická nebo právnická osoba vykonávající</w:t>
      </w:r>
      <w:r>
        <w:rPr>
          <w:rFonts w:eastAsia="EUAlbertina-Regular-Identity-H" w:cs="Times New Roman"/>
          <w:sz w:val="20"/>
          <w:szCs w:val="20"/>
        </w:rPr>
        <w:t xml:space="preserve"> funkce </w:t>
      </w:r>
      <w:r w:rsidRPr="00920CF3">
        <w:rPr>
          <w:rFonts w:eastAsia="EUAlbertina-Regular-Identity-H" w:cs="Times New Roman"/>
          <w:sz w:val="20"/>
          <w:szCs w:val="20"/>
        </w:rPr>
        <w:t>veřejné správy podle vnitrostátních právních předpisů, každá fyzická nebo právnická osoba, která je veřejně odpovědná</w:t>
      </w:r>
      <w:r>
        <w:rPr>
          <w:rFonts w:eastAsia="EUAlbertina-Regular-Identity-H" w:cs="Times New Roman"/>
          <w:sz w:val="20"/>
          <w:szCs w:val="20"/>
        </w:rPr>
        <w:t xml:space="preserve"> </w:t>
      </w:r>
      <w:r w:rsidRPr="00920CF3">
        <w:rPr>
          <w:rFonts w:eastAsia="EUAlbertina-Regular-Identity-H" w:cs="Times New Roman"/>
          <w:sz w:val="20"/>
          <w:szCs w:val="20"/>
        </w:rPr>
        <w:t>nebo vykonává funkci nebo poskytuje veřejné</w:t>
      </w:r>
      <w:r>
        <w:rPr>
          <w:rFonts w:eastAsia="EUAlbertina-Regular-Identity-H" w:cs="Times New Roman"/>
          <w:sz w:val="20"/>
          <w:szCs w:val="20"/>
        </w:rPr>
        <w:t xml:space="preserve"> </w:t>
      </w:r>
      <w:r w:rsidRPr="00920CF3">
        <w:rPr>
          <w:rFonts w:eastAsia="EUAlbertina-Regular-Identity-H" w:cs="Times New Roman"/>
          <w:sz w:val="20"/>
          <w:szCs w:val="20"/>
        </w:rPr>
        <w:t>služby ve vztahu k životnímu prostředí, řízená</w:t>
      </w:r>
      <w:r>
        <w:rPr>
          <w:rFonts w:eastAsia="EUAlbertina-Regular-Identity-H" w:cs="Times New Roman"/>
          <w:sz w:val="20"/>
          <w:szCs w:val="20"/>
        </w:rPr>
        <w:t xml:space="preserve"> subjektem </w:t>
      </w:r>
      <w:r w:rsidRPr="00920CF3">
        <w:rPr>
          <w:rFonts w:eastAsia="EUAlbertina-Regular-Identity-H" w:cs="Times New Roman"/>
          <w:sz w:val="20"/>
          <w:szCs w:val="20"/>
        </w:rPr>
        <w:t>nebo osobou spadající pod písmena a) nebo b).</w:t>
      </w:r>
      <w:r>
        <w:rPr>
          <w:rFonts w:eastAsia="EUAlbertina-Regular-Identity-H" w:cs="Times New Roman"/>
          <w:sz w:val="20"/>
          <w:szCs w:val="20"/>
        </w:rPr>
        <w:t xml:space="preserve"> čl. 2 odst. 2 směrnice č. 2003/4/ES</w:t>
      </w:r>
    </w:p>
  </w:footnote>
  <w:footnote w:id="46">
    <w:p w:rsidR="003C17FB" w:rsidRPr="0054735F" w:rsidRDefault="003C17FB" w:rsidP="0054735F">
      <w:pPr>
        <w:autoSpaceDE w:val="0"/>
        <w:autoSpaceDN w:val="0"/>
        <w:adjustRightInd w:val="0"/>
        <w:spacing w:after="0" w:line="240" w:lineRule="auto"/>
        <w:jc w:val="left"/>
        <w:rPr>
          <w:rFonts w:eastAsia="EUAlbertina-Regular-Identity-H" w:cs="Times New Roman"/>
          <w:sz w:val="20"/>
          <w:szCs w:val="20"/>
        </w:rPr>
      </w:pPr>
      <w:r w:rsidRPr="0054735F">
        <w:rPr>
          <w:rStyle w:val="Znakapoznpodarou"/>
          <w:rFonts w:cs="Times New Roman"/>
          <w:sz w:val="20"/>
          <w:szCs w:val="20"/>
        </w:rPr>
        <w:footnoteRef/>
      </w:r>
      <w:r w:rsidRPr="0054735F">
        <w:rPr>
          <w:rFonts w:cs="Times New Roman"/>
          <w:sz w:val="20"/>
          <w:szCs w:val="20"/>
        </w:rPr>
        <w:t xml:space="preserve"> </w:t>
      </w:r>
      <w:r>
        <w:rPr>
          <w:rFonts w:cs="Times New Roman"/>
          <w:sz w:val="20"/>
          <w:szCs w:val="20"/>
        </w:rPr>
        <w:t>Čl. 4 odst. 9 nařízení č. 1049/2001: „</w:t>
      </w:r>
      <w:r w:rsidRPr="0054735F">
        <w:rPr>
          <w:rFonts w:eastAsia="EUAlbertina-Regular-Identity-H" w:cs="Times New Roman"/>
          <w:i/>
          <w:sz w:val="20"/>
          <w:szCs w:val="20"/>
        </w:rPr>
        <w:t>Citlivé dokumenty jsou dokumenty orgánů nebo subjektů zřízených těmito orgány, členských států, třetích zemí nebo mezinárodních organizací, které jsou klasifikovány jako „TRÉS SECRET/TOP SECRET“, „SECRET“ nebo „CONFIDENTIEL“ v souladu s předpisy daného orgánu na ochranu základních zájmů Evropské unie nebo jednoho či více členských států v oblastech spadajících pod čl. 4 odst. 1 písm. a), zejména v oblastech veřejné bezpečnosti, obrany a vojenských záležitostí.</w:t>
      </w:r>
      <w:r>
        <w:rPr>
          <w:rFonts w:eastAsia="EUAlbertina-Regular-Identity-H" w:cs="Times New Roman"/>
          <w:sz w:val="20"/>
          <w:szCs w:val="20"/>
        </w:rPr>
        <w:t>“</w:t>
      </w:r>
    </w:p>
  </w:footnote>
  <w:footnote w:id="47">
    <w:p w:rsidR="003C17FB" w:rsidRDefault="003C17FB">
      <w:pPr>
        <w:pStyle w:val="Textpoznpodarou"/>
      </w:pPr>
      <w:r>
        <w:rPr>
          <w:rStyle w:val="Znakapoznpodarou"/>
        </w:rPr>
        <w:footnoteRef/>
      </w:r>
      <w:r>
        <w:t xml:space="preserve"> Rozhodnutí rady č. 2013/488/EU ze dne 23. září 2013 o bezpečnostních pravidlech na ochranu utajovaných informací EU </w:t>
      </w:r>
    </w:p>
  </w:footnote>
  <w:footnote w:id="48">
    <w:p w:rsidR="003C17FB" w:rsidRDefault="003C17FB">
      <w:pPr>
        <w:pStyle w:val="Textpoznpodarou"/>
      </w:pPr>
      <w:r>
        <w:rPr>
          <w:rStyle w:val="Znakapoznpodarou"/>
        </w:rPr>
        <w:footnoteRef/>
      </w:r>
      <w:r>
        <w:t xml:space="preserve"> Daně a celní unie – 5.57 %, Vnitřní trh – 5,05 %, zemědělství a rozvoj venkova – 5,02 %. Zdroj: Sdělení Komise, COM(2015) 391 příloha I </w:t>
      </w:r>
    </w:p>
  </w:footnote>
  <w:footnote w:id="49">
    <w:p w:rsidR="003C17FB" w:rsidRDefault="003C17FB" w:rsidP="00C809CE">
      <w:pPr>
        <w:pStyle w:val="Textpoznpodarou"/>
      </w:pPr>
      <w:r>
        <w:rPr>
          <w:rStyle w:val="Znakapoznpodarou"/>
        </w:rPr>
        <w:footnoteRef/>
      </w:r>
      <w:r>
        <w:t xml:space="preserve"> V této části práce zabývající se výjimkami obecně vycházím ze studie prof. LABAYLE, H. </w:t>
      </w:r>
      <w:r w:rsidRPr="00145937">
        <w:t>Openness, transparency and access to documents and information in the European Union</w:t>
      </w:r>
      <w:r>
        <w:t>, která byla zpracována na žádost výboru Evropského parlamentu</w:t>
      </w:r>
      <w:r>
        <w:rPr>
          <w:rFonts w:cs="Verdana"/>
          <w:color w:val="000000"/>
        </w:rPr>
        <w:t xml:space="preserve"> pro občanské svobody, spravedlnost a vnitřní věci a z rozsáhlé judikatury ESD</w:t>
      </w:r>
    </w:p>
  </w:footnote>
  <w:footnote w:id="50">
    <w:p w:rsidR="003C17FB" w:rsidRDefault="003C17FB" w:rsidP="00C809CE">
      <w:pPr>
        <w:pStyle w:val="Textpoznpodarou"/>
      </w:pPr>
      <w:r>
        <w:rPr>
          <w:rStyle w:val="Znakapoznpodarou"/>
        </w:rPr>
        <w:footnoteRef/>
      </w:r>
      <w:r>
        <w:t xml:space="preserve"> Rozhodnutí ve </w:t>
      </w:r>
      <w:r w:rsidRPr="003D1279">
        <w:t>věci  Švédsko v. Komise</w:t>
      </w:r>
      <w:r>
        <w:t xml:space="preserve">, </w:t>
      </w:r>
      <w:r>
        <w:rPr>
          <w:rStyle w:val="apple-converted-space"/>
          <w:rFonts w:ascii="Lucida Sans Unicode" w:hAnsi="Lucida Sans Unicode" w:cs="Lucida Sans Unicode"/>
          <w:b/>
          <w:bCs/>
          <w:color w:val="444444"/>
          <w:sz w:val="19"/>
          <w:szCs w:val="19"/>
          <w:bdr w:val="none" w:sz="0" w:space="0" w:color="auto" w:frame="1"/>
          <w:shd w:val="clear" w:color="auto" w:fill="FFFFFF"/>
        </w:rPr>
        <w:t> </w:t>
      </w:r>
      <w:r w:rsidRPr="003D1279">
        <w:t>C-64/05 P</w:t>
      </w:r>
      <w:r>
        <w:t xml:space="preserve">, par. 18, 74-76; Rozhodnutí ESD ve věci </w:t>
      </w:r>
      <w:r w:rsidRPr="00C549FF">
        <w:rPr>
          <w:i/>
        </w:rPr>
        <w:t>Sophie In’t Veld v</w:t>
      </w:r>
      <w:r>
        <w:rPr>
          <w:i/>
        </w:rPr>
        <w:t> </w:t>
      </w:r>
      <w:r w:rsidRPr="00C549FF">
        <w:rPr>
          <w:i/>
        </w:rPr>
        <w:t>Council</w:t>
      </w:r>
      <w:r>
        <w:t>, T-529/09 par. 20</w:t>
      </w:r>
    </w:p>
  </w:footnote>
  <w:footnote w:id="51">
    <w:p w:rsidR="003C17FB" w:rsidRPr="00544E4E" w:rsidRDefault="003C17FB" w:rsidP="00C809CE">
      <w:pPr>
        <w:pStyle w:val="Textpoznpodarou"/>
      </w:pPr>
      <w:r>
        <w:rPr>
          <w:rStyle w:val="Znakapoznpodarou"/>
        </w:rPr>
        <w:footnoteRef/>
      </w:r>
      <w:r>
        <w:t xml:space="preserve"> Rozsudek ze dne ze dne 6. prosince 2012,  </w:t>
      </w:r>
      <w:r w:rsidRPr="00544E4E">
        <w:rPr>
          <w:i/>
        </w:rPr>
        <w:t>Evropaïki Dynamiki – Proigmena Systimata Tilepikoinonion Pliroforikis kai Tilematikis AE v. European Commission</w:t>
      </w:r>
      <w:r>
        <w:t xml:space="preserve">, </w:t>
      </w:r>
      <w:r w:rsidRPr="00544E4E">
        <w:t>T</w:t>
      </w:r>
      <w:r w:rsidRPr="00544E4E">
        <w:noBreakHyphen/>
        <w:t>167/10</w:t>
      </w:r>
      <w:r>
        <w:t>, par. 58-69</w:t>
      </w:r>
    </w:p>
  </w:footnote>
  <w:footnote w:id="52">
    <w:p w:rsidR="003C17FB" w:rsidRDefault="003C17FB" w:rsidP="00C809CE">
      <w:pPr>
        <w:pStyle w:val="Textpoznpodarou"/>
      </w:pPr>
      <w:r>
        <w:rPr>
          <w:rStyle w:val="Znakapoznpodarou"/>
        </w:rPr>
        <w:footnoteRef/>
      </w:r>
      <w:r>
        <w:t xml:space="preserve"> Rozsudek ze dne 25. dubna 2007 ve věci </w:t>
      </w:r>
      <w:r w:rsidRPr="00DA1482">
        <w:rPr>
          <w:i/>
        </w:rPr>
        <w:t>WWF European Policy Programme v. Council of the European Union</w:t>
      </w:r>
      <w:r>
        <w:t xml:space="preserve">, T-264/04, a Rozsudek Evropského soudního dvora ze dne 6. prosince 2001 ve věci </w:t>
      </w:r>
      <w:r w:rsidRPr="007C6D36">
        <w:rPr>
          <w:i/>
        </w:rPr>
        <w:t>Council v Hautala</w:t>
      </w:r>
      <w:r>
        <w:t xml:space="preserve">, C-353/99 par. </w:t>
      </w:r>
    </w:p>
  </w:footnote>
  <w:footnote w:id="53">
    <w:p w:rsidR="003C17FB" w:rsidRDefault="003C17FB" w:rsidP="00C809CE">
      <w:pPr>
        <w:pStyle w:val="Textpoznpodarou"/>
      </w:pPr>
      <w:r>
        <w:rPr>
          <w:rStyle w:val="Znakapoznpodarou"/>
        </w:rPr>
        <w:footnoteRef/>
      </w:r>
      <w:r>
        <w:t xml:space="preserve"> Např. Rozsudek ze dne 25. dubna 2007 ve věci </w:t>
      </w:r>
      <w:r w:rsidRPr="00DA1482">
        <w:rPr>
          <w:i/>
        </w:rPr>
        <w:t>WWF European Policy Programme v. Council of the European Union</w:t>
      </w:r>
      <w:r>
        <w:t>, T-264/04, par. 39</w:t>
      </w:r>
    </w:p>
  </w:footnote>
  <w:footnote w:id="54">
    <w:p w:rsidR="003C17FB" w:rsidRDefault="003C17FB" w:rsidP="00C809CE">
      <w:pPr>
        <w:pStyle w:val="Textpoznpodarou"/>
      </w:pPr>
      <w:r>
        <w:rPr>
          <w:rStyle w:val="Znakapoznpodarou"/>
        </w:rPr>
        <w:footnoteRef/>
      </w:r>
      <w:r>
        <w:t xml:space="preserve"> Rozsudek ze dne 6. prosince 2012, ve věci </w:t>
      </w:r>
      <w:r w:rsidRPr="00544E4E">
        <w:rPr>
          <w:i/>
        </w:rPr>
        <w:t>Evropaïki Dynamiki – Proigmena Systimata Tilepikoinonion Pliroforikis kai Tilematikis AE v. European Commission</w:t>
      </w:r>
      <w:r>
        <w:t xml:space="preserve">, </w:t>
      </w:r>
      <w:r w:rsidRPr="00544E4E">
        <w:t>T</w:t>
      </w:r>
      <w:r w:rsidRPr="00544E4E">
        <w:noBreakHyphen/>
        <w:t>167/10</w:t>
      </w:r>
      <w:r>
        <w:t>, par. 62-64</w:t>
      </w:r>
    </w:p>
  </w:footnote>
  <w:footnote w:id="55">
    <w:p w:rsidR="003C17FB" w:rsidRPr="00C549FF" w:rsidRDefault="003C17FB" w:rsidP="00C809CE">
      <w:pPr>
        <w:pStyle w:val="Textpoznpodarou"/>
      </w:pPr>
      <w:r>
        <w:rPr>
          <w:rStyle w:val="Znakapoznpodarou"/>
        </w:rPr>
        <w:footnoteRef/>
      </w:r>
      <w:r>
        <w:t xml:space="preserve"> Rozsudek ze dne 4. května 2012 ve věci </w:t>
      </w:r>
      <w:r w:rsidRPr="00C549FF">
        <w:rPr>
          <w:i/>
        </w:rPr>
        <w:t>Sophie In’t Veld v</w:t>
      </w:r>
      <w:r>
        <w:rPr>
          <w:i/>
        </w:rPr>
        <w:t> </w:t>
      </w:r>
      <w:r w:rsidRPr="00C549FF">
        <w:rPr>
          <w:i/>
        </w:rPr>
        <w:t>Council</w:t>
      </w:r>
      <w:r>
        <w:t xml:space="preserve">, T-529/09 </w:t>
      </w:r>
    </w:p>
  </w:footnote>
  <w:footnote w:id="56">
    <w:p w:rsidR="003C17FB" w:rsidRDefault="003C17FB" w:rsidP="00C809CE">
      <w:pPr>
        <w:pStyle w:val="Textpoznpodarou"/>
      </w:pPr>
      <w:r>
        <w:rPr>
          <w:rStyle w:val="Znakapoznpodarou"/>
        </w:rPr>
        <w:footnoteRef/>
      </w:r>
      <w:r>
        <w:t xml:space="preserve"> Belgičanka a též členka Evropského parlamentu</w:t>
      </w:r>
    </w:p>
  </w:footnote>
  <w:footnote w:id="57">
    <w:p w:rsidR="003C17FB" w:rsidRDefault="003C17FB" w:rsidP="00C809CE">
      <w:pPr>
        <w:pStyle w:val="Textpoznpodarou"/>
      </w:pPr>
      <w:r>
        <w:rPr>
          <w:rStyle w:val="Znakapoznpodarou"/>
        </w:rPr>
        <w:footnoteRef/>
      </w:r>
      <w:r>
        <w:t xml:space="preserve"> Rozsudek ze dne 20. června 2010 ve věci </w:t>
      </w:r>
      <w:r w:rsidRPr="00537920">
        <w:rPr>
          <w:i/>
        </w:rPr>
        <w:t>Komise v. The Bavarian Lager Co. Ltd</w:t>
      </w:r>
      <w:r>
        <w:t>., C-28/08 P; toto rozhodnutí je důležité též z hlediska opatření rovnocenných s množstevním omezením.</w:t>
      </w:r>
    </w:p>
  </w:footnote>
  <w:footnote w:id="58">
    <w:p w:rsidR="003C17FB" w:rsidRDefault="003C17FB" w:rsidP="00C809CE">
      <w:pPr>
        <w:pStyle w:val="Textpoznpodarou"/>
      </w:pPr>
      <w:r>
        <w:rPr>
          <w:rStyle w:val="Znakapoznpodarou"/>
        </w:rPr>
        <w:footnoteRef/>
      </w:r>
      <w:r>
        <w:t xml:space="preserve"> Nařízení Evropského parlamentu a Rady (ES) ze dne 18. prosince 2000, č. 45/2001, o ochraně fyzických osob v souvislosti se zpracováním osobních údajů orgány a institucemi Společenství a o volném pohybu těchto údajů</w:t>
      </w:r>
    </w:p>
  </w:footnote>
  <w:footnote w:id="59">
    <w:p w:rsidR="003C17FB" w:rsidRDefault="003C17FB" w:rsidP="00C809CE">
      <w:pPr>
        <w:pStyle w:val="Textpoznpodarou"/>
      </w:pPr>
      <w:r>
        <w:rPr>
          <w:rStyle w:val="Znakapoznpodarou"/>
        </w:rPr>
        <w:footnoteRef/>
      </w:r>
      <w:r>
        <w:t xml:space="preserve"> Tamtéž: bod 75-77</w:t>
      </w:r>
    </w:p>
  </w:footnote>
  <w:footnote w:id="60">
    <w:p w:rsidR="003C17FB" w:rsidRDefault="003C17FB" w:rsidP="00C809CE">
      <w:pPr>
        <w:pStyle w:val="Textpoznpodarou"/>
      </w:pPr>
      <w:r>
        <w:rPr>
          <w:rStyle w:val="Znakapoznpodarou"/>
        </w:rPr>
        <w:footnoteRef/>
      </w:r>
      <w:r>
        <w:t xml:space="preserve"> Rozsudek ze dne 22. května 2012 ve věci</w:t>
      </w:r>
      <w:r w:rsidRPr="00537920">
        <w:rPr>
          <w:i/>
        </w:rPr>
        <w:t xml:space="preserve"> Internationaler Hilfsfonds eV v Komise</w:t>
      </w:r>
      <w:r>
        <w:t>, T-300/10</w:t>
      </w:r>
    </w:p>
  </w:footnote>
  <w:footnote w:id="61">
    <w:p w:rsidR="003C17FB" w:rsidRDefault="003C17FB" w:rsidP="00C809CE">
      <w:pPr>
        <w:pStyle w:val="Textpoznpodarou"/>
      </w:pPr>
      <w:r>
        <w:rPr>
          <w:rStyle w:val="Znakapoznpodarou"/>
        </w:rPr>
        <w:footnoteRef/>
      </w:r>
      <w:r>
        <w:t xml:space="preserve"> Emisemi se rozumí</w:t>
      </w:r>
      <w:r w:rsidRPr="000C6546">
        <w:t xml:space="preserve"> </w:t>
      </w:r>
      <w:r>
        <w:t>přímé nebo nepřímé uvolňování látek, vibrací, tepla nebo hluku z bodových nebo difúzních zdrojů v zařízení do ovzduší, vody či půdy. Směrnice Evropského parlamentu a Rady ze dne 24. listopadu 2010 č. 2010/75/EU o průmyslových emisích</w:t>
      </w:r>
    </w:p>
  </w:footnote>
  <w:footnote w:id="62">
    <w:p w:rsidR="003C17FB" w:rsidRPr="001E79EA" w:rsidRDefault="003C17FB" w:rsidP="00C809CE">
      <w:pPr>
        <w:pStyle w:val="Textpoznpodarou"/>
      </w:pPr>
      <w:r>
        <w:rPr>
          <w:rStyle w:val="Znakapoznpodarou"/>
        </w:rPr>
        <w:footnoteRef/>
      </w:r>
      <w:r>
        <w:t xml:space="preserve"> Rozsudek ze dne 8. října 2013 ve věci </w:t>
      </w:r>
      <w:r w:rsidRPr="001E79EA">
        <w:rPr>
          <w:i/>
        </w:rPr>
        <w:t>Stichting Greenpeace Nederland v. Pesticide Action Network Europe (PAN Europe)</w:t>
      </w:r>
      <w:r>
        <w:rPr>
          <w:i/>
        </w:rPr>
        <w:t xml:space="preserve">, </w:t>
      </w:r>
      <w:r>
        <w:t>T-545/11, bod 35-39, 50-53</w:t>
      </w:r>
    </w:p>
  </w:footnote>
  <w:footnote w:id="63">
    <w:p w:rsidR="003C17FB" w:rsidRDefault="003C17FB" w:rsidP="00C809CE">
      <w:pPr>
        <w:pStyle w:val="Textpoznpodarou"/>
      </w:pPr>
      <w:r>
        <w:rPr>
          <w:rStyle w:val="Znakapoznpodarou"/>
        </w:rPr>
        <w:footnoteRef/>
      </w:r>
      <w:r>
        <w:t xml:space="preserve"> Rozsudek ze dne 21. září 2010 ve spojené věci </w:t>
      </w:r>
      <w:r w:rsidRPr="00BB72EB">
        <w:rPr>
          <w:i/>
        </w:rPr>
        <w:t>Švédsko a další v. API a Komise</w:t>
      </w:r>
      <w:r>
        <w:t xml:space="preserve">, C-514/07 P, C-528/07 P a C-532/07 P, bod. 84,94,103,130, </w:t>
      </w:r>
    </w:p>
  </w:footnote>
  <w:footnote w:id="64">
    <w:p w:rsidR="003C17FB" w:rsidRDefault="003C17FB" w:rsidP="00C809CE">
      <w:pPr>
        <w:pStyle w:val="Textpoznpodarou"/>
      </w:pPr>
      <w:r>
        <w:rPr>
          <w:rStyle w:val="Znakapoznpodarou"/>
        </w:rPr>
        <w:footnoteRef/>
      </w:r>
      <w:r>
        <w:t xml:space="preserve"> Tamtéž, bod 152 </w:t>
      </w:r>
    </w:p>
  </w:footnote>
  <w:footnote w:id="65">
    <w:p w:rsidR="003C17FB" w:rsidRDefault="003C17FB" w:rsidP="00C809CE">
      <w:pPr>
        <w:pStyle w:val="Textpoznpodarou"/>
      </w:pPr>
      <w:r>
        <w:rPr>
          <w:rStyle w:val="Znakapoznpodarou"/>
        </w:rPr>
        <w:footnoteRef/>
      </w:r>
      <w:r>
        <w:t xml:space="preserve"> Rozsudek ze dne 21. července 2011 ve věci </w:t>
      </w:r>
      <w:r w:rsidRPr="00704AE7">
        <w:rPr>
          <w:i/>
        </w:rPr>
        <w:t>MyTravel Group plc</w:t>
      </w:r>
      <w:r>
        <w:rPr>
          <w:i/>
        </w:rPr>
        <w:t xml:space="preserve"> a Švédské království v.</w:t>
      </w:r>
      <w:r w:rsidRPr="00704AE7">
        <w:rPr>
          <w:i/>
        </w:rPr>
        <w:t>Komis</w:t>
      </w:r>
      <w:r>
        <w:rPr>
          <w:i/>
        </w:rPr>
        <w:t>e</w:t>
      </w:r>
      <w:r>
        <w:t>, C-506/08 P</w:t>
      </w:r>
    </w:p>
  </w:footnote>
  <w:footnote w:id="66">
    <w:p w:rsidR="003C17FB" w:rsidRDefault="003C17FB" w:rsidP="00C809CE">
      <w:pPr>
        <w:pStyle w:val="Textpoznpodarou"/>
      </w:pPr>
      <w:r>
        <w:rPr>
          <w:rStyle w:val="Znakapoznpodarou"/>
        </w:rPr>
        <w:footnoteRef/>
      </w:r>
      <w:r>
        <w:t xml:space="preserve"> Tamtéž, bod 110</w:t>
      </w:r>
    </w:p>
  </w:footnote>
  <w:footnote w:id="67">
    <w:p w:rsidR="003C17FB" w:rsidRPr="009953FA" w:rsidRDefault="003C17FB" w:rsidP="00C809CE">
      <w:pPr>
        <w:pStyle w:val="Textpoznpodarou"/>
      </w:pPr>
      <w:r>
        <w:rPr>
          <w:rStyle w:val="Znakapoznpodarou"/>
        </w:rPr>
        <w:footnoteRef/>
      </w:r>
      <w:r>
        <w:t xml:space="preserve"> Rozsudek ze dne 17. října 2013 ve věci </w:t>
      </w:r>
      <w:r w:rsidRPr="009953FA">
        <w:rPr>
          <w:i/>
        </w:rPr>
        <w:t>Komise v. Acces Info Europe</w:t>
      </w:r>
      <w:r>
        <w:t>, C-280/11 P</w:t>
      </w:r>
    </w:p>
  </w:footnote>
  <w:footnote w:id="68">
    <w:p w:rsidR="003C17FB" w:rsidRDefault="003C17FB" w:rsidP="00C809CE">
      <w:pPr>
        <w:pStyle w:val="Textpoznpodarou"/>
      </w:pPr>
      <w:r>
        <w:rPr>
          <w:rStyle w:val="Znakapoznpodarou"/>
        </w:rPr>
        <w:footnoteRef/>
      </w:r>
      <w:r>
        <w:t xml:space="preserve"> OLIVER, Peter. Access to Information and to Justice in EU Environmental Law: The Aarhus Convention (2013). </w:t>
      </w:r>
      <w:r w:rsidRPr="00FE057C">
        <w:rPr>
          <w:i/>
        </w:rPr>
        <w:t>Fordham International Law Journal</w:t>
      </w:r>
      <w:r>
        <w:t>, s. 1440</w:t>
      </w:r>
    </w:p>
  </w:footnote>
  <w:footnote w:id="69">
    <w:p w:rsidR="003C17FB" w:rsidRPr="00377E51" w:rsidRDefault="003C17FB" w:rsidP="00C809CE">
      <w:pPr>
        <w:pStyle w:val="Textpoznpodarou"/>
      </w:pPr>
      <w:r>
        <w:rPr>
          <w:rStyle w:val="Znakapoznpodarou"/>
        </w:rPr>
        <w:footnoteRef/>
      </w:r>
      <w:r>
        <w:t xml:space="preserve"> Rozsudek ze dne 21. června 2012 ve věci</w:t>
      </w:r>
      <w:r w:rsidRPr="00377E51">
        <w:rPr>
          <w:i/>
        </w:rPr>
        <w:t xml:space="preserve"> </w:t>
      </w:r>
      <w:r w:rsidRPr="00E53D41">
        <w:rPr>
          <w:i/>
        </w:rPr>
        <w:t>IFAW v. Komise</w:t>
      </w:r>
      <w:r>
        <w:t>, C-64/05 P</w:t>
      </w:r>
    </w:p>
  </w:footnote>
  <w:footnote w:id="70">
    <w:p w:rsidR="003C17FB" w:rsidRDefault="003C17FB" w:rsidP="00C809CE">
      <w:pPr>
        <w:pStyle w:val="Textpoznpodarou"/>
      </w:pPr>
      <w:r>
        <w:rPr>
          <w:rStyle w:val="Znakapoznpodarou"/>
        </w:rPr>
        <w:footnoteRef/>
      </w:r>
      <w:r>
        <w:t xml:space="preserve"> Data byla získána ze sdělení Komise COM (2013) 515, COM (2014) 619, COM (2015) 391</w:t>
      </w:r>
    </w:p>
  </w:footnote>
  <w:footnote w:id="71">
    <w:p w:rsidR="003C17FB" w:rsidRDefault="003C17FB">
      <w:pPr>
        <w:pStyle w:val="Textpoznpodarou"/>
      </w:pPr>
      <w:r>
        <w:rPr>
          <w:rStyle w:val="Znakapoznpodarou"/>
        </w:rPr>
        <w:footnoteRef/>
      </w:r>
      <w:r>
        <w:t xml:space="preserve"> </w:t>
      </w:r>
      <w:r w:rsidRPr="00E51B0A">
        <w:rPr>
          <w:rFonts w:ascii="Open Sans" w:hAnsi="Open Sans"/>
          <w:i/>
          <w:iCs/>
          <w:shd w:val="clear" w:color="auto" w:fill="FFFFFF"/>
        </w:rPr>
        <w:t>Aarhus convention: an implementation guide</w:t>
      </w:r>
      <w:r>
        <w:rPr>
          <w:rFonts w:ascii="Open Sans" w:hAnsi="Open Sans"/>
          <w:shd w:val="clear" w:color="auto" w:fill="FFFFFF"/>
        </w:rPr>
        <w:t>. s. 95</w:t>
      </w:r>
      <w:r w:rsidRPr="00E51B0A">
        <w:rPr>
          <w:rFonts w:ascii="Open Sans" w:hAnsi="Open Sans"/>
          <w:shd w:val="clear" w:color="auto" w:fill="FFFFFF"/>
        </w:rPr>
        <w:t xml:space="preserve"> </w:t>
      </w:r>
    </w:p>
  </w:footnote>
  <w:footnote w:id="72">
    <w:p w:rsidR="003C17FB" w:rsidRDefault="003C17FB">
      <w:pPr>
        <w:pStyle w:val="Textpoznpodarou"/>
      </w:pPr>
      <w:r>
        <w:rPr>
          <w:rStyle w:val="Znakapoznpodarou"/>
        </w:rPr>
        <w:footnoteRef/>
      </w:r>
      <w:r>
        <w:t xml:space="preserve"> Případ </w:t>
      </w:r>
      <w:r w:rsidRPr="00491B6F">
        <w:rPr>
          <w:rFonts w:cs="Book Antiqua"/>
          <w:i/>
          <w:iCs/>
          <w:color w:val="000000"/>
        </w:rPr>
        <w:t>Ukraine ACCC/C/2004/3 and ACCC/S/2004/1</w:t>
      </w:r>
      <w:r>
        <w:rPr>
          <w:rFonts w:cs="Book Antiqua"/>
          <w:i/>
          <w:iCs/>
          <w:color w:val="000000"/>
        </w:rPr>
        <w:t>,</w:t>
      </w:r>
      <w:r w:rsidRPr="00491B6F">
        <w:rPr>
          <w:rFonts w:cs="Book Antiqua"/>
          <w:i/>
          <w:iCs/>
          <w:color w:val="000000"/>
        </w:rPr>
        <w:t xml:space="preserve"> para. 31</w:t>
      </w:r>
    </w:p>
  </w:footnote>
  <w:footnote w:id="73">
    <w:p w:rsidR="003C17FB" w:rsidRDefault="003C17FB">
      <w:pPr>
        <w:pStyle w:val="Textpoznpodarou"/>
      </w:pPr>
      <w:r>
        <w:rPr>
          <w:rStyle w:val="Znakapoznpodarou"/>
        </w:rPr>
        <w:footnoteRef/>
      </w:r>
      <w:r>
        <w:t xml:space="preserve"> Článek 5 odst. 1 Úmluvy</w:t>
      </w:r>
    </w:p>
  </w:footnote>
  <w:footnote w:id="74">
    <w:p w:rsidR="003C17FB" w:rsidRDefault="003C17FB">
      <w:pPr>
        <w:pStyle w:val="Textpoznpodarou"/>
      </w:pPr>
      <w:r>
        <w:rPr>
          <w:rStyle w:val="Znakapoznpodarou"/>
        </w:rPr>
        <w:footnoteRef/>
      </w:r>
      <w:r>
        <w:t xml:space="preserve"> Články 2, 3, 5, 7, 8 Úmluvy</w:t>
      </w:r>
    </w:p>
  </w:footnote>
  <w:footnote w:id="75">
    <w:p w:rsidR="003C17FB" w:rsidRDefault="003C17FB">
      <w:pPr>
        <w:pStyle w:val="Textpoznpodarou"/>
      </w:pPr>
      <w:r>
        <w:rPr>
          <w:rStyle w:val="Znakapoznpodarou"/>
        </w:rPr>
        <w:footnoteRef/>
      </w:r>
      <w:r>
        <w:t xml:space="preserve"> Článek 4</w:t>
      </w:r>
    </w:p>
  </w:footnote>
  <w:footnote w:id="76">
    <w:p w:rsidR="003C17FB" w:rsidRDefault="003C17FB">
      <w:pPr>
        <w:pStyle w:val="Textpoznpodarou"/>
      </w:pPr>
      <w:r>
        <w:rPr>
          <w:rStyle w:val="Znakapoznpodarou"/>
        </w:rPr>
        <w:footnoteRef/>
      </w:r>
      <w:r>
        <w:t xml:space="preserve"> Články 6 a 9 Úmluvy</w:t>
      </w:r>
    </w:p>
  </w:footnote>
  <w:footnote w:id="77">
    <w:p w:rsidR="003C17FB" w:rsidRDefault="003C17FB">
      <w:pPr>
        <w:pStyle w:val="Textpoznpodarou"/>
      </w:pPr>
      <w:r>
        <w:rPr>
          <w:rStyle w:val="Znakapoznpodarou"/>
        </w:rPr>
        <w:footnoteRef/>
      </w:r>
      <w:r>
        <w:t xml:space="preserve"> Viz kapitola 1.1</w:t>
      </w:r>
    </w:p>
  </w:footnote>
  <w:footnote w:id="78">
    <w:p w:rsidR="003C17FB" w:rsidRDefault="003C17FB">
      <w:pPr>
        <w:pStyle w:val="Textpoznpodarou"/>
      </w:pPr>
      <w:r>
        <w:rPr>
          <w:rStyle w:val="Znakapoznpodarou"/>
        </w:rPr>
        <w:footnoteRef/>
      </w:r>
      <w:r>
        <w:t xml:space="preserve"> Celkem má 33 členů a dalších 6 spolupracujících zemí.</w:t>
      </w:r>
    </w:p>
  </w:footnote>
  <w:footnote w:id="79">
    <w:p w:rsidR="003C17FB" w:rsidRDefault="003C17FB">
      <w:pPr>
        <w:pStyle w:val="Textpoznpodarou"/>
      </w:pPr>
      <w:r>
        <w:rPr>
          <w:rStyle w:val="Znakapoznpodarou"/>
        </w:rPr>
        <w:footnoteRef/>
      </w:r>
      <w:r>
        <w:t xml:space="preserve"> Čl. 1 odst. 2 písm. a) nařízení Evropského parlamentu a Rady (ES) č.  401/2009 ze dne 23.  dubna 2009, o  Evropské agentuře pro životní prostředí a  Evropské informační a  pozorovací síti pro životní prostředí.</w:t>
      </w:r>
    </w:p>
  </w:footnote>
  <w:footnote w:id="80">
    <w:p w:rsidR="003C17FB" w:rsidRDefault="003C17FB" w:rsidP="004C17C6">
      <w:pPr>
        <w:pStyle w:val="Textpoznpodarou"/>
      </w:pPr>
      <w:r>
        <w:rPr>
          <w:rStyle w:val="Znakapoznpodarou"/>
        </w:rPr>
        <w:footnoteRef/>
      </w:r>
      <w:r>
        <w:t xml:space="preserve"> Existuje okolo 350 různých institucí přispívajících do EIONETu</w:t>
      </w:r>
    </w:p>
  </w:footnote>
  <w:footnote w:id="81">
    <w:p w:rsidR="003C17FB" w:rsidRDefault="003C17FB" w:rsidP="004C17C6">
      <w:pPr>
        <w:pStyle w:val="Textpoznpodarou"/>
      </w:pPr>
      <w:r>
        <w:rPr>
          <w:rStyle w:val="Znakapoznpodarou"/>
        </w:rPr>
        <w:footnoteRef/>
      </w:r>
      <w:r>
        <w:t xml:space="preserve"> V České republice je národním kontaktním místem příspěvková organizace Ministerstva životního prostředí – CENIA (Czech environmental informatic agency). Tato organizace zároveň shromažďuje informace z pozorovacích sítí v rámci České republiky do </w:t>
      </w:r>
      <w:r w:rsidRPr="005D1ADE">
        <w:t>Informační</w:t>
      </w:r>
      <w:r>
        <w:t>ho</w:t>
      </w:r>
      <w:r w:rsidRPr="005D1ADE">
        <w:t xml:space="preserve"> systém</w:t>
      </w:r>
      <w:r>
        <w:t>u</w:t>
      </w:r>
      <w:r w:rsidRPr="005D1ADE">
        <w:t xml:space="preserve"> statistiky a reportingu životního prostředí</w:t>
      </w:r>
      <w:r>
        <w:t xml:space="preserve">, který online poskytuje informace o životním prostředí a zároveň jsou tyto informace postupovány v rámci EIONETu Evropské agentuře životního prostředí.   </w:t>
      </w:r>
    </w:p>
  </w:footnote>
  <w:footnote w:id="82">
    <w:p w:rsidR="003C17FB" w:rsidRPr="00290380" w:rsidRDefault="003C17FB">
      <w:pPr>
        <w:pStyle w:val="Textpoznpodarou"/>
      </w:pPr>
      <w:r w:rsidRPr="00290380">
        <w:rPr>
          <w:rStyle w:val="Znakapoznpodarou"/>
        </w:rPr>
        <w:footnoteRef/>
      </w:r>
      <w:r w:rsidRPr="00290380">
        <w:t xml:space="preserve"> </w:t>
      </w:r>
      <w:hyperlink r:id="rId12" w:history="1">
        <w:r w:rsidRPr="00290380">
          <w:rPr>
            <w:rStyle w:val="Hypertextovodkaz"/>
            <w:color w:val="auto"/>
          </w:rPr>
          <w:t>http://www.eionet.europa.eu/gis/</w:t>
        </w:r>
      </w:hyperlink>
      <w:r w:rsidRPr="00290380">
        <w:t xml:space="preserve"> </w:t>
      </w:r>
    </w:p>
  </w:footnote>
  <w:footnote w:id="83">
    <w:p w:rsidR="003C17FB" w:rsidRDefault="003C17FB" w:rsidP="00230F6D">
      <w:pPr>
        <w:pStyle w:val="Textpoznpodarou"/>
        <w:jc w:val="left"/>
      </w:pPr>
      <w:r w:rsidRPr="00290380">
        <w:rPr>
          <w:rStyle w:val="Znakapoznpodarou"/>
        </w:rPr>
        <w:footnoteRef/>
      </w:r>
      <w:r w:rsidRPr="00290380">
        <w:t xml:space="preserve"> Zpráva pro rok 2014 dostupná zde: </w:t>
      </w:r>
      <w:hyperlink r:id="rId13" w:history="1">
        <w:r w:rsidRPr="00290380">
          <w:rPr>
            <w:rStyle w:val="Hypertextovodkaz"/>
            <w:color w:val="auto"/>
          </w:rPr>
          <w:t>http://www.szu.cz/uploads/documents/chzp/voda/pdf/monit/voda_2014.pdf</w:t>
        </w:r>
      </w:hyperlink>
      <w:r>
        <w:t xml:space="preserve"> </w:t>
      </w:r>
    </w:p>
  </w:footnote>
  <w:footnote w:id="84">
    <w:p w:rsidR="003C17FB" w:rsidRPr="00290380" w:rsidRDefault="003C17FB">
      <w:pPr>
        <w:pStyle w:val="Textpoznpodarou"/>
      </w:pPr>
      <w:r w:rsidRPr="00290380">
        <w:rPr>
          <w:rStyle w:val="Znakapoznpodarou"/>
        </w:rPr>
        <w:footnoteRef/>
      </w:r>
      <w:r w:rsidRPr="00290380">
        <w:t xml:space="preserve"> Například Zpráva o hlukových emisích za rok 2014. zdroj: </w:t>
      </w:r>
      <w:hyperlink r:id="rId14" w:history="1">
        <w:r w:rsidRPr="00290380">
          <w:rPr>
            <w:rStyle w:val="Hypertextovodkaz"/>
            <w:color w:val="auto"/>
          </w:rPr>
          <w:t>http://www.eea.europa.eu/publications/noise-in-europe-2014</w:t>
        </w:r>
      </w:hyperlink>
      <w:r w:rsidRPr="00290380">
        <w:t xml:space="preserve"> </w:t>
      </w:r>
    </w:p>
  </w:footnote>
  <w:footnote w:id="85">
    <w:p w:rsidR="003C17FB" w:rsidRPr="00290380" w:rsidRDefault="003C17FB">
      <w:pPr>
        <w:pStyle w:val="Textpoznpodarou"/>
      </w:pPr>
      <w:r w:rsidRPr="00290380">
        <w:rPr>
          <w:rStyle w:val="Znakapoznpodarou"/>
        </w:rPr>
        <w:footnoteRef/>
      </w:r>
      <w:r w:rsidRPr="00290380">
        <w:t xml:space="preserve"> Zdroj: </w:t>
      </w:r>
      <w:hyperlink r:id="rId15" w:history="1">
        <w:r w:rsidRPr="00290380">
          <w:rPr>
            <w:rStyle w:val="Hypertextovodkaz"/>
            <w:color w:val="auto"/>
          </w:rPr>
          <w:t>http://www.eea.europa.eu/soer</w:t>
        </w:r>
      </w:hyperlink>
      <w:r w:rsidRPr="00290380">
        <w:t xml:space="preserve"> </w:t>
      </w:r>
    </w:p>
  </w:footnote>
  <w:footnote w:id="86">
    <w:p w:rsidR="003C17FB" w:rsidRDefault="003C17FB">
      <w:pPr>
        <w:pStyle w:val="Textpoznpodarou"/>
      </w:pPr>
      <w:r w:rsidRPr="00290380">
        <w:rPr>
          <w:rStyle w:val="Znakapoznpodarou"/>
        </w:rPr>
        <w:footnoteRef/>
      </w:r>
      <w:r w:rsidRPr="00290380">
        <w:t xml:space="preserve"> Databáze dostupná zde: http://cdr.eionet.europa.eu/</w:t>
      </w:r>
    </w:p>
  </w:footnote>
  <w:footnote w:id="87">
    <w:p w:rsidR="003C17FB" w:rsidRDefault="003C17FB">
      <w:pPr>
        <w:pStyle w:val="Textpoznpodarou"/>
      </w:pPr>
      <w:r>
        <w:rPr>
          <w:rStyle w:val="Znakapoznpodarou"/>
        </w:rPr>
        <w:footnoteRef/>
      </w:r>
      <w:r>
        <w:t xml:space="preserve"> Nutno podotknout, že byly návrhy na zavedení evropského procesu EIA, ty nicméně nebyly realizovány</w:t>
      </w:r>
    </w:p>
  </w:footnote>
  <w:footnote w:id="88">
    <w:p w:rsidR="003C17FB" w:rsidRDefault="003C17FB">
      <w:pPr>
        <w:pStyle w:val="Textpoznpodarou"/>
      </w:pPr>
      <w:r>
        <w:rPr>
          <w:rStyle w:val="Znakapoznpodarou"/>
        </w:rPr>
        <w:footnoteRef/>
      </w:r>
      <w:r>
        <w:t xml:space="preserve"> Například </w:t>
      </w:r>
      <w:r w:rsidRPr="003667C6">
        <w:rPr>
          <w:rFonts w:cs="Book Antiqua"/>
          <w:i/>
          <w:iCs/>
          <w:color w:val="000000"/>
        </w:rPr>
        <w:t>United Kingdom ACCC/C/2008/27</w:t>
      </w:r>
    </w:p>
  </w:footnote>
  <w:footnote w:id="89">
    <w:p w:rsidR="003C17FB" w:rsidRDefault="003C17FB">
      <w:pPr>
        <w:pStyle w:val="Textpoznpodarou"/>
      </w:pPr>
      <w:r>
        <w:rPr>
          <w:rStyle w:val="Znakapoznpodarou"/>
        </w:rPr>
        <w:footnoteRef/>
      </w:r>
      <w:r>
        <w:t xml:space="preserve"> Čl. 2 odst. 5 Úmluvy o posuzování vlivů na životní prostředí přesahující hranice států (dále jen Espoo úmluva); prakticky shodnou definici nabízí i čl. 2 směrnice 2001/42/ES o posuzování vlivů některých plánů a programů na životní prostředí.</w:t>
      </w:r>
    </w:p>
  </w:footnote>
  <w:footnote w:id="90">
    <w:p w:rsidR="003C17FB" w:rsidRDefault="003C17FB">
      <w:pPr>
        <w:pStyle w:val="Textpoznpodarou"/>
      </w:pPr>
      <w:r>
        <w:rPr>
          <w:rStyle w:val="Znakapoznpodarou"/>
        </w:rPr>
        <w:footnoteRef/>
      </w:r>
      <w:r>
        <w:t xml:space="preserve"> VESELÝ, A. NEKOLA, M.</w:t>
      </w:r>
      <w:r w:rsidRPr="00714EB4">
        <w:rPr>
          <w:rFonts w:cs="Times New Roman"/>
          <w:i/>
        </w:rPr>
        <w:t xml:space="preserve"> </w:t>
      </w:r>
      <w:r w:rsidRPr="00D236D0">
        <w:rPr>
          <w:rFonts w:cs="Times New Roman"/>
          <w:i/>
          <w:color w:val="000000" w:themeColor="text1"/>
          <w:shd w:val="clear" w:color="auto" w:fill="FFFFFF"/>
        </w:rPr>
        <w:t>Analýza a tvorba veřejných politik: přístupy, metody a praxe.</w:t>
      </w:r>
      <w:r>
        <w:rPr>
          <w:rFonts w:cs="Times New Roman"/>
          <w:color w:val="000000" w:themeColor="text1"/>
          <w:shd w:val="clear" w:color="auto" w:fill="FFFFFF"/>
        </w:rPr>
        <w:t xml:space="preserve"> 1. vyd. Praha</w:t>
      </w:r>
      <w:r w:rsidRPr="00D236D0">
        <w:rPr>
          <w:rFonts w:cs="Times New Roman"/>
          <w:color w:val="000000" w:themeColor="text1"/>
          <w:shd w:val="clear" w:color="auto" w:fill="FFFFFF"/>
        </w:rPr>
        <w:t>: Sociologické nakladatelství, 2007. s 31.</w:t>
      </w:r>
    </w:p>
  </w:footnote>
  <w:footnote w:id="91">
    <w:p w:rsidR="003C17FB" w:rsidRDefault="003C17FB">
      <w:pPr>
        <w:pStyle w:val="Textpoznpodarou"/>
      </w:pPr>
      <w:r>
        <w:rPr>
          <w:rStyle w:val="Znakapoznpodarou"/>
        </w:rPr>
        <w:footnoteRef/>
      </w:r>
      <w:r>
        <w:t xml:space="preserve"> Právní základem může být též čl. 114 SFEU, nicméně ten směřuje k harmonizaci rozdílných právních úprav členských států, což není předmětem této práce. </w:t>
      </w:r>
    </w:p>
  </w:footnote>
  <w:footnote w:id="92">
    <w:p w:rsidR="003C17FB" w:rsidRDefault="003C17FB">
      <w:pPr>
        <w:pStyle w:val="Textpoznpodarou"/>
      </w:pPr>
      <w:r>
        <w:rPr>
          <w:rStyle w:val="Znakapoznpodarou"/>
        </w:rPr>
        <w:footnoteRef/>
      </w:r>
      <w:r>
        <w:t xml:space="preserve"> Legislativní akty: nařízení, směrnice a rozhodnutí; doporučení a stanoviska jako nezávazné akty; nelegislativní akty s obecnou působností vydávané Komisí</w:t>
      </w:r>
    </w:p>
  </w:footnote>
  <w:footnote w:id="93">
    <w:p w:rsidR="003C17FB" w:rsidRDefault="003C17FB" w:rsidP="004478DB">
      <w:pPr>
        <w:pStyle w:val="Textpoznpodarou"/>
      </w:pPr>
      <w:r>
        <w:rPr>
          <w:rStyle w:val="Znakapoznpodarou"/>
        </w:rPr>
        <w:footnoteRef/>
      </w:r>
      <w:r>
        <w:t xml:space="preserve"> Sdělní Komise COM(2001) 438 European Governance – A white paper</w:t>
      </w:r>
    </w:p>
  </w:footnote>
  <w:footnote w:id="94">
    <w:p w:rsidR="003C17FB" w:rsidRDefault="003C17FB" w:rsidP="00A718A7">
      <w:pPr>
        <w:pStyle w:val="Textpoznpodarou"/>
      </w:pPr>
      <w:r>
        <w:rPr>
          <w:rStyle w:val="Znakapoznpodarou"/>
        </w:rPr>
        <w:footnoteRef/>
      </w:r>
      <w:r>
        <w:t xml:space="preserve"> Tato hranice je odvislá od velikosti státu a jeho obyvatelstva. Pro ČR se jedná o 16 500 petentů, Německo má naopak hranici 74 250</w:t>
      </w:r>
    </w:p>
  </w:footnote>
  <w:footnote w:id="95">
    <w:p w:rsidR="003C17FB" w:rsidRDefault="003C17FB" w:rsidP="00A718A7">
      <w:pPr>
        <w:pStyle w:val="Textpoznpodarou"/>
      </w:pPr>
      <w:r>
        <w:rPr>
          <w:rStyle w:val="Znakapoznpodarou"/>
        </w:rPr>
        <w:footnoteRef/>
      </w:r>
      <w:r>
        <w:t xml:space="preserve"> Nařízení č. 211/2011</w:t>
      </w:r>
    </w:p>
  </w:footnote>
  <w:footnote w:id="96">
    <w:p w:rsidR="003C17FB" w:rsidRDefault="003C17FB" w:rsidP="00A718A7">
      <w:pPr>
        <w:pStyle w:val="Textpoznpodarou"/>
      </w:pPr>
      <w:r>
        <w:rPr>
          <w:rStyle w:val="Znakapoznpodarou"/>
        </w:rPr>
        <w:footnoteRef/>
      </w:r>
      <w:r>
        <w:t xml:space="preserve"> Pro oblast životního prostředí se jedná tedy o oblasti vymezené hlavou XX SFEU</w:t>
      </w:r>
    </w:p>
  </w:footnote>
  <w:footnote w:id="97">
    <w:p w:rsidR="003C17FB" w:rsidRPr="00FA5A6F" w:rsidRDefault="003C17FB" w:rsidP="00FA5A6F">
      <w:pPr>
        <w:spacing w:line="240" w:lineRule="auto"/>
        <w:rPr>
          <w:sz w:val="20"/>
          <w:szCs w:val="20"/>
        </w:rPr>
      </w:pPr>
      <w:r>
        <w:rPr>
          <w:rStyle w:val="Znakapoznpodarou"/>
        </w:rPr>
        <w:footnoteRef/>
      </w:r>
      <w:r w:rsidRPr="00FA5A6F">
        <w:rPr>
          <w:sz w:val="20"/>
          <w:szCs w:val="20"/>
        </w:rPr>
        <w:t xml:space="preserve">Kapitola 2 SEU; V oblasti Společné zahraniční a bezpečnostní politiky je přijímání legislativních aktů vyloučeno. Zároveň se jedná o pro členské státy citlivou oblast, kde byla do značné míry zachována mezivládní forma spolupráce, projevující se například v naprosto převažující jednomyslné formě rozhodování Evropské rady a Rady. </w:t>
      </w:r>
    </w:p>
  </w:footnote>
  <w:footnote w:id="98">
    <w:p w:rsidR="003C17FB" w:rsidRDefault="003C17FB" w:rsidP="00FA5A6F">
      <w:pPr>
        <w:pStyle w:val="Textpoznpodarou"/>
      </w:pPr>
      <w:r>
        <w:rPr>
          <w:rStyle w:val="Znakapoznpodarou"/>
        </w:rPr>
        <w:footnoteRef/>
      </w:r>
      <w:r>
        <w:t xml:space="preserve"> Iniciativa: „Right2Water“</w:t>
      </w:r>
    </w:p>
  </w:footnote>
  <w:footnote w:id="99">
    <w:p w:rsidR="003C17FB" w:rsidRDefault="003C17FB" w:rsidP="00A718A7">
      <w:pPr>
        <w:pStyle w:val="Textpoznpodarou"/>
      </w:pPr>
      <w:r>
        <w:rPr>
          <w:rStyle w:val="Znakapoznpodarou"/>
        </w:rPr>
        <w:footnoteRef/>
      </w:r>
      <w:r>
        <w:t xml:space="preserve"> Proces je samozřejmě složitější, nicméně změny primárního práva nejsou předmětem této práce.</w:t>
      </w:r>
    </w:p>
  </w:footnote>
  <w:footnote w:id="100">
    <w:p w:rsidR="003C17FB" w:rsidRPr="005E2D07" w:rsidRDefault="003C17FB" w:rsidP="00A718A7">
      <w:pPr>
        <w:pStyle w:val="Textpoznpodarou"/>
      </w:pPr>
      <w:r>
        <w:rPr>
          <w:rStyle w:val="Znakapoznpodarou"/>
        </w:rPr>
        <w:footnoteRef/>
      </w:r>
      <w:r>
        <w:t xml:space="preserve"> SVOBODOVÁ, Markéta. </w:t>
      </w:r>
      <w:r w:rsidRPr="005E2D07">
        <w:rPr>
          <w:i/>
        </w:rPr>
        <w:t>Evropská občanská iniciativa jako pokus o přímou demokracii v Evropské unii</w:t>
      </w:r>
      <w:r>
        <w:t>. ASPI. 20.6.2014. Cit. 27.10.2015. LIT48571CZ</w:t>
      </w:r>
    </w:p>
  </w:footnote>
  <w:footnote w:id="101">
    <w:p w:rsidR="003C17FB" w:rsidRDefault="003C17FB" w:rsidP="00A718A7">
      <w:pPr>
        <w:pStyle w:val="Textpoznpodarou"/>
      </w:pPr>
      <w:r>
        <w:rPr>
          <w:rStyle w:val="Znakapoznpodarou"/>
        </w:rPr>
        <w:footnoteRef/>
      </w:r>
      <w:r>
        <w:t xml:space="preserve"> Viz úspěšnost iniciativ výše.</w:t>
      </w:r>
    </w:p>
  </w:footnote>
  <w:footnote w:id="102">
    <w:p w:rsidR="003C17FB" w:rsidRDefault="003C17FB">
      <w:pPr>
        <w:pStyle w:val="Textpoznpodarou"/>
      </w:pPr>
      <w:r>
        <w:rPr>
          <w:rStyle w:val="Znakapoznpodarou"/>
        </w:rPr>
        <w:footnoteRef/>
      </w:r>
      <w:r>
        <w:t xml:space="preserve"> Jak již bylo řečeno, Úmluva je z hlediska hierarchie pramenů evropského práva mezi primárním a sekundárním právem</w:t>
      </w:r>
    </w:p>
  </w:footnote>
  <w:footnote w:id="103">
    <w:p w:rsidR="003C17FB" w:rsidRDefault="003C17FB">
      <w:pPr>
        <w:pStyle w:val="Textpoznpodarou"/>
      </w:pPr>
      <w:r>
        <w:rPr>
          <w:rStyle w:val="Znakapoznpodarou"/>
        </w:rPr>
        <w:footnoteRef/>
      </w:r>
      <w:r>
        <w:t xml:space="preserve"> Všechna tyto sdělení jsou z hlediska své „právní síly“ nezávazná, nicméně jsou, jak již jsem uvedl dříve, dodržována. </w:t>
      </w:r>
    </w:p>
  </w:footnote>
  <w:footnote w:id="104">
    <w:p w:rsidR="003C17FB" w:rsidRPr="00FD5958" w:rsidRDefault="003C17FB" w:rsidP="00D10F31">
      <w:pPr>
        <w:pStyle w:val="Textpoznpodarou"/>
      </w:pPr>
      <w:r w:rsidRPr="00FD5958">
        <w:rPr>
          <w:rStyle w:val="Znakapoznpodarou"/>
        </w:rPr>
        <w:footnoteRef/>
      </w:r>
      <w:r w:rsidRPr="00FD5958">
        <w:t xml:space="preserve"> Dostupné z: </w:t>
      </w:r>
      <w:hyperlink r:id="rId16" w:history="1">
        <w:r w:rsidRPr="00FD5958">
          <w:rPr>
            <w:rStyle w:val="Hypertextovodkaz"/>
            <w:color w:val="auto"/>
          </w:rPr>
          <w:t>http://ec.europa.eu/yourvoice/index_cs.htm</w:t>
        </w:r>
      </w:hyperlink>
      <w:r w:rsidRPr="00FD5958">
        <w:t xml:space="preserve"> </w:t>
      </w:r>
    </w:p>
  </w:footnote>
  <w:footnote w:id="105">
    <w:p w:rsidR="003C17FB" w:rsidRPr="00FD5958" w:rsidRDefault="003C17FB">
      <w:pPr>
        <w:pStyle w:val="Textpoznpodarou"/>
      </w:pPr>
      <w:r w:rsidRPr="00FD5958">
        <w:rPr>
          <w:rStyle w:val="Znakapoznpodarou"/>
        </w:rPr>
        <w:footnoteRef/>
      </w:r>
      <w:r w:rsidRPr="00FD5958">
        <w:t xml:space="preserve"> Dostupné z: </w:t>
      </w:r>
      <w:hyperlink r:id="rId17" w:history="1">
        <w:r w:rsidRPr="00FD5958">
          <w:rPr>
            <w:rStyle w:val="Hypertextovodkaz"/>
            <w:color w:val="auto"/>
          </w:rPr>
          <w:t>https://webgate.ec.europa.eu/notifications/homePage.do?locale=cs</w:t>
        </w:r>
      </w:hyperlink>
      <w:r w:rsidRPr="00FD5958">
        <w:t xml:space="preserve"> </w:t>
      </w:r>
    </w:p>
  </w:footnote>
  <w:footnote w:id="106">
    <w:p w:rsidR="003C17FB" w:rsidRDefault="003C17FB">
      <w:pPr>
        <w:pStyle w:val="Textpoznpodarou"/>
      </w:pPr>
      <w:r w:rsidRPr="00FD5958">
        <w:rPr>
          <w:rStyle w:val="Znakapoznpodarou"/>
        </w:rPr>
        <w:footnoteRef/>
      </w:r>
      <w:r w:rsidRPr="00FD5958">
        <w:t xml:space="preserve"> Dostupné z: </w:t>
      </w:r>
      <w:hyperlink r:id="rId18" w:anchor="en" w:history="1">
        <w:r w:rsidRPr="00FD5958">
          <w:rPr>
            <w:rStyle w:val="Hypertextovodkaz"/>
            <w:color w:val="auto"/>
          </w:rPr>
          <w:t>http://ec.europa.eu/transparencyregister/public/homePage.do#en</w:t>
        </w:r>
      </w:hyperlink>
      <w:r w:rsidRPr="00FD5958">
        <w:t xml:space="preserve"> ; Právním základem rejstříku je tzv. Interinstitucionální dohoda mezi Evropským parlamentem a Evropskou komisí o rejstříku transparentnosti pro organizace a osoby samostatně výdělečně činné, jež se podílejí na tvorbě a provádění politik EU</w:t>
      </w:r>
    </w:p>
  </w:footnote>
  <w:footnote w:id="107">
    <w:p w:rsidR="003C17FB" w:rsidRPr="00FD5958" w:rsidRDefault="003C17FB">
      <w:pPr>
        <w:pStyle w:val="Textpoznpodarou"/>
      </w:pPr>
      <w:r w:rsidRPr="00FD5958">
        <w:rPr>
          <w:rStyle w:val="Znakapoznpodarou"/>
        </w:rPr>
        <w:footnoteRef/>
      </w:r>
      <w:r w:rsidRPr="00FD5958">
        <w:t xml:space="preserve"> Zdroj: </w:t>
      </w:r>
      <w:hyperlink r:id="rId19" w:history="1">
        <w:r w:rsidRPr="00FD5958">
          <w:rPr>
            <w:rStyle w:val="Hypertextovodkaz"/>
            <w:color w:val="auto"/>
          </w:rPr>
          <w:t>http://ec.europa.eu/citizens-initiative/public/initiatives/finalised/details/2012/000003</w:t>
        </w:r>
      </w:hyperlink>
      <w:r w:rsidRPr="00FD5958">
        <w:t xml:space="preserve"> </w:t>
      </w:r>
    </w:p>
  </w:footnote>
  <w:footnote w:id="108">
    <w:p w:rsidR="003C17FB" w:rsidRPr="00FD5958" w:rsidRDefault="003C17FB">
      <w:pPr>
        <w:pStyle w:val="Textpoznpodarou"/>
      </w:pPr>
      <w:r w:rsidRPr="00FD5958">
        <w:rPr>
          <w:rStyle w:val="Znakapoznpodarou"/>
        </w:rPr>
        <w:footnoteRef/>
      </w:r>
      <w:r w:rsidRPr="00FD5958">
        <w:t xml:space="preserve"> Zdroj: </w:t>
      </w:r>
      <w:hyperlink r:id="rId20" w:history="1">
        <w:r w:rsidRPr="00FD5958">
          <w:rPr>
            <w:rStyle w:val="Hypertextovodkaz"/>
            <w:color w:val="auto"/>
          </w:rPr>
          <w:t>http://ec.europa.eu/transparency/regdoc/rep/1/2014/CS/1-2014-177-CS-F1-1-ANNEX-1.Pdf</w:t>
        </w:r>
      </w:hyperlink>
      <w:r w:rsidRPr="00FD5958">
        <w:t xml:space="preserve"> </w:t>
      </w:r>
    </w:p>
  </w:footnote>
  <w:footnote w:id="109">
    <w:p w:rsidR="003C17FB" w:rsidRPr="00FD5958" w:rsidRDefault="003C17FB">
      <w:pPr>
        <w:pStyle w:val="Textpoznpodarou"/>
      </w:pPr>
      <w:r w:rsidRPr="00FD5958">
        <w:rPr>
          <w:rStyle w:val="Znakapoznpodarou"/>
        </w:rPr>
        <w:footnoteRef/>
      </w:r>
      <w:r w:rsidRPr="00FD5958">
        <w:t xml:space="preserve"> „</w:t>
      </w:r>
      <w:r w:rsidRPr="00FD5958">
        <w:rPr>
          <w:i/>
        </w:rPr>
        <w:t xml:space="preserve">voda není běžný obchodní produkt, ale spíše dědictví, které je třeba chránit, střežit a podle toho s ním nakládat“ </w:t>
      </w:r>
      <w:r w:rsidRPr="00FD5958">
        <w:t>bod. 1 odůvodnění rámcové směrnice EU o vodě č. 2000/60/ES</w:t>
      </w:r>
    </w:p>
  </w:footnote>
  <w:footnote w:id="110">
    <w:p w:rsidR="003C17FB" w:rsidRPr="00FD5958" w:rsidRDefault="003C17FB">
      <w:pPr>
        <w:pStyle w:val="Textpoznpodarou"/>
      </w:pPr>
      <w:r w:rsidRPr="00FD5958">
        <w:rPr>
          <w:rStyle w:val="Znakapoznpodarou"/>
        </w:rPr>
        <w:footnoteRef/>
      </w:r>
      <w:r w:rsidRPr="00FD5958">
        <w:t xml:space="preserve"> Dotazník dostupný zde: </w:t>
      </w:r>
      <w:hyperlink r:id="rId21" w:history="1">
        <w:r w:rsidRPr="00FD5958">
          <w:rPr>
            <w:rStyle w:val="Hypertextovodkaz"/>
            <w:color w:val="auto"/>
          </w:rPr>
          <w:t>http://ec.europa.eu/environment/consultations/pdf/water_questionnaire.zip</w:t>
        </w:r>
      </w:hyperlink>
      <w:r w:rsidRPr="00FD5958">
        <w:t xml:space="preserve"> </w:t>
      </w:r>
    </w:p>
  </w:footnote>
  <w:footnote w:id="111">
    <w:p w:rsidR="003C17FB" w:rsidRDefault="003C17FB" w:rsidP="00BA18F7">
      <w:pPr>
        <w:spacing w:line="240" w:lineRule="auto"/>
      </w:pPr>
      <w:r w:rsidRPr="00FD5958">
        <w:rPr>
          <w:rStyle w:val="Znakapoznpodarou"/>
        </w:rPr>
        <w:footnoteRef/>
      </w:r>
      <w:r w:rsidRPr="00FD5958">
        <w:t xml:space="preserve"> </w:t>
      </w:r>
      <w:r w:rsidRPr="00FD5958">
        <w:rPr>
          <w:sz w:val="20"/>
          <w:szCs w:val="20"/>
        </w:rPr>
        <w:t>Kvalita pitné vody u vás , Přístup k pitné vodě , Rizika , Normy kvality stanovené v rámci směrnice o pitné vodě, Sledování a kontrola pitné vody, Informace pro spotřebitele, Způsoby informování spotřebitelů, Opatření v případě problémů, Výjimky a Ostatní aspekty</w:t>
      </w:r>
      <w:r w:rsidRPr="00A02661">
        <w:rPr>
          <w:sz w:val="20"/>
          <w:szCs w:val="20"/>
        </w:rPr>
        <w:t xml:space="preserve"> </w:t>
      </w:r>
    </w:p>
  </w:footnote>
  <w:footnote w:id="112">
    <w:p w:rsidR="003C17FB" w:rsidRPr="00FD5958" w:rsidRDefault="003C17FB" w:rsidP="00BA18F7">
      <w:pPr>
        <w:pStyle w:val="Textpoznpodarou"/>
      </w:pPr>
      <w:r w:rsidRPr="00FD5958">
        <w:rPr>
          <w:rStyle w:val="Znakapoznpodarou"/>
        </w:rPr>
        <w:footnoteRef/>
      </w:r>
      <w:r w:rsidRPr="00FD5958">
        <w:t xml:space="preserve"> Dostupné zde: </w:t>
      </w:r>
      <w:hyperlink r:id="rId22" w:history="1">
        <w:r w:rsidRPr="00FD5958">
          <w:rPr>
            <w:rStyle w:val="Hypertextovodkaz"/>
            <w:color w:val="auto"/>
          </w:rPr>
          <w:t>http://ec.europa.eu/environment/consultations/pdf/results_drinking_water.pdf</w:t>
        </w:r>
      </w:hyperlink>
      <w:r w:rsidRPr="00FD5958">
        <w:t xml:space="preserve"> </w:t>
      </w:r>
    </w:p>
  </w:footnote>
  <w:footnote w:id="113">
    <w:p w:rsidR="003C17FB" w:rsidRPr="00C37123" w:rsidRDefault="003C17FB" w:rsidP="00782AE3">
      <w:pPr>
        <w:pStyle w:val="Textpoznpodarou"/>
        <w:jc w:val="left"/>
      </w:pPr>
      <w:r w:rsidRPr="00FD5958">
        <w:rPr>
          <w:rStyle w:val="Znakapoznpodarou"/>
        </w:rPr>
        <w:footnoteRef/>
      </w:r>
      <w:r w:rsidRPr="00FD5958">
        <w:t xml:space="preserve"> Dostup</w:t>
      </w:r>
      <w:r>
        <w:t xml:space="preserve">né zde: </w:t>
      </w:r>
      <w:hyperlink r:id="rId23" w:history="1">
        <w:r w:rsidRPr="00FD5958">
          <w:rPr>
            <w:rStyle w:val="Hypertextovodkaz"/>
            <w:color w:val="auto"/>
          </w:rPr>
          <w:t>https://dm.eesc.europa.eu/EESCDocumentSearch/Pages/opinionsresults.aspx?k=(adoptiondate:2014/10/01..2014/10/31)(dossiername:NAT%20OR%20OLD-AGR%20OR%20OLD-ENV)(rapporteur:LE%20NOUAIL%20MARLIERE)(documentlanguage:EN)</w:t>
        </w:r>
      </w:hyperlink>
      <w:r w:rsidRPr="00C37123">
        <w:t xml:space="preserve"> </w:t>
      </w:r>
    </w:p>
  </w:footnote>
  <w:footnote w:id="114">
    <w:p w:rsidR="003C17FB" w:rsidRPr="00C37123" w:rsidRDefault="003C17FB" w:rsidP="00C37123">
      <w:pPr>
        <w:autoSpaceDE w:val="0"/>
        <w:autoSpaceDN w:val="0"/>
        <w:adjustRightInd w:val="0"/>
        <w:spacing w:after="0" w:line="240" w:lineRule="auto"/>
        <w:jc w:val="left"/>
        <w:rPr>
          <w:rFonts w:ascii="Garamond" w:hAnsi="Garamond" w:cs="Garamond"/>
          <w:szCs w:val="24"/>
        </w:rPr>
      </w:pPr>
      <w:r w:rsidRPr="00C37123">
        <w:rPr>
          <w:rStyle w:val="Znakapoznpodarou"/>
        </w:rPr>
        <w:footnoteRef/>
      </w:r>
      <w:r w:rsidRPr="00C37123">
        <w:t xml:space="preserve"> </w:t>
      </w:r>
      <w:r>
        <w:rPr>
          <w:sz w:val="20"/>
          <w:szCs w:val="20"/>
        </w:rPr>
        <w:t xml:space="preserve">Right2Water. </w:t>
      </w:r>
      <w:r w:rsidRPr="00C37123">
        <w:rPr>
          <w:i/>
          <w:sz w:val="20"/>
          <w:szCs w:val="20"/>
        </w:rPr>
        <w:t>The struggle for Right2Water continues</w:t>
      </w:r>
      <w:r>
        <w:rPr>
          <w:sz w:val="20"/>
          <w:szCs w:val="20"/>
        </w:rPr>
        <w:t xml:space="preserve">. </w:t>
      </w:r>
      <w:r w:rsidRPr="00C37123">
        <w:rPr>
          <w:sz w:val="20"/>
          <w:szCs w:val="20"/>
        </w:rPr>
        <w:t xml:space="preserve">[online]. </w:t>
      </w:r>
      <w:r>
        <w:rPr>
          <w:rFonts w:cs="Times New Roman"/>
          <w:sz w:val="20"/>
          <w:szCs w:val="20"/>
        </w:rPr>
        <w:t>21</w:t>
      </w:r>
      <w:r w:rsidRPr="00C37123">
        <w:rPr>
          <w:rFonts w:cs="Times New Roman"/>
          <w:sz w:val="20"/>
          <w:szCs w:val="20"/>
        </w:rPr>
        <w:t xml:space="preserve">. </w:t>
      </w:r>
      <w:r>
        <w:rPr>
          <w:rFonts w:cs="Times New Roman"/>
          <w:sz w:val="20"/>
          <w:szCs w:val="20"/>
        </w:rPr>
        <w:t>ledna</w:t>
      </w:r>
      <w:r w:rsidRPr="00C37123">
        <w:rPr>
          <w:rFonts w:cs="Times New Roman"/>
          <w:sz w:val="20"/>
          <w:szCs w:val="20"/>
        </w:rPr>
        <w:t xml:space="preserve"> 20</w:t>
      </w:r>
      <w:r>
        <w:rPr>
          <w:rFonts w:cs="Times New Roman"/>
          <w:sz w:val="20"/>
          <w:szCs w:val="20"/>
        </w:rPr>
        <w:t>16</w:t>
      </w:r>
      <w:r w:rsidRPr="00C37123">
        <w:rPr>
          <w:rFonts w:cs="Times New Roman"/>
          <w:sz w:val="20"/>
          <w:szCs w:val="20"/>
        </w:rPr>
        <w:t xml:space="preserve"> [cit. </w:t>
      </w:r>
      <w:r>
        <w:rPr>
          <w:rFonts w:cs="Times New Roman"/>
          <w:sz w:val="20"/>
          <w:szCs w:val="20"/>
        </w:rPr>
        <w:t>28</w:t>
      </w:r>
      <w:r w:rsidRPr="00C37123">
        <w:rPr>
          <w:rFonts w:cs="Times New Roman"/>
          <w:sz w:val="20"/>
          <w:szCs w:val="20"/>
        </w:rPr>
        <w:t xml:space="preserve">. </w:t>
      </w:r>
      <w:r>
        <w:rPr>
          <w:rFonts w:cs="Times New Roman"/>
          <w:sz w:val="20"/>
          <w:szCs w:val="20"/>
        </w:rPr>
        <w:t>ledna</w:t>
      </w:r>
      <w:r w:rsidRPr="00C37123">
        <w:rPr>
          <w:rFonts w:cs="Times New Roman"/>
          <w:sz w:val="20"/>
          <w:szCs w:val="20"/>
        </w:rPr>
        <w:t xml:space="preserve"> </w:t>
      </w:r>
      <w:r>
        <w:rPr>
          <w:rFonts w:cs="Times New Roman"/>
          <w:sz w:val="20"/>
          <w:szCs w:val="20"/>
        </w:rPr>
        <w:t xml:space="preserve">2016]. Dostupné na: </w:t>
      </w:r>
      <w:hyperlink r:id="rId24" w:history="1">
        <w:r w:rsidRPr="00C37123">
          <w:rPr>
            <w:rStyle w:val="Hypertextovodkaz"/>
            <w:rFonts w:cs="Times New Roman"/>
            <w:color w:val="auto"/>
            <w:sz w:val="20"/>
            <w:szCs w:val="20"/>
          </w:rPr>
          <w:t>http://right2water.eu/news/struggle-right2water-continues</w:t>
        </w:r>
      </w:hyperlink>
      <w:r w:rsidRPr="00C37123">
        <w:t xml:space="preserve"> </w:t>
      </w:r>
    </w:p>
  </w:footnote>
  <w:footnote w:id="115">
    <w:p w:rsidR="003C17FB" w:rsidRDefault="003C17FB">
      <w:pPr>
        <w:pStyle w:val="Textpoznpodarou"/>
      </w:pPr>
      <w:r>
        <w:rPr>
          <w:rStyle w:val="Znakapoznpodarou"/>
        </w:rPr>
        <w:footnoteRef/>
      </w:r>
      <w:r>
        <w:t xml:space="preserve"> Dostupné zde: </w:t>
      </w:r>
      <w:hyperlink r:id="rId25" w:history="1">
        <w:r w:rsidRPr="005D4AAB">
          <w:rPr>
            <w:rStyle w:val="Hypertextovodkaz"/>
          </w:rPr>
          <w:t>http://ec.europa.eu/environment/consultations/pdf/analysis_drinking_water.pdf</w:t>
        </w:r>
      </w:hyperlink>
      <w:r>
        <w:t xml:space="preserve"> </w:t>
      </w:r>
    </w:p>
  </w:footnote>
  <w:footnote w:id="116">
    <w:p w:rsidR="003C17FB" w:rsidRDefault="003C17FB">
      <w:pPr>
        <w:pStyle w:val="Textpoznpodarou"/>
      </w:pPr>
      <w:r>
        <w:rPr>
          <w:rStyle w:val="Znakapoznpodarou"/>
        </w:rPr>
        <w:footnoteRef/>
      </w:r>
      <w:r>
        <w:t xml:space="preserve"> Čl. 9 odst. 1 Úmluvy</w:t>
      </w:r>
    </w:p>
  </w:footnote>
  <w:footnote w:id="117">
    <w:p w:rsidR="003C17FB" w:rsidRDefault="003C17FB">
      <w:pPr>
        <w:pStyle w:val="Textpoznpodarou"/>
      </w:pPr>
      <w:r>
        <w:rPr>
          <w:rStyle w:val="Znakapoznpodarou"/>
        </w:rPr>
        <w:footnoteRef/>
      </w:r>
      <w:r>
        <w:t xml:space="preserve"> Čl. 9 odst. 2 Úmluvy</w:t>
      </w:r>
    </w:p>
  </w:footnote>
  <w:footnote w:id="118">
    <w:p w:rsidR="003C17FB" w:rsidRDefault="003C17FB">
      <w:pPr>
        <w:pStyle w:val="Textpoznpodarou"/>
      </w:pPr>
      <w:r>
        <w:rPr>
          <w:rStyle w:val="Znakapoznpodarou"/>
        </w:rPr>
        <w:footnoteRef/>
      </w:r>
      <w:r>
        <w:t xml:space="preserve"> Čl. 9 odst. 3 Úmluvy</w:t>
      </w:r>
    </w:p>
  </w:footnote>
  <w:footnote w:id="119">
    <w:p w:rsidR="003C17FB" w:rsidRPr="001C6AD2" w:rsidRDefault="003C17FB">
      <w:pPr>
        <w:pStyle w:val="Textpoznpodarou"/>
      </w:pPr>
      <w:r>
        <w:rPr>
          <w:rStyle w:val="Znakapoznpodarou"/>
        </w:rPr>
        <w:footnoteRef/>
      </w:r>
      <w:r>
        <w:t xml:space="preserve"> </w:t>
      </w:r>
      <w:r w:rsidRPr="001C6AD2">
        <w:rPr>
          <w:rFonts w:cs="Book Antiqua"/>
          <w:i/>
          <w:iCs/>
          <w:color w:val="000000"/>
        </w:rPr>
        <w:t>European Union ACCC/C/2008/32 (Part I)</w:t>
      </w:r>
      <w:r>
        <w:rPr>
          <w:rFonts w:cs="Book Antiqua"/>
          <w:i/>
          <w:iCs/>
          <w:color w:val="000000"/>
        </w:rPr>
        <w:t>, par. 77</w:t>
      </w:r>
    </w:p>
  </w:footnote>
  <w:footnote w:id="120">
    <w:p w:rsidR="003C17FB" w:rsidRDefault="003C17FB">
      <w:pPr>
        <w:pStyle w:val="Textpoznpodarou"/>
      </w:pPr>
      <w:r>
        <w:rPr>
          <w:rStyle w:val="Znakapoznpodarou"/>
        </w:rPr>
        <w:footnoteRef/>
      </w:r>
      <w:r>
        <w:t xml:space="preserve"> Případ: </w:t>
      </w:r>
      <w:r w:rsidRPr="00DC3419">
        <w:rPr>
          <w:rFonts w:cs="Book Antiqua"/>
          <w:i/>
          <w:iCs/>
          <w:color w:val="000000"/>
        </w:rPr>
        <w:t>Belgium ACCC/2005/11, para. 29</w:t>
      </w:r>
    </w:p>
  </w:footnote>
  <w:footnote w:id="121">
    <w:p w:rsidR="003C17FB" w:rsidRDefault="003C17FB">
      <w:pPr>
        <w:pStyle w:val="Textpoznpodarou"/>
      </w:pPr>
      <w:r>
        <w:rPr>
          <w:rStyle w:val="Znakapoznpodarou"/>
        </w:rPr>
        <w:footnoteRef/>
      </w:r>
      <w:r>
        <w:t xml:space="preserve"> Čl. 9 odst. 4 a 5 Úmluvy</w:t>
      </w:r>
    </w:p>
  </w:footnote>
  <w:footnote w:id="122">
    <w:p w:rsidR="003C17FB" w:rsidRPr="00000B0F" w:rsidRDefault="003C17FB" w:rsidP="00000B0F">
      <w:pPr>
        <w:autoSpaceDE w:val="0"/>
        <w:autoSpaceDN w:val="0"/>
        <w:adjustRightInd w:val="0"/>
        <w:spacing w:after="0" w:line="240" w:lineRule="auto"/>
        <w:jc w:val="left"/>
        <w:rPr>
          <w:rFonts w:ascii="MyriadPro-Light" w:hAnsi="MyriadPro-Light" w:cs="MyriadPro-Light"/>
          <w:sz w:val="20"/>
          <w:szCs w:val="20"/>
        </w:rPr>
      </w:pPr>
      <w:r>
        <w:rPr>
          <w:rStyle w:val="Znakapoznpodarou"/>
        </w:rPr>
        <w:footnoteRef/>
      </w:r>
      <w:r>
        <w:t xml:space="preserve"> </w:t>
      </w:r>
      <w:r w:rsidRPr="003D10BC">
        <w:rPr>
          <w:rFonts w:cs="Times New Roman"/>
          <w:i/>
          <w:sz w:val="20"/>
          <w:szCs w:val="20"/>
        </w:rPr>
        <w:t>Spain</w:t>
      </w:r>
      <w:r>
        <w:rPr>
          <w:rFonts w:cs="Times New Roman"/>
          <w:sz w:val="20"/>
          <w:szCs w:val="20"/>
        </w:rPr>
        <w:t xml:space="preserve">  ACCC/C/2008/24 </w:t>
      </w:r>
    </w:p>
  </w:footnote>
  <w:footnote w:id="123">
    <w:p w:rsidR="003C17FB" w:rsidRDefault="003C17FB">
      <w:pPr>
        <w:pStyle w:val="Textpoznpodarou"/>
      </w:pPr>
      <w:r>
        <w:rPr>
          <w:rStyle w:val="Znakapoznpodarou"/>
        </w:rPr>
        <w:footnoteRef/>
      </w:r>
      <w:r>
        <w:t xml:space="preserve"> Implementační nařízení Aarhuské úmluvy, nařízení č. 1367/2006, na něj ve svém čl 3 odkazuje. </w:t>
      </w:r>
    </w:p>
  </w:footnote>
  <w:footnote w:id="124">
    <w:p w:rsidR="003C17FB" w:rsidRDefault="003C17FB">
      <w:pPr>
        <w:pStyle w:val="Textpoznpodarou"/>
      </w:pPr>
      <w:r>
        <w:rPr>
          <w:rStyle w:val="Znakapoznpodarou"/>
        </w:rPr>
        <w:footnoteRef/>
      </w:r>
      <w:r>
        <w:t xml:space="preserve"> Ve složitějších případech může být lhůta s odůvodněním prodloužena o dalších 15 dní.  </w:t>
      </w:r>
    </w:p>
  </w:footnote>
  <w:footnote w:id="125">
    <w:p w:rsidR="003C17FB" w:rsidRDefault="003C17FB">
      <w:pPr>
        <w:pStyle w:val="Textpoznpodarou"/>
      </w:pPr>
      <w:r>
        <w:rPr>
          <w:rStyle w:val="Znakapoznpodarou"/>
        </w:rPr>
        <w:footnoteRef/>
      </w:r>
      <w:r>
        <w:t xml:space="preserve"> Data byla získána ze sdělení Komise COM (2013) 515, COM (2014) 619, COM (2015) 391</w:t>
      </w:r>
    </w:p>
  </w:footnote>
  <w:footnote w:id="126">
    <w:p w:rsidR="003C17FB" w:rsidRPr="006F5878" w:rsidRDefault="003C17FB">
      <w:pPr>
        <w:pStyle w:val="Textpoznpodarou"/>
      </w:pPr>
      <w:r w:rsidRPr="006F5878">
        <w:rPr>
          <w:rStyle w:val="Znakapoznpodarou"/>
        </w:rPr>
        <w:footnoteRef/>
      </w:r>
      <w:r w:rsidRPr="006F5878">
        <w:t xml:space="preserve"> KLÍMA a kol. </w:t>
      </w:r>
      <w:r w:rsidRPr="006F5878">
        <w:rPr>
          <w:i/>
        </w:rPr>
        <w:t>Evropské právo</w:t>
      </w:r>
      <w:r w:rsidRPr="006F5878">
        <w:t>. s. 325-328</w:t>
      </w:r>
    </w:p>
  </w:footnote>
  <w:footnote w:id="127">
    <w:p w:rsidR="003C17FB" w:rsidRPr="006F5878" w:rsidRDefault="003C17FB">
      <w:pPr>
        <w:pStyle w:val="Textpoznpodarou"/>
      </w:pPr>
      <w:r w:rsidRPr="006F5878">
        <w:rPr>
          <w:rStyle w:val="Znakapoznpodarou"/>
        </w:rPr>
        <w:footnoteRef/>
      </w:r>
      <w:r w:rsidRPr="006F5878">
        <w:t xml:space="preserve"> Data: </w:t>
      </w:r>
      <w:r w:rsidRPr="006F5878">
        <w:rPr>
          <w:i/>
        </w:rPr>
        <w:t>Tisková zpráva č. 34/14</w:t>
      </w:r>
      <w:r w:rsidRPr="006F5878">
        <w:t xml:space="preserve">, Soudní dvůr Evropské unie. Lucemburk, 2014. [online]. </w:t>
      </w:r>
      <w:r w:rsidRPr="006F5878">
        <w:rPr>
          <w:rFonts w:cs="Times New Roman"/>
        </w:rPr>
        <w:t xml:space="preserve">21. ledna 2016 [cit. 28. ledna 2016]. </w:t>
      </w:r>
      <w:r w:rsidRPr="006F5878">
        <w:t xml:space="preserve">Dostupné z: </w:t>
      </w:r>
      <w:hyperlink r:id="rId26" w:history="1">
        <w:r w:rsidRPr="006F5878">
          <w:rPr>
            <w:rStyle w:val="Hypertextovodkaz"/>
            <w:color w:val="auto"/>
          </w:rPr>
          <w:t>http://curia.europa.eu/jcms/upload/docs/application/pdf/2014-03/cp140034cs.pdf</w:t>
        </w:r>
      </w:hyperlink>
      <w:r w:rsidRPr="006F5878">
        <w:t xml:space="preserve"> </w:t>
      </w:r>
    </w:p>
  </w:footnote>
  <w:footnote w:id="128">
    <w:p w:rsidR="003C17FB" w:rsidRPr="006F5878" w:rsidRDefault="003C17FB">
      <w:pPr>
        <w:pStyle w:val="Textpoznpodarou"/>
      </w:pPr>
      <w:r w:rsidRPr="006F5878">
        <w:rPr>
          <w:rStyle w:val="Znakapoznpodarou"/>
        </w:rPr>
        <w:footnoteRef/>
      </w:r>
      <w:r w:rsidRPr="006F5878">
        <w:t xml:space="preserve"> Čl. 228 SFEU</w:t>
      </w:r>
    </w:p>
  </w:footnote>
  <w:footnote w:id="129">
    <w:p w:rsidR="003C17FB" w:rsidRPr="006F5878" w:rsidRDefault="003C17FB" w:rsidP="007D6AC0">
      <w:pPr>
        <w:pStyle w:val="Textpoznpodarou"/>
        <w:jc w:val="left"/>
      </w:pPr>
      <w:r w:rsidRPr="006F5878">
        <w:rPr>
          <w:rStyle w:val="Znakapoznpodarou"/>
        </w:rPr>
        <w:footnoteRef/>
      </w:r>
      <w:r w:rsidRPr="006F5878">
        <w:t xml:space="preserve"> European Ombudsman. </w:t>
      </w:r>
      <w:r w:rsidRPr="006F5878">
        <w:rPr>
          <w:i/>
        </w:rPr>
        <w:t>Putting it Right? - How the EU institutions responded to the Ombudsman in 2013</w:t>
      </w:r>
      <w:r w:rsidRPr="006F5878">
        <w:t xml:space="preserve"> [online]. </w:t>
      </w:r>
      <w:r w:rsidRPr="006F5878">
        <w:rPr>
          <w:rFonts w:cs="Times New Roman"/>
        </w:rPr>
        <w:t>21. ledna 2016 [cit. 28. ledna 2016]. Dostupné z:</w:t>
      </w:r>
      <w:r w:rsidRPr="006F5878">
        <w:t xml:space="preserve"> </w:t>
      </w:r>
      <w:hyperlink r:id="rId27" w:history="1">
        <w:r w:rsidRPr="006F5878">
          <w:rPr>
            <w:rStyle w:val="Hypertextovodkaz"/>
            <w:color w:val="auto"/>
          </w:rPr>
          <w:t>http://www.ombudsman.europa.eu/cs/cases/followup.faces/cs/58401/html.bookmark</w:t>
        </w:r>
      </w:hyperlink>
      <w:r w:rsidRPr="006F5878">
        <w:t xml:space="preserve"> </w:t>
      </w:r>
    </w:p>
  </w:footnote>
  <w:footnote w:id="130">
    <w:p w:rsidR="003C17FB" w:rsidRDefault="003C17FB" w:rsidP="00F96E8A">
      <w:pPr>
        <w:pStyle w:val="Textpoznpodarou"/>
      </w:pPr>
      <w:r w:rsidRPr="006F5878">
        <w:rPr>
          <w:rStyle w:val="Znakapoznpodarou"/>
        </w:rPr>
        <w:footnoteRef/>
      </w:r>
      <w:r w:rsidRPr="006F5878">
        <w:t xml:space="preserve"> Rozhodnutí Evropské agentury pro chemické látky, čl. 4.; Implementing rules for the application of regulation (EC) 1049/2001 čl. 4</w:t>
      </w:r>
      <w:r>
        <w:t xml:space="preserve"> </w:t>
      </w:r>
    </w:p>
  </w:footnote>
  <w:footnote w:id="131">
    <w:p w:rsidR="003C17FB" w:rsidRDefault="003C17FB">
      <w:pPr>
        <w:pStyle w:val="Textpoznpodarou"/>
      </w:pPr>
      <w:r>
        <w:rPr>
          <w:rStyle w:val="Znakapoznpodarou"/>
        </w:rPr>
        <w:footnoteRef/>
      </w:r>
      <w:r>
        <w:t xml:space="preserve"> Poměr pochybení/bez připomínek: 2012 – 10/8, 2013 – 6/9, 2014 8/12. Data byla získána ze sdělení Komise COM (2013) 515, COM (2014) 619, COM (2015) 391</w:t>
      </w:r>
    </w:p>
  </w:footnote>
  <w:footnote w:id="132">
    <w:p w:rsidR="003C17FB" w:rsidRDefault="003C17FB">
      <w:pPr>
        <w:pStyle w:val="Textpoznpodarou"/>
      </w:pPr>
      <w:r>
        <w:rPr>
          <w:rStyle w:val="Znakapoznpodarou"/>
        </w:rPr>
        <w:footnoteRef/>
      </w:r>
      <w:r>
        <w:t xml:space="preserve"> Případy: T-545/11,T-301/10,C-612/13</w:t>
      </w:r>
    </w:p>
  </w:footnote>
  <w:footnote w:id="133">
    <w:p w:rsidR="003C17FB" w:rsidRDefault="003C17FB">
      <w:pPr>
        <w:pStyle w:val="Textpoznpodarou"/>
      </w:pPr>
      <w:r>
        <w:rPr>
          <w:rStyle w:val="Znakapoznpodarou"/>
        </w:rPr>
        <w:footnoteRef/>
      </w:r>
      <w:r>
        <w:t xml:space="preserve"> Případy: C-514/11,T-561/12,T-380/08,T-93/11,T-392/07</w:t>
      </w:r>
    </w:p>
  </w:footnote>
  <w:footnote w:id="134">
    <w:p w:rsidR="003C17FB" w:rsidRDefault="003C17FB">
      <w:pPr>
        <w:pStyle w:val="Textpoznpodarou"/>
      </w:pPr>
      <w:r>
        <w:rPr>
          <w:rStyle w:val="Znakapoznpodarou"/>
        </w:rPr>
        <w:footnoteRef/>
      </w:r>
      <w:r>
        <w:t xml:space="preserve"> Případy: C-365/12,T-181/10,T-516/11,T-534/11</w:t>
      </w:r>
    </w:p>
  </w:footnote>
  <w:footnote w:id="135">
    <w:p w:rsidR="003C17FB" w:rsidRDefault="003C17FB">
      <w:pPr>
        <w:pStyle w:val="Textpoznpodarou"/>
      </w:pPr>
      <w:r>
        <w:rPr>
          <w:rStyle w:val="Znakapoznpodarou"/>
        </w:rPr>
        <w:footnoteRef/>
      </w:r>
      <w:r>
        <w:t xml:space="preserve"> Případy: C-127/13,T-447/11,T-669/11</w:t>
      </w:r>
    </w:p>
  </w:footnote>
  <w:footnote w:id="136">
    <w:p w:rsidR="003C17FB" w:rsidRDefault="003C17FB">
      <w:pPr>
        <w:pStyle w:val="Textpoznpodarou"/>
      </w:pPr>
      <w:r>
        <w:rPr>
          <w:rStyle w:val="Znakapoznpodarou"/>
        </w:rPr>
        <w:footnoteRef/>
      </w:r>
      <w:r>
        <w:t xml:space="preserve"> 2013 – 37.5%, 2014 – 42.8%</w:t>
      </w:r>
    </w:p>
  </w:footnote>
  <w:footnote w:id="137">
    <w:p w:rsidR="003C17FB" w:rsidRPr="00217689" w:rsidRDefault="003C17FB" w:rsidP="00005219">
      <w:pPr>
        <w:autoSpaceDE w:val="0"/>
        <w:autoSpaceDN w:val="0"/>
        <w:adjustRightInd w:val="0"/>
        <w:spacing w:after="0" w:line="240" w:lineRule="auto"/>
        <w:jc w:val="left"/>
        <w:rPr>
          <w:rFonts w:ascii="EUAlbertina_Bold" w:hAnsi="EUAlbertina_Bold" w:cs="EUAlbertina_Bold"/>
          <w:bCs/>
          <w:sz w:val="20"/>
          <w:szCs w:val="20"/>
        </w:rPr>
      </w:pPr>
      <w:r w:rsidRPr="00217689">
        <w:rPr>
          <w:rStyle w:val="Znakapoznpodarou"/>
          <w:sz w:val="20"/>
          <w:szCs w:val="20"/>
        </w:rPr>
        <w:footnoteRef/>
      </w:r>
      <w:r w:rsidRPr="00217689">
        <w:rPr>
          <w:rFonts w:cs="Times New Roman"/>
          <w:sz w:val="20"/>
          <w:szCs w:val="20"/>
        </w:rPr>
        <w:t xml:space="preserve"> </w:t>
      </w:r>
      <w:r w:rsidRPr="00217689">
        <w:rPr>
          <w:rFonts w:cs="Times New Roman"/>
          <w:bCs/>
          <w:sz w:val="20"/>
          <w:szCs w:val="20"/>
        </w:rPr>
        <w:t>Rozhodnutí Komise č. 2008/50/ES, kterým se stanoví prováděcí pravidla k nařízení Evropského parlamentu a Rady (ES) č. 1367/2006 o Aarhuské úmluvě, pokud jde o žádosti o vnitřní přezkum správních aktů</w:t>
      </w:r>
    </w:p>
  </w:footnote>
  <w:footnote w:id="138">
    <w:p w:rsidR="003C17FB" w:rsidRPr="00217689" w:rsidRDefault="003C17FB">
      <w:pPr>
        <w:pStyle w:val="Textpoznpodarou"/>
      </w:pPr>
      <w:r w:rsidRPr="00217689">
        <w:rPr>
          <w:rStyle w:val="Znakapoznpodarou"/>
        </w:rPr>
        <w:footnoteRef/>
      </w:r>
      <w:r w:rsidRPr="00217689">
        <w:t xml:space="preserve"> Čl. 11 nařízení č. 1367/2006</w:t>
      </w:r>
    </w:p>
  </w:footnote>
  <w:footnote w:id="139">
    <w:p w:rsidR="003C17FB" w:rsidRPr="007278A3" w:rsidRDefault="003C17FB">
      <w:pPr>
        <w:pStyle w:val="Textpoznpodarou"/>
      </w:pPr>
      <w:r>
        <w:rPr>
          <w:rStyle w:val="Znakapoznpodarou"/>
        </w:rPr>
        <w:footnoteRef/>
      </w:r>
      <w:r>
        <w:t xml:space="preserve"> KINGSTON, Susane. Mind the gap: difficultien in enforcement and continuing unfulfilled promise of EU environmental law. In KINGSTON Susane (ed.) </w:t>
      </w:r>
      <w:r w:rsidRPr="007278A3">
        <w:rPr>
          <w:i/>
        </w:rPr>
        <w:t>European perspective on environmental law and governance</w:t>
      </w:r>
      <w:r>
        <w:t>. London: Routledge: 2014 s. 159-168</w:t>
      </w:r>
    </w:p>
  </w:footnote>
  <w:footnote w:id="140">
    <w:p w:rsidR="003C17FB" w:rsidRDefault="003C17FB">
      <w:pPr>
        <w:pStyle w:val="Textpoznpodarou"/>
      </w:pPr>
      <w:r>
        <w:rPr>
          <w:rStyle w:val="Znakapoznpodarou"/>
        </w:rPr>
        <w:footnoteRef/>
      </w:r>
      <w:r>
        <w:t xml:space="preserve"> Rozsudek ze dne 15. července 1953 Plaumann &amp; Co. proti Komisi, věc 25/62 s. 107</w:t>
      </w:r>
    </w:p>
  </w:footnote>
  <w:footnote w:id="141">
    <w:p w:rsidR="003C17FB" w:rsidRDefault="003C17FB">
      <w:pPr>
        <w:pStyle w:val="Textpoznpodarou"/>
      </w:pPr>
      <w:r>
        <w:rPr>
          <w:rStyle w:val="Znakapoznpodarou"/>
        </w:rPr>
        <w:footnoteRef/>
      </w:r>
      <w:r>
        <w:t xml:space="preserve"> T-585/93 par. 30-34</w:t>
      </w:r>
    </w:p>
  </w:footnote>
  <w:footnote w:id="142">
    <w:p w:rsidR="003C17FB" w:rsidRDefault="003C17FB">
      <w:pPr>
        <w:pStyle w:val="Textpoznpodarou"/>
      </w:pPr>
      <w:r>
        <w:rPr>
          <w:rStyle w:val="Znakapoznpodarou"/>
        </w:rPr>
        <w:footnoteRef/>
      </w:r>
      <w:r>
        <w:t xml:space="preserve"> T-585/93 par. 50-55</w:t>
      </w:r>
    </w:p>
  </w:footnote>
  <w:footnote w:id="143">
    <w:p w:rsidR="003C17FB" w:rsidRDefault="003C17FB">
      <w:pPr>
        <w:pStyle w:val="Textpoznpodarou"/>
      </w:pPr>
      <w:r>
        <w:rPr>
          <w:rStyle w:val="Znakapoznpodarou"/>
        </w:rPr>
        <w:footnoteRef/>
      </w:r>
      <w:r>
        <w:t xml:space="preserve"> T-585/93 par. 59-60</w:t>
      </w:r>
    </w:p>
  </w:footnote>
  <w:footnote w:id="144">
    <w:p w:rsidR="003C17FB" w:rsidRDefault="003C17FB">
      <w:pPr>
        <w:pStyle w:val="Textpoznpodarou"/>
      </w:pPr>
      <w:r>
        <w:rPr>
          <w:rStyle w:val="Znakapoznpodarou"/>
        </w:rPr>
        <w:footnoteRef/>
      </w:r>
      <w:r>
        <w:t xml:space="preserve"> Stanovisko generálního advokáta Jacobse ze dne 21. března 2002 k případu C-50/00 UPA v. Rada</w:t>
      </w:r>
    </w:p>
  </w:footnote>
  <w:footnote w:id="145">
    <w:p w:rsidR="003C17FB" w:rsidRDefault="003C17FB">
      <w:pPr>
        <w:pStyle w:val="Textpoznpodarou"/>
      </w:pPr>
      <w:r>
        <w:rPr>
          <w:rStyle w:val="Znakapoznpodarou"/>
        </w:rPr>
        <w:footnoteRef/>
      </w:r>
      <w:r>
        <w:t xml:space="preserve"> Rozhodnutí C-50/00 UPA v. Rada </w:t>
      </w:r>
    </w:p>
  </w:footnote>
  <w:footnote w:id="146">
    <w:p w:rsidR="003C17FB" w:rsidRDefault="003C17FB">
      <w:pPr>
        <w:pStyle w:val="Textpoznpodarou"/>
      </w:pPr>
      <w:r>
        <w:rPr>
          <w:rStyle w:val="Znakapoznpodarou"/>
        </w:rPr>
        <w:footnoteRef/>
      </w:r>
      <w:r>
        <w:t xml:space="preserve"> </w:t>
      </w:r>
      <w:r w:rsidRPr="001B081B">
        <w:rPr>
          <w:i/>
        </w:rPr>
        <w:t>Jégo-Quéré et Cie SA v Commission</w:t>
      </w:r>
      <w:r>
        <w:t xml:space="preserve">, T-177/01, kasační stížnost C-263/02 P; </w:t>
      </w:r>
      <w:r w:rsidRPr="001B081B">
        <w:rPr>
          <w:i/>
        </w:rPr>
        <w:t>EEB and Stichting Natuur en Milieu v Commission</w:t>
      </w:r>
      <w:r>
        <w:t>, T-236/04</w:t>
      </w:r>
    </w:p>
  </w:footnote>
  <w:footnote w:id="147">
    <w:p w:rsidR="003C17FB" w:rsidRDefault="003C17FB">
      <w:pPr>
        <w:pStyle w:val="Textpoznpodarou"/>
      </w:pPr>
      <w:r>
        <w:rPr>
          <w:rStyle w:val="Znakapoznpodarou"/>
        </w:rPr>
        <w:footnoteRef/>
      </w:r>
      <w:r>
        <w:t xml:space="preserve"> T-91/07, par. 55</w:t>
      </w:r>
    </w:p>
  </w:footnote>
  <w:footnote w:id="148">
    <w:p w:rsidR="003C17FB" w:rsidRDefault="003C17FB">
      <w:pPr>
        <w:pStyle w:val="Textpoznpodarou"/>
      </w:pPr>
      <w:r>
        <w:rPr>
          <w:rStyle w:val="Znakapoznpodarou"/>
        </w:rPr>
        <w:footnoteRef/>
      </w:r>
      <w:r>
        <w:t xml:space="preserve"> T-91/07, par. 81-83</w:t>
      </w:r>
    </w:p>
  </w:footnote>
  <w:footnote w:id="149">
    <w:p w:rsidR="003C17FB" w:rsidRPr="001B081B" w:rsidRDefault="003C17FB">
      <w:pPr>
        <w:pStyle w:val="Textpoznpodarou"/>
      </w:pPr>
      <w:r w:rsidRPr="001B081B">
        <w:rPr>
          <w:rStyle w:val="Znakapoznpodarou"/>
        </w:rPr>
        <w:footnoteRef/>
      </w:r>
      <w:r w:rsidRPr="001B081B">
        <w:t xml:space="preserve"> </w:t>
      </w:r>
      <w:r w:rsidRPr="001B081B">
        <w:rPr>
          <w:rFonts w:cs="Book Antiqua"/>
          <w:iCs/>
          <w:color w:val="000000"/>
        </w:rPr>
        <w:t>European Union ACCC/C/2008/32 (Part I) par. 86</w:t>
      </w:r>
    </w:p>
  </w:footnote>
  <w:footnote w:id="150">
    <w:p w:rsidR="003C17FB" w:rsidRDefault="003C17FB">
      <w:pPr>
        <w:pStyle w:val="Textpoznpodarou"/>
      </w:pPr>
      <w:r>
        <w:rPr>
          <w:rStyle w:val="Znakapoznpodarou"/>
        </w:rPr>
        <w:footnoteRef/>
      </w:r>
      <w:r>
        <w:t xml:space="preserve"> Možným řešením mohl být návrh Komise na změnu - COM(2008) 229, který se nicméně zatím neuskutečnil.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B0085"/>
    <w:multiLevelType w:val="hybridMultilevel"/>
    <w:tmpl w:val="01402D3C"/>
    <w:lvl w:ilvl="0" w:tplc="571ADE40">
      <w:numFmt w:val="bullet"/>
      <w:lvlText w:val="-"/>
      <w:lvlJc w:val="left"/>
      <w:pPr>
        <w:ind w:left="720" w:hanging="360"/>
      </w:pPr>
      <w:rPr>
        <w:rFonts w:ascii="Calibri" w:eastAsia="Times New Roman" w:hAnsi="Calibri" w:cs="Times New Roman"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516411F"/>
    <w:multiLevelType w:val="multilevel"/>
    <w:tmpl w:val="7CDA13A2"/>
    <w:lvl w:ilvl="0">
      <w:start w:val="4"/>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B737307"/>
    <w:multiLevelType w:val="hybridMultilevel"/>
    <w:tmpl w:val="56961FB4"/>
    <w:lvl w:ilvl="0" w:tplc="FC060778">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F81352"/>
    <w:multiLevelType w:val="multilevel"/>
    <w:tmpl w:val="D4A09EB6"/>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2E625AC"/>
    <w:multiLevelType w:val="hybridMultilevel"/>
    <w:tmpl w:val="43DEF0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6365758"/>
    <w:multiLevelType w:val="hybridMultilevel"/>
    <w:tmpl w:val="B37ADA7C"/>
    <w:lvl w:ilvl="0" w:tplc="5F06F836">
      <w:numFmt w:val="bullet"/>
      <w:lvlText w:val="-"/>
      <w:lvlJc w:val="left"/>
      <w:pPr>
        <w:ind w:left="585" w:hanging="360"/>
      </w:pPr>
      <w:rPr>
        <w:rFonts w:ascii="Calibri" w:eastAsia="Times New Roman" w:hAnsi="Calibri" w:cs="Times New Roman" w:hint="default"/>
        <w:color w:val="000000"/>
      </w:rPr>
    </w:lvl>
    <w:lvl w:ilvl="1" w:tplc="04050003" w:tentative="1">
      <w:start w:val="1"/>
      <w:numFmt w:val="bullet"/>
      <w:lvlText w:val="o"/>
      <w:lvlJc w:val="left"/>
      <w:pPr>
        <w:ind w:left="1305" w:hanging="360"/>
      </w:pPr>
      <w:rPr>
        <w:rFonts w:ascii="Courier New" w:hAnsi="Courier New" w:cs="Courier New" w:hint="default"/>
      </w:rPr>
    </w:lvl>
    <w:lvl w:ilvl="2" w:tplc="04050005" w:tentative="1">
      <w:start w:val="1"/>
      <w:numFmt w:val="bullet"/>
      <w:lvlText w:val=""/>
      <w:lvlJc w:val="left"/>
      <w:pPr>
        <w:ind w:left="2025" w:hanging="360"/>
      </w:pPr>
      <w:rPr>
        <w:rFonts w:ascii="Wingdings" w:hAnsi="Wingdings" w:hint="default"/>
      </w:rPr>
    </w:lvl>
    <w:lvl w:ilvl="3" w:tplc="04050001" w:tentative="1">
      <w:start w:val="1"/>
      <w:numFmt w:val="bullet"/>
      <w:lvlText w:val=""/>
      <w:lvlJc w:val="left"/>
      <w:pPr>
        <w:ind w:left="2745" w:hanging="360"/>
      </w:pPr>
      <w:rPr>
        <w:rFonts w:ascii="Symbol" w:hAnsi="Symbol" w:hint="default"/>
      </w:rPr>
    </w:lvl>
    <w:lvl w:ilvl="4" w:tplc="04050003" w:tentative="1">
      <w:start w:val="1"/>
      <w:numFmt w:val="bullet"/>
      <w:lvlText w:val="o"/>
      <w:lvlJc w:val="left"/>
      <w:pPr>
        <w:ind w:left="3465" w:hanging="360"/>
      </w:pPr>
      <w:rPr>
        <w:rFonts w:ascii="Courier New" w:hAnsi="Courier New" w:cs="Courier New" w:hint="default"/>
      </w:rPr>
    </w:lvl>
    <w:lvl w:ilvl="5" w:tplc="04050005" w:tentative="1">
      <w:start w:val="1"/>
      <w:numFmt w:val="bullet"/>
      <w:lvlText w:val=""/>
      <w:lvlJc w:val="left"/>
      <w:pPr>
        <w:ind w:left="4185" w:hanging="360"/>
      </w:pPr>
      <w:rPr>
        <w:rFonts w:ascii="Wingdings" w:hAnsi="Wingdings" w:hint="default"/>
      </w:rPr>
    </w:lvl>
    <w:lvl w:ilvl="6" w:tplc="04050001" w:tentative="1">
      <w:start w:val="1"/>
      <w:numFmt w:val="bullet"/>
      <w:lvlText w:val=""/>
      <w:lvlJc w:val="left"/>
      <w:pPr>
        <w:ind w:left="4905" w:hanging="360"/>
      </w:pPr>
      <w:rPr>
        <w:rFonts w:ascii="Symbol" w:hAnsi="Symbol" w:hint="default"/>
      </w:rPr>
    </w:lvl>
    <w:lvl w:ilvl="7" w:tplc="04050003" w:tentative="1">
      <w:start w:val="1"/>
      <w:numFmt w:val="bullet"/>
      <w:lvlText w:val="o"/>
      <w:lvlJc w:val="left"/>
      <w:pPr>
        <w:ind w:left="5625" w:hanging="360"/>
      </w:pPr>
      <w:rPr>
        <w:rFonts w:ascii="Courier New" w:hAnsi="Courier New" w:cs="Courier New" w:hint="default"/>
      </w:rPr>
    </w:lvl>
    <w:lvl w:ilvl="8" w:tplc="04050005" w:tentative="1">
      <w:start w:val="1"/>
      <w:numFmt w:val="bullet"/>
      <w:lvlText w:val=""/>
      <w:lvlJc w:val="left"/>
      <w:pPr>
        <w:ind w:left="6345" w:hanging="360"/>
      </w:pPr>
      <w:rPr>
        <w:rFonts w:ascii="Wingdings" w:hAnsi="Wingdings" w:hint="default"/>
      </w:rPr>
    </w:lvl>
  </w:abstractNum>
  <w:abstractNum w:abstractNumId="6" w15:restartNumberingAfterBreak="0">
    <w:nsid w:val="55A13E87"/>
    <w:multiLevelType w:val="hybridMultilevel"/>
    <w:tmpl w:val="43DEF0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75B1941"/>
    <w:multiLevelType w:val="multilevel"/>
    <w:tmpl w:val="55E23E6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465485E"/>
    <w:multiLevelType w:val="hybridMultilevel"/>
    <w:tmpl w:val="2A4AC3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7FE1011"/>
    <w:multiLevelType w:val="hybridMultilevel"/>
    <w:tmpl w:val="31C484E2"/>
    <w:lvl w:ilvl="0" w:tplc="FC060778">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8594C1B"/>
    <w:multiLevelType w:val="hybridMultilevel"/>
    <w:tmpl w:val="C7188A5C"/>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7B20474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
  </w:num>
  <w:num w:numId="3">
    <w:abstractNumId w:val="7"/>
  </w:num>
  <w:num w:numId="4">
    <w:abstractNumId w:val="6"/>
  </w:num>
  <w:num w:numId="5">
    <w:abstractNumId w:val="10"/>
  </w:num>
  <w:num w:numId="6">
    <w:abstractNumId w:val="1"/>
  </w:num>
  <w:num w:numId="7">
    <w:abstractNumId w:val="4"/>
  </w:num>
  <w:num w:numId="8">
    <w:abstractNumId w:val="11"/>
  </w:num>
  <w:num w:numId="9">
    <w:abstractNumId w:val="5"/>
  </w:num>
  <w:num w:numId="10">
    <w:abstractNumId w:val="9"/>
  </w:num>
  <w:num w:numId="11">
    <w:abstractNumId w:val="2"/>
  </w:num>
  <w:num w:numId="1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B4815"/>
    <w:rsid w:val="00000104"/>
    <w:rsid w:val="00000B0F"/>
    <w:rsid w:val="00001471"/>
    <w:rsid w:val="00002A1D"/>
    <w:rsid w:val="00004676"/>
    <w:rsid w:val="00004C83"/>
    <w:rsid w:val="00004EFD"/>
    <w:rsid w:val="00005219"/>
    <w:rsid w:val="000055B5"/>
    <w:rsid w:val="00005837"/>
    <w:rsid w:val="00005D6C"/>
    <w:rsid w:val="0001059B"/>
    <w:rsid w:val="00010E95"/>
    <w:rsid w:val="0001277E"/>
    <w:rsid w:val="00012FF8"/>
    <w:rsid w:val="00015AC9"/>
    <w:rsid w:val="00015F82"/>
    <w:rsid w:val="00021258"/>
    <w:rsid w:val="00021770"/>
    <w:rsid w:val="000226A0"/>
    <w:rsid w:val="000234AE"/>
    <w:rsid w:val="00024022"/>
    <w:rsid w:val="00024179"/>
    <w:rsid w:val="000255C9"/>
    <w:rsid w:val="000263C2"/>
    <w:rsid w:val="00026D36"/>
    <w:rsid w:val="00027286"/>
    <w:rsid w:val="000301C5"/>
    <w:rsid w:val="00030655"/>
    <w:rsid w:val="00031402"/>
    <w:rsid w:val="00031A51"/>
    <w:rsid w:val="00032840"/>
    <w:rsid w:val="00032A77"/>
    <w:rsid w:val="00033634"/>
    <w:rsid w:val="000363AD"/>
    <w:rsid w:val="000368FF"/>
    <w:rsid w:val="0004095B"/>
    <w:rsid w:val="00040DA1"/>
    <w:rsid w:val="000410C1"/>
    <w:rsid w:val="000410D7"/>
    <w:rsid w:val="00042881"/>
    <w:rsid w:val="00043562"/>
    <w:rsid w:val="000442E5"/>
    <w:rsid w:val="00045A0E"/>
    <w:rsid w:val="00045F24"/>
    <w:rsid w:val="00046624"/>
    <w:rsid w:val="000503CD"/>
    <w:rsid w:val="0005080D"/>
    <w:rsid w:val="00050E38"/>
    <w:rsid w:val="00052ED2"/>
    <w:rsid w:val="000548DD"/>
    <w:rsid w:val="00060720"/>
    <w:rsid w:val="00062D88"/>
    <w:rsid w:val="00063D54"/>
    <w:rsid w:val="00065D1B"/>
    <w:rsid w:val="00066110"/>
    <w:rsid w:val="00070217"/>
    <w:rsid w:val="00071881"/>
    <w:rsid w:val="00073117"/>
    <w:rsid w:val="00073EBF"/>
    <w:rsid w:val="00073F7D"/>
    <w:rsid w:val="0007518B"/>
    <w:rsid w:val="00076082"/>
    <w:rsid w:val="00076445"/>
    <w:rsid w:val="00076F37"/>
    <w:rsid w:val="00080729"/>
    <w:rsid w:val="00080E5D"/>
    <w:rsid w:val="00081BCF"/>
    <w:rsid w:val="000826F8"/>
    <w:rsid w:val="00082D60"/>
    <w:rsid w:val="000850E1"/>
    <w:rsid w:val="0008526F"/>
    <w:rsid w:val="0008620D"/>
    <w:rsid w:val="000865C1"/>
    <w:rsid w:val="00086CC0"/>
    <w:rsid w:val="0009160F"/>
    <w:rsid w:val="0009207D"/>
    <w:rsid w:val="00092503"/>
    <w:rsid w:val="00092F2B"/>
    <w:rsid w:val="00093730"/>
    <w:rsid w:val="00093776"/>
    <w:rsid w:val="00093D49"/>
    <w:rsid w:val="00094C3F"/>
    <w:rsid w:val="0009536E"/>
    <w:rsid w:val="00096488"/>
    <w:rsid w:val="00096693"/>
    <w:rsid w:val="00096C4D"/>
    <w:rsid w:val="00097610"/>
    <w:rsid w:val="000976D9"/>
    <w:rsid w:val="00097DFE"/>
    <w:rsid w:val="000A0C6F"/>
    <w:rsid w:val="000A2A6B"/>
    <w:rsid w:val="000A42B3"/>
    <w:rsid w:val="000A48E5"/>
    <w:rsid w:val="000A4D9F"/>
    <w:rsid w:val="000A5040"/>
    <w:rsid w:val="000A53FF"/>
    <w:rsid w:val="000A58C8"/>
    <w:rsid w:val="000A73F0"/>
    <w:rsid w:val="000A7B95"/>
    <w:rsid w:val="000A7D0C"/>
    <w:rsid w:val="000A7E17"/>
    <w:rsid w:val="000B01FB"/>
    <w:rsid w:val="000B02C8"/>
    <w:rsid w:val="000B02D0"/>
    <w:rsid w:val="000B056B"/>
    <w:rsid w:val="000B0E4C"/>
    <w:rsid w:val="000B1EAE"/>
    <w:rsid w:val="000B2E47"/>
    <w:rsid w:val="000B357E"/>
    <w:rsid w:val="000B3EEA"/>
    <w:rsid w:val="000C3DE8"/>
    <w:rsid w:val="000C5221"/>
    <w:rsid w:val="000C569F"/>
    <w:rsid w:val="000C6546"/>
    <w:rsid w:val="000C699C"/>
    <w:rsid w:val="000C7C4F"/>
    <w:rsid w:val="000D076E"/>
    <w:rsid w:val="000D146C"/>
    <w:rsid w:val="000D1547"/>
    <w:rsid w:val="000D18AA"/>
    <w:rsid w:val="000D2167"/>
    <w:rsid w:val="000D339E"/>
    <w:rsid w:val="000D482A"/>
    <w:rsid w:val="000D6A05"/>
    <w:rsid w:val="000E0B50"/>
    <w:rsid w:val="000E141F"/>
    <w:rsid w:val="000E14D1"/>
    <w:rsid w:val="000E1F80"/>
    <w:rsid w:val="000E2119"/>
    <w:rsid w:val="000E2C21"/>
    <w:rsid w:val="000E2DB1"/>
    <w:rsid w:val="000E5A87"/>
    <w:rsid w:val="000E6A86"/>
    <w:rsid w:val="000E7034"/>
    <w:rsid w:val="000E703A"/>
    <w:rsid w:val="000E76C6"/>
    <w:rsid w:val="000E7C7D"/>
    <w:rsid w:val="000E7F2F"/>
    <w:rsid w:val="000F157D"/>
    <w:rsid w:val="000F3119"/>
    <w:rsid w:val="000F3DDE"/>
    <w:rsid w:val="000F4BC1"/>
    <w:rsid w:val="000F6802"/>
    <w:rsid w:val="000F6955"/>
    <w:rsid w:val="0010044B"/>
    <w:rsid w:val="00101B4D"/>
    <w:rsid w:val="00102501"/>
    <w:rsid w:val="00102B53"/>
    <w:rsid w:val="00102B97"/>
    <w:rsid w:val="0010382E"/>
    <w:rsid w:val="0010395A"/>
    <w:rsid w:val="00104E9B"/>
    <w:rsid w:val="00105AD6"/>
    <w:rsid w:val="001076BB"/>
    <w:rsid w:val="00107723"/>
    <w:rsid w:val="0011021A"/>
    <w:rsid w:val="00110A82"/>
    <w:rsid w:val="00110F5C"/>
    <w:rsid w:val="001110A5"/>
    <w:rsid w:val="00111FF2"/>
    <w:rsid w:val="0011236B"/>
    <w:rsid w:val="00112B99"/>
    <w:rsid w:val="001134AC"/>
    <w:rsid w:val="001139E4"/>
    <w:rsid w:val="00113F90"/>
    <w:rsid w:val="00114EC9"/>
    <w:rsid w:val="00115579"/>
    <w:rsid w:val="00116567"/>
    <w:rsid w:val="0012023B"/>
    <w:rsid w:val="001202C5"/>
    <w:rsid w:val="001206F5"/>
    <w:rsid w:val="00122112"/>
    <w:rsid w:val="00122505"/>
    <w:rsid w:val="00123D98"/>
    <w:rsid w:val="00124AF1"/>
    <w:rsid w:val="00127D1A"/>
    <w:rsid w:val="00127DAA"/>
    <w:rsid w:val="00131BED"/>
    <w:rsid w:val="0013407D"/>
    <w:rsid w:val="0013408E"/>
    <w:rsid w:val="001367D1"/>
    <w:rsid w:val="00136A05"/>
    <w:rsid w:val="00137EA2"/>
    <w:rsid w:val="001411FC"/>
    <w:rsid w:val="00141FEB"/>
    <w:rsid w:val="0014224F"/>
    <w:rsid w:val="00142277"/>
    <w:rsid w:val="00142B25"/>
    <w:rsid w:val="00144584"/>
    <w:rsid w:val="0014495E"/>
    <w:rsid w:val="00145015"/>
    <w:rsid w:val="00145112"/>
    <w:rsid w:val="00145622"/>
    <w:rsid w:val="00145937"/>
    <w:rsid w:val="00145F3C"/>
    <w:rsid w:val="001466F5"/>
    <w:rsid w:val="00147566"/>
    <w:rsid w:val="001512E1"/>
    <w:rsid w:val="00152018"/>
    <w:rsid w:val="001520A5"/>
    <w:rsid w:val="00152720"/>
    <w:rsid w:val="001533A8"/>
    <w:rsid w:val="0015369F"/>
    <w:rsid w:val="00153E41"/>
    <w:rsid w:val="00154357"/>
    <w:rsid w:val="00155D02"/>
    <w:rsid w:val="00155EA7"/>
    <w:rsid w:val="00157C17"/>
    <w:rsid w:val="00160B27"/>
    <w:rsid w:val="00160CD0"/>
    <w:rsid w:val="00160D13"/>
    <w:rsid w:val="001620E2"/>
    <w:rsid w:val="00164560"/>
    <w:rsid w:val="00165060"/>
    <w:rsid w:val="001656A9"/>
    <w:rsid w:val="00165BB2"/>
    <w:rsid w:val="00166ACD"/>
    <w:rsid w:val="00166E6B"/>
    <w:rsid w:val="00167859"/>
    <w:rsid w:val="001701E4"/>
    <w:rsid w:val="001705DA"/>
    <w:rsid w:val="00171773"/>
    <w:rsid w:val="0017205D"/>
    <w:rsid w:val="00172592"/>
    <w:rsid w:val="0017410A"/>
    <w:rsid w:val="001743D1"/>
    <w:rsid w:val="00174C9C"/>
    <w:rsid w:val="00174E2F"/>
    <w:rsid w:val="00175D92"/>
    <w:rsid w:val="0018004A"/>
    <w:rsid w:val="001807B4"/>
    <w:rsid w:val="001807B8"/>
    <w:rsid w:val="00181485"/>
    <w:rsid w:val="001825ED"/>
    <w:rsid w:val="001828DE"/>
    <w:rsid w:val="00182FA0"/>
    <w:rsid w:val="0018379F"/>
    <w:rsid w:val="001837D3"/>
    <w:rsid w:val="00183D3B"/>
    <w:rsid w:val="00183F12"/>
    <w:rsid w:val="0019046C"/>
    <w:rsid w:val="00190EE7"/>
    <w:rsid w:val="0019235B"/>
    <w:rsid w:val="0019642D"/>
    <w:rsid w:val="00196E1B"/>
    <w:rsid w:val="001974CD"/>
    <w:rsid w:val="001A03EC"/>
    <w:rsid w:val="001A29D3"/>
    <w:rsid w:val="001A2B86"/>
    <w:rsid w:val="001A3CDA"/>
    <w:rsid w:val="001A410B"/>
    <w:rsid w:val="001A6828"/>
    <w:rsid w:val="001B081B"/>
    <w:rsid w:val="001B12FB"/>
    <w:rsid w:val="001B1C05"/>
    <w:rsid w:val="001B1C7F"/>
    <w:rsid w:val="001B1D35"/>
    <w:rsid w:val="001B358E"/>
    <w:rsid w:val="001B380F"/>
    <w:rsid w:val="001B4815"/>
    <w:rsid w:val="001B4952"/>
    <w:rsid w:val="001B4BBE"/>
    <w:rsid w:val="001B4D4F"/>
    <w:rsid w:val="001B564B"/>
    <w:rsid w:val="001B58C0"/>
    <w:rsid w:val="001B72E2"/>
    <w:rsid w:val="001B7FA0"/>
    <w:rsid w:val="001C00D5"/>
    <w:rsid w:val="001C0207"/>
    <w:rsid w:val="001C0C8D"/>
    <w:rsid w:val="001C0FC2"/>
    <w:rsid w:val="001C12F8"/>
    <w:rsid w:val="001C22FD"/>
    <w:rsid w:val="001C2983"/>
    <w:rsid w:val="001C2D6D"/>
    <w:rsid w:val="001C35A5"/>
    <w:rsid w:val="001C4E17"/>
    <w:rsid w:val="001C59FF"/>
    <w:rsid w:val="001C631A"/>
    <w:rsid w:val="001C6AD2"/>
    <w:rsid w:val="001D0A93"/>
    <w:rsid w:val="001D137E"/>
    <w:rsid w:val="001D13F6"/>
    <w:rsid w:val="001D3B34"/>
    <w:rsid w:val="001D48D0"/>
    <w:rsid w:val="001D6061"/>
    <w:rsid w:val="001D6621"/>
    <w:rsid w:val="001D6702"/>
    <w:rsid w:val="001D7CFA"/>
    <w:rsid w:val="001D7D07"/>
    <w:rsid w:val="001E052A"/>
    <w:rsid w:val="001E0A99"/>
    <w:rsid w:val="001E1B64"/>
    <w:rsid w:val="001E270F"/>
    <w:rsid w:val="001E4E66"/>
    <w:rsid w:val="001E54DE"/>
    <w:rsid w:val="001E56B9"/>
    <w:rsid w:val="001E79EA"/>
    <w:rsid w:val="001E7FE7"/>
    <w:rsid w:val="001F0115"/>
    <w:rsid w:val="001F1DB3"/>
    <w:rsid w:val="001F222B"/>
    <w:rsid w:val="001F2377"/>
    <w:rsid w:val="001F2829"/>
    <w:rsid w:val="001F3AF8"/>
    <w:rsid w:val="001F518D"/>
    <w:rsid w:val="001F5FBE"/>
    <w:rsid w:val="001F7458"/>
    <w:rsid w:val="001F790B"/>
    <w:rsid w:val="001F7E97"/>
    <w:rsid w:val="0020021A"/>
    <w:rsid w:val="0020052C"/>
    <w:rsid w:val="00200C4F"/>
    <w:rsid w:val="002022C8"/>
    <w:rsid w:val="00202A33"/>
    <w:rsid w:val="00202BEC"/>
    <w:rsid w:val="002037FE"/>
    <w:rsid w:val="00203F8C"/>
    <w:rsid w:val="00204306"/>
    <w:rsid w:val="00205606"/>
    <w:rsid w:val="00205FFF"/>
    <w:rsid w:val="00206250"/>
    <w:rsid w:val="00206AF3"/>
    <w:rsid w:val="00206FED"/>
    <w:rsid w:val="0020733F"/>
    <w:rsid w:val="00207886"/>
    <w:rsid w:val="002106A1"/>
    <w:rsid w:val="00210DE9"/>
    <w:rsid w:val="002121F1"/>
    <w:rsid w:val="00216319"/>
    <w:rsid w:val="00217689"/>
    <w:rsid w:val="002178D4"/>
    <w:rsid w:val="002204AF"/>
    <w:rsid w:val="002205AC"/>
    <w:rsid w:val="00220AED"/>
    <w:rsid w:val="00220FB0"/>
    <w:rsid w:val="002216F1"/>
    <w:rsid w:val="00221C05"/>
    <w:rsid w:val="00223027"/>
    <w:rsid w:val="00223743"/>
    <w:rsid w:val="00223941"/>
    <w:rsid w:val="002259B5"/>
    <w:rsid w:val="00227A58"/>
    <w:rsid w:val="00230EA1"/>
    <w:rsid w:val="00230F6D"/>
    <w:rsid w:val="002316E4"/>
    <w:rsid w:val="00231C6E"/>
    <w:rsid w:val="0023211D"/>
    <w:rsid w:val="00232DB3"/>
    <w:rsid w:val="0023497E"/>
    <w:rsid w:val="0023505B"/>
    <w:rsid w:val="00236A44"/>
    <w:rsid w:val="00236A72"/>
    <w:rsid w:val="00241CEF"/>
    <w:rsid w:val="00242C7A"/>
    <w:rsid w:val="00242CCF"/>
    <w:rsid w:val="00245150"/>
    <w:rsid w:val="00250A9C"/>
    <w:rsid w:val="002525F3"/>
    <w:rsid w:val="00253654"/>
    <w:rsid w:val="002546DC"/>
    <w:rsid w:val="00254A39"/>
    <w:rsid w:val="00255904"/>
    <w:rsid w:val="00256D71"/>
    <w:rsid w:val="002570B4"/>
    <w:rsid w:val="002607F6"/>
    <w:rsid w:val="00260836"/>
    <w:rsid w:val="00263997"/>
    <w:rsid w:val="00265776"/>
    <w:rsid w:val="00267C8E"/>
    <w:rsid w:val="00267DB0"/>
    <w:rsid w:val="002700C1"/>
    <w:rsid w:val="00270ED9"/>
    <w:rsid w:val="00271004"/>
    <w:rsid w:val="0027176F"/>
    <w:rsid w:val="00272263"/>
    <w:rsid w:val="00273F23"/>
    <w:rsid w:val="00274F3D"/>
    <w:rsid w:val="00275C13"/>
    <w:rsid w:val="00275DC8"/>
    <w:rsid w:val="002761AC"/>
    <w:rsid w:val="0027715B"/>
    <w:rsid w:val="00277D2B"/>
    <w:rsid w:val="002850B9"/>
    <w:rsid w:val="002851ED"/>
    <w:rsid w:val="00285CD4"/>
    <w:rsid w:val="00287561"/>
    <w:rsid w:val="00290380"/>
    <w:rsid w:val="0029038E"/>
    <w:rsid w:val="00292790"/>
    <w:rsid w:val="00294DE6"/>
    <w:rsid w:val="00296CC7"/>
    <w:rsid w:val="00296FF5"/>
    <w:rsid w:val="002A10C0"/>
    <w:rsid w:val="002A2067"/>
    <w:rsid w:val="002A2303"/>
    <w:rsid w:val="002A2921"/>
    <w:rsid w:val="002A2E0B"/>
    <w:rsid w:val="002A333F"/>
    <w:rsid w:val="002A3B16"/>
    <w:rsid w:val="002A45E4"/>
    <w:rsid w:val="002A4735"/>
    <w:rsid w:val="002A512E"/>
    <w:rsid w:val="002A5F5F"/>
    <w:rsid w:val="002A6226"/>
    <w:rsid w:val="002A6578"/>
    <w:rsid w:val="002B015E"/>
    <w:rsid w:val="002B025D"/>
    <w:rsid w:val="002B0FEE"/>
    <w:rsid w:val="002B1826"/>
    <w:rsid w:val="002B1901"/>
    <w:rsid w:val="002B2FDE"/>
    <w:rsid w:val="002B46B3"/>
    <w:rsid w:val="002B4BB7"/>
    <w:rsid w:val="002B4EFC"/>
    <w:rsid w:val="002B55AC"/>
    <w:rsid w:val="002B5656"/>
    <w:rsid w:val="002C01B6"/>
    <w:rsid w:val="002C5047"/>
    <w:rsid w:val="002C58AC"/>
    <w:rsid w:val="002C5A0E"/>
    <w:rsid w:val="002D18FB"/>
    <w:rsid w:val="002D24D4"/>
    <w:rsid w:val="002D3290"/>
    <w:rsid w:val="002D3403"/>
    <w:rsid w:val="002D40F1"/>
    <w:rsid w:val="002D47CC"/>
    <w:rsid w:val="002D62F4"/>
    <w:rsid w:val="002E0D9A"/>
    <w:rsid w:val="002E1C3F"/>
    <w:rsid w:val="002E1DE7"/>
    <w:rsid w:val="002E2280"/>
    <w:rsid w:val="002E22F9"/>
    <w:rsid w:val="002E374D"/>
    <w:rsid w:val="002E5431"/>
    <w:rsid w:val="002E6C2A"/>
    <w:rsid w:val="002F1477"/>
    <w:rsid w:val="002F5DC4"/>
    <w:rsid w:val="002F7107"/>
    <w:rsid w:val="002F7230"/>
    <w:rsid w:val="00300B4D"/>
    <w:rsid w:val="00301531"/>
    <w:rsid w:val="0030286D"/>
    <w:rsid w:val="00303AAF"/>
    <w:rsid w:val="00304C6D"/>
    <w:rsid w:val="0030688B"/>
    <w:rsid w:val="00306F45"/>
    <w:rsid w:val="0030725C"/>
    <w:rsid w:val="00307726"/>
    <w:rsid w:val="00307FA0"/>
    <w:rsid w:val="00311499"/>
    <w:rsid w:val="0031149F"/>
    <w:rsid w:val="00312054"/>
    <w:rsid w:val="00312D65"/>
    <w:rsid w:val="003134F3"/>
    <w:rsid w:val="00313DD2"/>
    <w:rsid w:val="00315730"/>
    <w:rsid w:val="00317552"/>
    <w:rsid w:val="003177EB"/>
    <w:rsid w:val="00317F66"/>
    <w:rsid w:val="00320C46"/>
    <w:rsid w:val="00320FAE"/>
    <w:rsid w:val="00321C80"/>
    <w:rsid w:val="00322002"/>
    <w:rsid w:val="00322E68"/>
    <w:rsid w:val="00323451"/>
    <w:rsid w:val="003235BB"/>
    <w:rsid w:val="00323CD3"/>
    <w:rsid w:val="00324CD8"/>
    <w:rsid w:val="00324DEE"/>
    <w:rsid w:val="00324FE0"/>
    <w:rsid w:val="00325897"/>
    <w:rsid w:val="003260DD"/>
    <w:rsid w:val="003268A8"/>
    <w:rsid w:val="00326BC9"/>
    <w:rsid w:val="00330EEB"/>
    <w:rsid w:val="003310BA"/>
    <w:rsid w:val="003313E0"/>
    <w:rsid w:val="003313EA"/>
    <w:rsid w:val="00331B58"/>
    <w:rsid w:val="00331EEF"/>
    <w:rsid w:val="0033241B"/>
    <w:rsid w:val="0033276A"/>
    <w:rsid w:val="003345AD"/>
    <w:rsid w:val="0033494D"/>
    <w:rsid w:val="00335D81"/>
    <w:rsid w:val="003366F4"/>
    <w:rsid w:val="0034193D"/>
    <w:rsid w:val="00342636"/>
    <w:rsid w:val="003426C0"/>
    <w:rsid w:val="00344426"/>
    <w:rsid w:val="00345D5E"/>
    <w:rsid w:val="00345F54"/>
    <w:rsid w:val="003478BE"/>
    <w:rsid w:val="00351809"/>
    <w:rsid w:val="00351C31"/>
    <w:rsid w:val="00352373"/>
    <w:rsid w:val="0035262D"/>
    <w:rsid w:val="0035371A"/>
    <w:rsid w:val="00354A5B"/>
    <w:rsid w:val="0035528B"/>
    <w:rsid w:val="003555F4"/>
    <w:rsid w:val="00356F3A"/>
    <w:rsid w:val="0035760D"/>
    <w:rsid w:val="0036034E"/>
    <w:rsid w:val="003607C3"/>
    <w:rsid w:val="003616BA"/>
    <w:rsid w:val="003622A2"/>
    <w:rsid w:val="00363661"/>
    <w:rsid w:val="00364ABC"/>
    <w:rsid w:val="00365072"/>
    <w:rsid w:val="00365F42"/>
    <w:rsid w:val="00366415"/>
    <w:rsid w:val="003667C6"/>
    <w:rsid w:val="00366A9A"/>
    <w:rsid w:val="003676F2"/>
    <w:rsid w:val="00370110"/>
    <w:rsid w:val="00370185"/>
    <w:rsid w:val="003704EB"/>
    <w:rsid w:val="00372AE6"/>
    <w:rsid w:val="003739DD"/>
    <w:rsid w:val="003742B6"/>
    <w:rsid w:val="0037453B"/>
    <w:rsid w:val="00375058"/>
    <w:rsid w:val="00376A19"/>
    <w:rsid w:val="003772CA"/>
    <w:rsid w:val="00377E51"/>
    <w:rsid w:val="003810D0"/>
    <w:rsid w:val="003815E6"/>
    <w:rsid w:val="00381685"/>
    <w:rsid w:val="0038286E"/>
    <w:rsid w:val="00383BEB"/>
    <w:rsid w:val="00386A8B"/>
    <w:rsid w:val="00386FC6"/>
    <w:rsid w:val="003874B7"/>
    <w:rsid w:val="00391CFE"/>
    <w:rsid w:val="0039304A"/>
    <w:rsid w:val="003933BD"/>
    <w:rsid w:val="00394E35"/>
    <w:rsid w:val="0039597A"/>
    <w:rsid w:val="003961D6"/>
    <w:rsid w:val="0039623B"/>
    <w:rsid w:val="00396956"/>
    <w:rsid w:val="00396DA4"/>
    <w:rsid w:val="003977B2"/>
    <w:rsid w:val="003A0C36"/>
    <w:rsid w:val="003A1E57"/>
    <w:rsid w:val="003A210C"/>
    <w:rsid w:val="003A2A2F"/>
    <w:rsid w:val="003A2D65"/>
    <w:rsid w:val="003A3FC4"/>
    <w:rsid w:val="003A404D"/>
    <w:rsid w:val="003A5416"/>
    <w:rsid w:val="003A5719"/>
    <w:rsid w:val="003A5F09"/>
    <w:rsid w:val="003A6051"/>
    <w:rsid w:val="003A7709"/>
    <w:rsid w:val="003B0044"/>
    <w:rsid w:val="003B0342"/>
    <w:rsid w:val="003B1081"/>
    <w:rsid w:val="003B1234"/>
    <w:rsid w:val="003B204B"/>
    <w:rsid w:val="003B2224"/>
    <w:rsid w:val="003B22A6"/>
    <w:rsid w:val="003B2B6C"/>
    <w:rsid w:val="003B4139"/>
    <w:rsid w:val="003B50B1"/>
    <w:rsid w:val="003B5A8F"/>
    <w:rsid w:val="003B5C11"/>
    <w:rsid w:val="003B74C5"/>
    <w:rsid w:val="003C0641"/>
    <w:rsid w:val="003C0BF5"/>
    <w:rsid w:val="003C0C1B"/>
    <w:rsid w:val="003C17FB"/>
    <w:rsid w:val="003C222E"/>
    <w:rsid w:val="003C337D"/>
    <w:rsid w:val="003C4527"/>
    <w:rsid w:val="003C4628"/>
    <w:rsid w:val="003C501F"/>
    <w:rsid w:val="003C516F"/>
    <w:rsid w:val="003C5CAE"/>
    <w:rsid w:val="003D10BC"/>
    <w:rsid w:val="003D1277"/>
    <w:rsid w:val="003D1279"/>
    <w:rsid w:val="003D233A"/>
    <w:rsid w:val="003D4C23"/>
    <w:rsid w:val="003D5FDC"/>
    <w:rsid w:val="003D6013"/>
    <w:rsid w:val="003D6805"/>
    <w:rsid w:val="003E0F21"/>
    <w:rsid w:val="003E1A2D"/>
    <w:rsid w:val="003E24A7"/>
    <w:rsid w:val="003E3980"/>
    <w:rsid w:val="003E3B41"/>
    <w:rsid w:val="003E7A95"/>
    <w:rsid w:val="003F0768"/>
    <w:rsid w:val="003F0A18"/>
    <w:rsid w:val="003F0A42"/>
    <w:rsid w:val="003F0A71"/>
    <w:rsid w:val="003F0A9F"/>
    <w:rsid w:val="003F29FF"/>
    <w:rsid w:val="003F44B3"/>
    <w:rsid w:val="003F467B"/>
    <w:rsid w:val="003F4682"/>
    <w:rsid w:val="003F7031"/>
    <w:rsid w:val="003F76B1"/>
    <w:rsid w:val="003F7AF7"/>
    <w:rsid w:val="0040019F"/>
    <w:rsid w:val="00400B29"/>
    <w:rsid w:val="004028A4"/>
    <w:rsid w:val="00402EC8"/>
    <w:rsid w:val="004042AD"/>
    <w:rsid w:val="0040437F"/>
    <w:rsid w:val="00405C89"/>
    <w:rsid w:val="00405E70"/>
    <w:rsid w:val="004120CD"/>
    <w:rsid w:val="00413E0A"/>
    <w:rsid w:val="004140AA"/>
    <w:rsid w:val="004149B0"/>
    <w:rsid w:val="00415B9A"/>
    <w:rsid w:val="00415E9A"/>
    <w:rsid w:val="004178D2"/>
    <w:rsid w:val="00420690"/>
    <w:rsid w:val="004209CB"/>
    <w:rsid w:val="00420D51"/>
    <w:rsid w:val="004210A8"/>
    <w:rsid w:val="00423D3E"/>
    <w:rsid w:val="00423F13"/>
    <w:rsid w:val="0042480E"/>
    <w:rsid w:val="00424E27"/>
    <w:rsid w:val="00430BF9"/>
    <w:rsid w:val="00433390"/>
    <w:rsid w:val="00434687"/>
    <w:rsid w:val="00434F0E"/>
    <w:rsid w:val="00435335"/>
    <w:rsid w:val="004357A5"/>
    <w:rsid w:val="00436409"/>
    <w:rsid w:val="00437418"/>
    <w:rsid w:val="004402D4"/>
    <w:rsid w:val="004404F0"/>
    <w:rsid w:val="00440762"/>
    <w:rsid w:val="004413F5"/>
    <w:rsid w:val="00442B73"/>
    <w:rsid w:val="00443C97"/>
    <w:rsid w:val="00444E71"/>
    <w:rsid w:val="004471BA"/>
    <w:rsid w:val="004472E1"/>
    <w:rsid w:val="00447453"/>
    <w:rsid w:val="00447698"/>
    <w:rsid w:val="004478DB"/>
    <w:rsid w:val="00447BED"/>
    <w:rsid w:val="00450C50"/>
    <w:rsid w:val="00452DD0"/>
    <w:rsid w:val="00452F02"/>
    <w:rsid w:val="00453576"/>
    <w:rsid w:val="0045502D"/>
    <w:rsid w:val="00455B2A"/>
    <w:rsid w:val="0045605A"/>
    <w:rsid w:val="004571EF"/>
    <w:rsid w:val="00457228"/>
    <w:rsid w:val="00460411"/>
    <w:rsid w:val="004605E4"/>
    <w:rsid w:val="00460600"/>
    <w:rsid w:val="00460868"/>
    <w:rsid w:val="004622BB"/>
    <w:rsid w:val="0046351E"/>
    <w:rsid w:val="00465224"/>
    <w:rsid w:val="00466D8C"/>
    <w:rsid w:val="00466E50"/>
    <w:rsid w:val="0046758A"/>
    <w:rsid w:val="00467928"/>
    <w:rsid w:val="004712B8"/>
    <w:rsid w:val="00472835"/>
    <w:rsid w:val="00472CE0"/>
    <w:rsid w:val="00473A88"/>
    <w:rsid w:val="00475483"/>
    <w:rsid w:val="004764CA"/>
    <w:rsid w:val="00480579"/>
    <w:rsid w:val="0048119E"/>
    <w:rsid w:val="004846D9"/>
    <w:rsid w:val="00484B96"/>
    <w:rsid w:val="00485395"/>
    <w:rsid w:val="00486E74"/>
    <w:rsid w:val="00486EDA"/>
    <w:rsid w:val="004873DC"/>
    <w:rsid w:val="00487DA1"/>
    <w:rsid w:val="00490894"/>
    <w:rsid w:val="0049136F"/>
    <w:rsid w:val="0049144F"/>
    <w:rsid w:val="00491B6F"/>
    <w:rsid w:val="00491CCF"/>
    <w:rsid w:val="00492BA2"/>
    <w:rsid w:val="00493303"/>
    <w:rsid w:val="00497389"/>
    <w:rsid w:val="004A082E"/>
    <w:rsid w:val="004A4809"/>
    <w:rsid w:val="004A7988"/>
    <w:rsid w:val="004A7F44"/>
    <w:rsid w:val="004B0318"/>
    <w:rsid w:val="004B125E"/>
    <w:rsid w:val="004B1749"/>
    <w:rsid w:val="004B3E75"/>
    <w:rsid w:val="004B48DE"/>
    <w:rsid w:val="004B4CE4"/>
    <w:rsid w:val="004B4DE2"/>
    <w:rsid w:val="004B55A3"/>
    <w:rsid w:val="004B593C"/>
    <w:rsid w:val="004B67EA"/>
    <w:rsid w:val="004B7986"/>
    <w:rsid w:val="004C025D"/>
    <w:rsid w:val="004C17C6"/>
    <w:rsid w:val="004C1EAE"/>
    <w:rsid w:val="004C2133"/>
    <w:rsid w:val="004C229C"/>
    <w:rsid w:val="004C6CBF"/>
    <w:rsid w:val="004C7D5D"/>
    <w:rsid w:val="004D107C"/>
    <w:rsid w:val="004D1F2E"/>
    <w:rsid w:val="004D2344"/>
    <w:rsid w:val="004D26DA"/>
    <w:rsid w:val="004D489A"/>
    <w:rsid w:val="004D4925"/>
    <w:rsid w:val="004D6D93"/>
    <w:rsid w:val="004D6FB2"/>
    <w:rsid w:val="004D732F"/>
    <w:rsid w:val="004E01CE"/>
    <w:rsid w:val="004E03A0"/>
    <w:rsid w:val="004E099E"/>
    <w:rsid w:val="004E226F"/>
    <w:rsid w:val="004E2532"/>
    <w:rsid w:val="004E286D"/>
    <w:rsid w:val="004E372A"/>
    <w:rsid w:val="004E375E"/>
    <w:rsid w:val="004E3B07"/>
    <w:rsid w:val="004E5616"/>
    <w:rsid w:val="004E5A91"/>
    <w:rsid w:val="004E5D60"/>
    <w:rsid w:val="004E6F23"/>
    <w:rsid w:val="004E7E86"/>
    <w:rsid w:val="004F2E2D"/>
    <w:rsid w:val="004F2FF2"/>
    <w:rsid w:val="004F4C8C"/>
    <w:rsid w:val="004F4F18"/>
    <w:rsid w:val="004F53DA"/>
    <w:rsid w:val="004F6BD3"/>
    <w:rsid w:val="00500F0F"/>
    <w:rsid w:val="00501E1A"/>
    <w:rsid w:val="00501EC8"/>
    <w:rsid w:val="0050280B"/>
    <w:rsid w:val="00502BAB"/>
    <w:rsid w:val="00504C63"/>
    <w:rsid w:val="00505B91"/>
    <w:rsid w:val="00506C5D"/>
    <w:rsid w:val="0050767A"/>
    <w:rsid w:val="00510E4D"/>
    <w:rsid w:val="005111D4"/>
    <w:rsid w:val="0051277C"/>
    <w:rsid w:val="005132B7"/>
    <w:rsid w:val="00513883"/>
    <w:rsid w:val="005140EA"/>
    <w:rsid w:val="0051466C"/>
    <w:rsid w:val="00514B5B"/>
    <w:rsid w:val="00516746"/>
    <w:rsid w:val="00516BAC"/>
    <w:rsid w:val="005170E8"/>
    <w:rsid w:val="00517D7E"/>
    <w:rsid w:val="00521963"/>
    <w:rsid w:val="005251FE"/>
    <w:rsid w:val="0052629F"/>
    <w:rsid w:val="005265C2"/>
    <w:rsid w:val="00527084"/>
    <w:rsid w:val="00532B90"/>
    <w:rsid w:val="00532D77"/>
    <w:rsid w:val="0053340E"/>
    <w:rsid w:val="0053424A"/>
    <w:rsid w:val="00535A34"/>
    <w:rsid w:val="00535C84"/>
    <w:rsid w:val="00536148"/>
    <w:rsid w:val="0053660F"/>
    <w:rsid w:val="0053767B"/>
    <w:rsid w:val="00537920"/>
    <w:rsid w:val="00537C8C"/>
    <w:rsid w:val="0054067B"/>
    <w:rsid w:val="005421F7"/>
    <w:rsid w:val="005439DC"/>
    <w:rsid w:val="005444E4"/>
    <w:rsid w:val="0054498D"/>
    <w:rsid w:val="00544D0B"/>
    <w:rsid w:val="00544E4E"/>
    <w:rsid w:val="005453CA"/>
    <w:rsid w:val="005455E7"/>
    <w:rsid w:val="00545E29"/>
    <w:rsid w:val="00546D25"/>
    <w:rsid w:val="0054735F"/>
    <w:rsid w:val="005473A3"/>
    <w:rsid w:val="00547F5C"/>
    <w:rsid w:val="00550FA9"/>
    <w:rsid w:val="00551E9F"/>
    <w:rsid w:val="00552979"/>
    <w:rsid w:val="00552AA2"/>
    <w:rsid w:val="005548DD"/>
    <w:rsid w:val="00554B14"/>
    <w:rsid w:val="00554B94"/>
    <w:rsid w:val="00555F3A"/>
    <w:rsid w:val="00556715"/>
    <w:rsid w:val="00561BF0"/>
    <w:rsid w:val="00562104"/>
    <w:rsid w:val="00562B14"/>
    <w:rsid w:val="0056337C"/>
    <w:rsid w:val="00564CFC"/>
    <w:rsid w:val="0056504A"/>
    <w:rsid w:val="00565DB5"/>
    <w:rsid w:val="00566B44"/>
    <w:rsid w:val="00566EE8"/>
    <w:rsid w:val="00567527"/>
    <w:rsid w:val="00567A51"/>
    <w:rsid w:val="005700F2"/>
    <w:rsid w:val="0057098E"/>
    <w:rsid w:val="00571584"/>
    <w:rsid w:val="005751CC"/>
    <w:rsid w:val="00575650"/>
    <w:rsid w:val="00575F8A"/>
    <w:rsid w:val="00576499"/>
    <w:rsid w:val="00577516"/>
    <w:rsid w:val="00581357"/>
    <w:rsid w:val="00581D43"/>
    <w:rsid w:val="0058383B"/>
    <w:rsid w:val="00586547"/>
    <w:rsid w:val="00586796"/>
    <w:rsid w:val="005869C5"/>
    <w:rsid w:val="00586DD9"/>
    <w:rsid w:val="00587154"/>
    <w:rsid w:val="005873F0"/>
    <w:rsid w:val="0059025A"/>
    <w:rsid w:val="00592FE2"/>
    <w:rsid w:val="005931F8"/>
    <w:rsid w:val="0059444F"/>
    <w:rsid w:val="005945D8"/>
    <w:rsid w:val="00594EC7"/>
    <w:rsid w:val="00595E70"/>
    <w:rsid w:val="00596432"/>
    <w:rsid w:val="00596FA4"/>
    <w:rsid w:val="005A19E9"/>
    <w:rsid w:val="005A1B43"/>
    <w:rsid w:val="005A436C"/>
    <w:rsid w:val="005A5177"/>
    <w:rsid w:val="005A6081"/>
    <w:rsid w:val="005A669D"/>
    <w:rsid w:val="005A77BD"/>
    <w:rsid w:val="005B1BA1"/>
    <w:rsid w:val="005B20CC"/>
    <w:rsid w:val="005B3212"/>
    <w:rsid w:val="005B3764"/>
    <w:rsid w:val="005B5BCF"/>
    <w:rsid w:val="005B73FF"/>
    <w:rsid w:val="005C04C3"/>
    <w:rsid w:val="005C078A"/>
    <w:rsid w:val="005C0C8E"/>
    <w:rsid w:val="005C1DED"/>
    <w:rsid w:val="005C2AD8"/>
    <w:rsid w:val="005C2BF6"/>
    <w:rsid w:val="005C3ED0"/>
    <w:rsid w:val="005C4ACD"/>
    <w:rsid w:val="005C5F74"/>
    <w:rsid w:val="005C6260"/>
    <w:rsid w:val="005C7137"/>
    <w:rsid w:val="005C7744"/>
    <w:rsid w:val="005C778B"/>
    <w:rsid w:val="005D11D9"/>
    <w:rsid w:val="005D1ADE"/>
    <w:rsid w:val="005D2745"/>
    <w:rsid w:val="005D2FBB"/>
    <w:rsid w:val="005D310E"/>
    <w:rsid w:val="005D42A8"/>
    <w:rsid w:val="005D4A61"/>
    <w:rsid w:val="005D54C9"/>
    <w:rsid w:val="005D7021"/>
    <w:rsid w:val="005D7539"/>
    <w:rsid w:val="005D7718"/>
    <w:rsid w:val="005E07FF"/>
    <w:rsid w:val="005E1C5C"/>
    <w:rsid w:val="005E2D07"/>
    <w:rsid w:val="005E54D5"/>
    <w:rsid w:val="005E759E"/>
    <w:rsid w:val="005F0202"/>
    <w:rsid w:val="005F23D8"/>
    <w:rsid w:val="005F28E6"/>
    <w:rsid w:val="005F3A82"/>
    <w:rsid w:val="005F3E09"/>
    <w:rsid w:val="005F5B6C"/>
    <w:rsid w:val="005F633D"/>
    <w:rsid w:val="005F6D7D"/>
    <w:rsid w:val="005F7802"/>
    <w:rsid w:val="00600178"/>
    <w:rsid w:val="00601414"/>
    <w:rsid w:val="006016E0"/>
    <w:rsid w:val="00601794"/>
    <w:rsid w:val="00602EBF"/>
    <w:rsid w:val="00602FC6"/>
    <w:rsid w:val="00604C2D"/>
    <w:rsid w:val="00605686"/>
    <w:rsid w:val="006072FC"/>
    <w:rsid w:val="00607739"/>
    <w:rsid w:val="006103F2"/>
    <w:rsid w:val="0061082B"/>
    <w:rsid w:val="00612CBA"/>
    <w:rsid w:val="00613A7E"/>
    <w:rsid w:val="00613E1A"/>
    <w:rsid w:val="00614645"/>
    <w:rsid w:val="006171AB"/>
    <w:rsid w:val="0062023E"/>
    <w:rsid w:val="006216DA"/>
    <w:rsid w:val="00621F7A"/>
    <w:rsid w:val="00621FFF"/>
    <w:rsid w:val="0062382C"/>
    <w:rsid w:val="00623F0B"/>
    <w:rsid w:val="006271DD"/>
    <w:rsid w:val="00630006"/>
    <w:rsid w:val="00631113"/>
    <w:rsid w:val="0063164B"/>
    <w:rsid w:val="0063287E"/>
    <w:rsid w:val="00633518"/>
    <w:rsid w:val="00633BD7"/>
    <w:rsid w:val="00634D46"/>
    <w:rsid w:val="00635249"/>
    <w:rsid w:val="006362B1"/>
    <w:rsid w:val="006417F4"/>
    <w:rsid w:val="006419A8"/>
    <w:rsid w:val="00641D5E"/>
    <w:rsid w:val="00642870"/>
    <w:rsid w:val="006437C4"/>
    <w:rsid w:val="00647851"/>
    <w:rsid w:val="00651314"/>
    <w:rsid w:val="00651572"/>
    <w:rsid w:val="00651F3B"/>
    <w:rsid w:val="006525B0"/>
    <w:rsid w:val="006526E6"/>
    <w:rsid w:val="006560C1"/>
    <w:rsid w:val="00656D5C"/>
    <w:rsid w:val="00657316"/>
    <w:rsid w:val="00660C1B"/>
    <w:rsid w:val="00660D91"/>
    <w:rsid w:val="00660E44"/>
    <w:rsid w:val="006633EA"/>
    <w:rsid w:val="00663726"/>
    <w:rsid w:val="00665FD7"/>
    <w:rsid w:val="0066666E"/>
    <w:rsid w:val="00672967"/>
    <w:rsid w:val="00672997"/>
    <w:rsid w:val="00672C6F"/>
    <w:rsid w:val="006731D8"/>
    <w:rsid w:val="00673332"/>
    <w:rsid w:val="006734CA"/>
    <w:rsid w:val="006734DE"/>
    <w:rsid w:val="00673D45"/>
    <w:rsid w:val="00674B24"/>
    <w:rsid w:val="00676589"/>
    <w:rsid w:val="00680A85"/>
    <w:rsid w:val="00680EA4"/>
    <w:rsid w:val="0068128D"/>
    <w:rsid w:val="00681738"/>
    <w:rsid w:val="00682CF7"/>
    <w:rsid w:val="006838B3"/>
    <w:rsid w:val="00683E22"/>
    <w:rsid w:val="0068413E"/>
    <w:rsid w:val="006844C3"/>
    <w:rsid w:val="00685ABE"/>
    <w:rsid w:val="00687432"/>
    <w:rsid w:val="00690CAB"/>
    <w:rsid w:val="0069125B"/>
    <w:rsid w:val="00691290"/>
    <w:rsid w:val="00691591"/>
    <w:rsid w:val="00693332"/>
    <w:rsid w:val="00694239"/>
    <w:rsid w:val="00695022"/>
    <w:rsid w:val="00696A10"/>
    <w:rsid w:val="006A0E0D"/>
    <w:rsid w:val="006A137F"/>
    <w:rsid w:val="006A18AA"/>
    <w:rsid w:val="006A191E"/>
    <w:rsid w:val="006A22D8"/>
    <w:rsid w:val="006A2FE3"/>
    <w:rsid w:val="006A595E"/>
    <w:rsid w:val="006A5B23"/>
    <w:rsid w:val="006A6856"/>
    <w:rsid w:val="006A6BA6"/>
    <w:rsid w:val="006B1AC4"/>
    <w:rsid w:val="006B1B6C"/>
    <w:rsid w:val="006B1C6A"/>
    <w:rsid w:val="006B28E7"/>
    <w:rsid w:val="006B2BF5"/>
    <w:rsid w:val="006B374C"/>
    <w:rsid w:val="006B3E59"/>
    <w:rsid w:val="006B46F9"/>
    <w:rsid w:val="006B4880"/>
    <w:rsid w:val="006C0689"/>
    <w:rsid w:val="006C2C30"/>
    <w:rsid w:val="006C420E"/>
    <w:rsid w:val="006C461C"/>
    <w:rsid w:val="006C6CC2"/>
    <w:rsid w:val="006C6D90"/>
    <w:rsid w:val="006D023A"/>
    <w:rsid w:val="006D07E0"/>
    <w:rsid w:val="006D0A72"/>
    <w:rsid w:val="006D0D7E"/>
    <w:rsid w:val="006D3611"/>
    <w:rsid w:val="006D4255"/>
    <w:rsid w:val="006D640E"/>
    <w:rsid w:val="006D65AE"/>
    <w:rsid w:val="006D7213"/>
    <w:rsid w:val="006D7A86"/>
    <w:rsid w:val="006D7CC8"/>
    <w:rsid w:val="006E0309"/>
    <w:rsid w:val="006E036E"/>
    <w:rsid w:val="006E16A6"/>
    <w:rsid w:val="006E28B0"/>
    <w:rsid w:val="006E343C"/>
    <w:rsid w:val="006E35A8"/>
    <w:rsid w:val="006E45FB"/>
    <w:rsid w:val="006E50EC"/>
    <w:rsid w:val="006E6030"/>
    <w:rsid w:val="006E68BE"/>
    <w:rsid w:val="006F0199"/>
    <w:rsid w:val="006F223F"/>
    <w:rsid w:val="006F2FD5"/>
    <w:rsid w:val="006F344C"/>
    <w:rsid w:val="006F5878"/>
    <w:rsid w:val="006F5E81"/>
    <w:rsid w:val="006F5F50"/>
    <w:rsid w:val="007010F8"/>
    <w:rsid w:val="0070163F"/>
    <w:rsid w:val="007026E7"/>
    <w:rsid w:val="0070279C"/>
    <w:rsid w:val="00703852"/>
    <w:rsid w:val="00703962"/>
    <w:rsid w:val="0070410B"/>
    <w:rsid w:val="00704AE7"/>
    <w:rsid w:val="0070690E"/>
    <w:rsid w:val="007078E7"/>
    <w:rsid w:val="00710491"/>
    <w:rsid w:val="007127A3"/>
    <w:rsid w:val="00712804"/>
    <w:rsid w:val="00713029"/>
    <w:rsid w:val="00714C3C"/>
    <w:rsid w:val="00714EB4"/>
    <w:rsid w:val="00715B28"/>
    <w:rsid w:val="00720905"/>
    <w:rsid w:val="00722979"/>
    <w:rsid w:val="00723028"/>
    <w:rsid w:val="00723202"/>
    <w:rsid w:val="00723B41"/>
    <w:rsid w:val="00723B6A"/>
    <w:rsid w:val="00725611"/>
    <w:rsid w:val="00726B7F"/>
    <w:rsid w:val="007277B2"/>
    <w:rsid w:val="007278A3"/>
    <w:rsid w:val="0073001B"/>
    <w:rsid w:val="007306AC"/>
    <w:rsid w:val="00730ACA"/>
    <w:rsid w:val="00730D68"/>
    <w:rsid w:val="007339A3"/>
    <w:rsid w:val="00733A11"/>
    <w:rsid w:val="00733C57"/>
    <w:rsid w:val="00733EF5"/>
    <w:rsid w:val="007356F7"/>
    <w:rsid w:val="00736118"/>
    <w:rsid w:val="00741E28"/>
    <w:rsid w:val="00742585"/>
    <w:rsid w:val="00743593"/>
    <w:rsid w:val="00744188"/>
    <w:rsid w:val="00744638"/>
    <w:rsid w:val="00746591"/>
    <w:rsid w:val="00746901"/>
    <w:rsid w:val="00747E50"/>
    <w:rsid w:val="007501AC"/>
    <w:rsid w:val="007504BA"/>
    <w:rsid w:val="007508DA"/>
    <w:rsid w:val="007511D6"/>
    <w:rsid w:val="00751A2E"/>
    <w:rsid w:val="00751EEF"/>
    <w:rsid w:val="00753CB7"/>
    <w:rsid w:val="0075415E"/>
    <w:rsid w:val="007546B1"/>
    <w:rsid w:val="00755931"/>
    <w:rsid w:val="00756512"/>
    <w:rsid w:val="00757187"/>
    <w:rsid w:val="00757744"/>
    <w:rsid w:val="00761F9C"/>
    <w:rsid w:val="00761FCE"/>
    <w:rsid w:val="00762522"/>
    <w:rsid w:val="00762916"/>
    <w:rsid w:val="007637C7"/>
    <w:rsid w:val="007649A6"/>
    <w:rsid w:val="0076500B"/>
    <w:rsid w:val="007655E3"/>
    <w:rsid w:val="00766C9A"/>
    <w:rsid w:val="007673EE"/>
    <w:rsid w:val="007675C1"/>
    <w:rsid w:val="00770B02"/>
    <w:rsid w:val="00770EC1"/>
    <w:rsid w:val="0077115F"/>
    <w:rsid w:val="00771805"/>
    <w:rsid w:val="0077189F"/>
    <w:rsid w:val="007740B0"/>
    <w:rsid w:val="00774348"/>
    <w:rsid w:val="0077498B"/>
    <w:rsid w:val="00775CC2"/>
    <w:rsid w:val="00777D99"/>
    <w:rsid w:val="00780437"/>
    <w:rsid w:val="00781D21"/>
    <w:rsid w:val="00782AE3"/>
    <w:rsid w:val="00782E5A"/>
    <w:rsid w:val="00783BCB"/>
    <w:rsid w:val="00787074"/>
    <w:rsid w:val="00787B8E"/>
    <w:rsid w:val="007911B8"/>
    <w:rsid w:val="0079197D"/>
    <w:rsid w:val="00791D05"/>
    <w:rsid w:val="00792895"/>
    <w:rsid w:val="00793185"/>
    <w:rsid w:val="007934CE"/>
    <w:rsid w:val="00796F57"/>
    <w:rsid w:val="007A2E9A"/>
    <w:rsid w:val="007A41F2"/>
    <w:rsid w:val="007A4370"/>
    <w:rsid w:val="007A54BD"/>
    <w:rsid w:val="007A6390"/>
    <w:rsid w:val="007A7FFE"/>
    <w:rsid w:val="007B13CF"/>
    <w:rsid w:val="007B1635"/>
    <w:rsid w:val="007B22B5"/>
    <w:rsid w:val="007B285A"/>
    <w:rsid w:val="007B3B1C"/>
    <w:rsid w:val="007B3F57"/>
    <w:rsid w:val="007B4011"/>
    <w:rsid w:val="007B4876"/>
    <w:rsid w:val="007B4D79"/>
    <w:rsid w:val="007B56D7"/>
    <w:rsid w:val="007B5B10"/>
    <w:rsid w:val="007C11DB"/>
    <w:rsid w:val="007C1544"/>
    <w:rsid w:val="007C1B80"/>
    <w:rsid w:val="007C23D5"/>
    <w:rsid w:val="007C3293"/>
    <w:rsid w:val="007C6260"/>
    <w:rsid w:val="007C648F"/>
    <w:rsid w:val="007C6ABA"/>
    <w:rsid w:val="007C6D36"/>
    <w:rsid w:val="007C7334"/>
    <w:rsid w:val="007C796F"/>
    <w:rsid w:val="007D043D"/>
    <w:rsid w:val="007D1795"/>
    <w:rsid w:val="007D2B7B"/>
    <w:rsid w:val="007D39AA"/>
    <w:rsid w:val="007D4169"/>
    <w:rsid w:val="007D6AC0"/>
    <w:rsid w:val="007D788A"/>
    <w:rsid w:val="007D7D8F"/>
    <w:rsid w:val="007E0308"/>
    <w:rsid w:val="007E03E3"/>
    <w:rsid w:val="007E3B90"/>
    <w:rsid w:val="007E50EE"/>
    <w:rsid w:val="007E5812"/>
    <w:rsid w:val="007E6556"/>
    <w:rsid w:val="007E6CCA"/>
    <w:rsid w:val="007F14A0"/>
    <w:rsid w:val="007F1F9A"/>
    <w:rsid w:val="007F252B"/>
    <w:rsid w:val="007F5D6B"/>
    <w:rsid w:val="007F732F"/>
    <w:rsid w:val="007F74C0"/>
    <w:rsid w:val="008039BF"/>
    <w:rsid w:val="008044AD"/>
    <w:rsid w:val="008047D7"/>
    <w:rsid w:val="00806D30"/>
    <w:rsid w:val="00810061"/>
    <w:rsid w:val="00812CC2"/>
    <w:rsid w:val="008133CF"/>
    <w:rsid w:val="0081406C"/>
    <w:rsid w:val="00814216"/>
    <w:rsid w:val="00815078"/>
    <w:rsid w:val="00817698"/>
    <w:rsid w:val="00817B72"/>
    <w:rsid w:val="00820C52"/>
    <w:rsid w:val="00821E54"/>
    <w:rsid w:val="0082441B"/>
    <w:rsid w:val="00824681"/>
    <w:rsid w:val="00824D0A"/>
    <w:rsid w:val="008254C6"/>
    <w:rsid w:val="008268A4"/>
    <w:rsid w:val="00826F15"/>
    <w:rsid w:val="008272C6"/>
    <w:rsid w:val="00830CCD"/>
    <w:rsid w:val="0083282E"/>
    <w:rsid w:val="00832CC6"/>
    <w:rsid w:val="00832F03"/>
    <w:rsid w:val="008336DF"/>
    <w:rsid w:val="0083418C"/>
    <w:rsid w:val="008374A9"/>
    <w:rsid w:val="00837ABB"/>
    <w:rsid w:val="00840DF7"/>
    <w:rsid w:val="00840FE9"/>
    <w:rsid w:val="008417C9"/>
    <w:rsid w:val="00841C00"/>
    <w:rsid w:val="00842661"/>
    <w:rsid w:val="00842F5C"/>
    <w:rsid w:val="0084363F"/>
    <w:rsid w:val="00844D42"/>
    <w:rsid w:val="008451C5"/>
    <w:rsid w:val="008459EF"/>
    <w:rsid w:val="00846FF0"/>
    <w:rsid w:val="008476AE"/>
    <w:rsid w:val="00847E0D"/>
    <w:rsid w:val="00860A13"/>
    <w:rsid w:val="00861D99"/>
    <w:rsid w:val="00861EC1"/>
    <w:rsid w:val="00862D02"/>
    <w:rsid w:val="00862FAD"/>
    <w:rsid w:val="008631F5"/>
    <w:rsid w:val="00863DF4"/>
    <w:rsid w:val="00863FA2"/>
    <w:rsid w:val="00865C8D"/>
    <w:rsid w:val="00867385"/>
    <w:rsid w:val="00870812"/>
    <w:rsid w:val="008709C9"/>
    <w:rsid w:val="008712F1"/>
    <w:rsid w:val="008728D8"/>
    <w:rsid w:val="008742FF"/>
    <w:rsid w:val="00875E6B"/>
    <w:rsid w:val="00876023"/>
    <w:rsid w:val="008766B8"/>
    <w:rsid w:val="00880C1B"/>
    <w:rsid w:val="008846C6"/>
    <w:rsid w:val="00884A3C"/>
    <w:rsid w:val="0088738C"/>
    <w:rsid w:val="00887881"/>
    <w:rsid w:val="008901A2"/>
    <w:rsid w:val="00890CBD"/>
    <w:rsid w:val="0089160B"/>
    <w:rsid w:val="0089164A"/>
    <w:rsid w:val="00891A8A"/>
    <w:rsid w:val="008926D5"/>
    <w:rsid w:val="0089313F"/>
    <w:rsid w:val="00893244"/>
    <w:rsid w:val="008944BE"/>
    <w:rsid w:val="008947D8"/>
    <w:rsid w:val="0089581B"/>
    <w:rsid w:val="0089631A"/>
    <w:rsid w:val="0089659C"/>
    <w:rsid w:val="00896B03"/>
    <w:rsid w:val="0089725F"/>
    <w:rsid w:val="008978E4"/>
    <w:rsid w:val="008A047F"/>
    <w:rsid w:val="008A07B2"/>
    <w:rsid w:val="008A17C4"/>
    <w:rsid w:val="008A2613"/>
    <w:rsid w:val="008A3513"/>
    <w:rsid w:val="008A423A"/>
    <w:rsid w:val="008A443D"/>
    <w:rsid w:val="008A4680"/>
    <w:rsid w:val="008A6259"/>
    <w:rsid w:val="008A6934"/>
    <w:rsid w:val="008B0325"/>
    <w:rsid w:val="008B2260"/>
    <w:rsid w:val="008B383C"/>
    <w:rsid w:val="008B3907"/>
    <w:rsid w:val="008B5ECA"/>
    <w:rsid w:val="008B7352"/>
    <w:rsid w:val="008C0533"/>
    <w:rsid w:val="008C0B85"/>
    <w:rsid w:val="008C12DB"/>
    <w:rsid w:val="008C35C2"/>
    <w:rsid w:val="008C3DAA"/>
    <w:rsid w:val="008C6967"/>
    <w:rsid w:val="008C7A0C"/>
    <w:rsid w:val="008D0357"/>
    <w:rsid w:val="008D0437"/>
    <w:rsid w:val="008D3452"/>
    <w:rsid w:val="008D6CAB"/>
    <w:rsid w:val="008E02D6"/>
    <w:rsid w:val="008E0495"/>
    <w:rsid w:val="008E141B"/>
    <w:rsid w:val="008E174F"/>
    <w:rsid w:val="008E330F"/>
    <w:rsid w:val="008E3805"/>
    <w:rsid w:val="008E3A27"/>
    <w:rsid w:val="008E4439"/>
    <w:rsid w:val="008E4F1E"/>
    <w:rsid w:val="008E7171"/>
    <w:rsid w:val="008E788C"/>
    <w:rsid w:val="008F0591"/>
    <w:rsid w:val="008F0A94"/>
    <w:rsid w:val="008F143C"/>
    <w:rsid w:val="008F1592"/>
    <w:rsid w:val="008F241E"/>
    <w:rsid w:val="008F285F"/>
    <w:rsid w:val="008F3221"/>
    <w:rsid w:val="008F36EA"/>
    <w:rsid w:val="008F4E25"/>
    <w:rsid w:val="008F5DA0"/>
    <w:rsid w:val="008F6684"/>
    <w:rsid w:val="008F6716"/>
    <w:rsid w:val="008F6B5A"/>
    <w:rsid w:val="008F772F"/>
    <w:rsid w:val="00901EE4"/>
    <w:rsid w:val="009021EC"/>
    <w:rsid w:val="009061F9"/>
    <w:rsid w:val="009061FF"/>
    <w:rsid w:val="00906321"/>
    <w:rsid w:val="009072FE"/>
    <w:rsid w:val="0091010A"/>
    <w:rsid w:val="00910902"/>
    <w:rsid w:val="00910AE1"/>
    <w:rsid w:val="00910F1B"/>
    <w:rsid w:val="00912135"/>
    <w:rsid w:val="00913526"/>
    <w:rsid w:val="00913759"/>
    <w:rsid w:val="00915565"/>
    <w:rsid w:val="00915614"/>
    <w:rsid w:val="0091561C"/>
    <w:rsid w:val="00916830"/>
    <w:rsid w:val="00917CD4"/>
    <w:rsid w:val="0092022F"/>
    <w:rsid w:val="00920CF3"/>
    <w:rsid w:val="00921B8C"/>
    <w:rsid w:val="00921F59"/>
    <w:rsid w:val="009222B1"/>
    <w:rsid w:val="009236F6"/>
    <w:rsid w:val="0092549F"/>
    <w:rsid w:val="009266A9"/>
    <w:rsid w:val="00926D02"/>
    <w:rsid w:val="00926E22"/>
    <w:rsid w:val="00926F0B"/>
    <w:rsid w:val="00927193"/>
    <w:rsid w:val="00927A92"/>
    <w:rsid w:val="00927F88"/>
    <w:rsid w:val="00930532"/>
    <w:rsid w:val="00930F4B"/>
    <w:rsid w:val="0093159E"/>
    <w:rsid w:val="009318DD"/>
    <w:rsid w:val="00932080"/>
    <w:rsid w:val="0093232E"/>
    <w:rsid w:val="0093292C"/>
    <w:rsid w:val="00932ADD"/>
    <w:rsid w:val="00933403"/>
    <w:rsid w:val="0093731B"/>
    <w:rsid w:val="009376B7"/>
    <w:rsid w:val="00940633"/>
    <w:rsid w:val="00942C11"/>
    <w:rsid w:val="009500B9"/>
    <w:rsid w:val="00950A52"/>
    <w:rsid w:val="00952910"/>
    <w:rsid w:val="0095295A"/>
    <w:rsid w:val="00952CD5"/>
    <w:rsid w:val="009537F8"/>
    <w:rsid w:val="009558DE"/>
    <w:rsid w:val="00956986"/>
    <w:rsid w:val="00956BB2"/>
    <w:rsid w:val="00957441"/>
    <w:rsid w:val="0096111F"/>
    <w:rsid w:val="00961A72"/>
    <w:rsid w:val="00961FAF"/>
    <w:rsid w:val="0096215E"/>
    <w:rsid w:val="00962A6D"/>
    <w:rsid w:val="00962B9D"/>
    <w:rsid w:val="00962CDE"/>
    <w:rsid w:val="0096319B"/>
    <w:rsid w:val="00963698"/>
    <w:rsid w:val="009647A2"/>
    <w:rsid w:val="00964B3E"/>
    <w:rsid w:val="0096760E"/>
    <w:rsid w:val="009715C0"/>
    <w:rsid w:val="009732B9"/>
    <w:rsid w:val="009736AF"/>
    <w:rsid w:val="00973BB3"/>
    <w:rsid w:val="00975FF2"/>
    <w:rsid w:val="009762AD"/>
    <w:rsid w:val="0097635D"/>
    <w:rsid w:val="00977865"/>
    <w:rsid w:val="00977B9A"/>
    <w:rsid w:val="0098160A"/>
    <w:rsid w:val="00981CBF"/>
    <w:rsid w:val="00981D69"/>
    <w:rsid w:val="00983E80"/>
    <w:rsid w:val="00986550"/>
    <w:rsid w:val="009905F9"/>
    <w:rsid w:val="0099110A"/>
    <w:rsid w:val="00993113"/>
    <w:rsid w:val="00994662"/>
    <w:rsid w:val="00994928"/>
    <w:rsid w:val="009953FA"/>
    <w:rsid w:val="009954C4"/>
    <w:rsid w:val="00995768"/>
    <w:rsid w:val="009957D9"/>
    <w:rsid w:val="00995A7B"/>
    <w:rsid w:val="009A0409"/>
    <w:rsid w:val="009A1B0E"/>
    <w:rsid w:val="009A4B63"/>
    <w:rsid w:val="009A687E"/>
    <w:rsid w:val="009B13DC"/>
    <w:rsid w:val="009B1CEB"/>
    <w:rsid w:val="009B1DF7"/>
    <w:rsid w:val="009B2678"/>
    <w:rsid w:val="009B4F69"/>
    <w:rsid w:val="009B7044"/>
    <w:rsid w:val="009B76E3"/>
    <w:rsid w:val="009C0266"/>
    <w:rsid w:val="009C03A0"/>
    <w:rsid w:val="009C1064"/>
    <w:rsid w:val="009C1E70"/>
    <w:rsid w:val="009C3615"/>
    <w:rsid w:val="009C3712"/>
    <w:rsid w:val="009C3B7F"/>
    <w:rsid w:val="009C5106"/>
    <w:rsid w:val="009C5680"/>
    <w:rsid w:val="009C5762"/>
    <w:rsid w:val="009C630B"/>
    <w:rsid w:val="009C6742"/>
    <w:rsid w:val="009C6EA5"/>
    <w:rsid w:val="009D0BB4"/>
    <w:rsid w:val="009D0E7C"/>
    <w:rsid w:val="009D13B1"/>
    <w:rsid w:val="009D177F"/>
    <w:rsid w:val="009D3025"/>
    <w:rsid w:val="009D31B2"/>
    <w:rsid w:val="009D401E"/>
    <w:rsid w:val="009D54C7"/>
    <w:rsid w:val="009D6656"/>
    <w:rsid w:val="009D6CEE"/>
    <w:rsid w:val="009E0643"/>
    <w:rsid w:val="009E11A0"/>
    <w:rsid w:val="009E2352"/>
    <w:rsid w:val="009E2F92"/>
    <w:rsid w:val="009E3523"/>
    <w:rsid w:val="009E3C4A"/>
    <w:rsid w:val="009E4709"/>
    <w:rsid w:val="009E4983"/>
    <w:rsid w:val="009E5457"/>
    <w:rsid w:val="009E5AE9"/>
    <w:rsid w:val="009E75AA"/>
    <w:rsid w:val="009F047B"/>
    <w:rsid w:val="009F1727"/>
    <w:rsid w:val="009F2006"/>
    <w:rsid w:val="009F23E8"/>
    <w:rsid w:val="009F3F68"/>
    <w:rsid w:val="009F7CB2"/>
    <w:rsid w:val="009F7F4F"/>
    <w:rsid w:val="00A00651"/>
    <w:rsid w:val="00A02661"/>
    <w:rsid w:val="00A027D6"/>
    <w:rsid w:val="00A037B0"/>
    <w:rsid w:val="00A044C4"/>
    <w:rsid w:val="00A04808"/>
    <w:rsid w:val="00A04A0A"/>
    <w:rsid w:val="00A06D08"/>
    <w:rsid w:val="00A072C9"/>
    <w:rsid w:val="00A078EC"/>
    <w:rsid w:val="00A07BB1"/>
    <w:rsid w:val="00A07E81"/>
    <w:rsid w:val="00A10B28"/>
    <w:rsid w:val="00A12ABE"/>
    <w:rsid w:val="00A13A2C"/>
    <w:rsid w:val="00A14F72"/>
    <w:rsid w:val="00A1576C"/>
    <w:rsid w:val="00A159FD"/>
    <w:rsid w:val="00A15C85"/>
    <w:rsid w:val="00A1630A"/>
    <w:rsid w:val="00A16DBA"/>
    <w:rsid w:val="00A17757"/>
    <w:rsid w:val="00A2082B"/>
    <w:rsid w:val="00A208CF"/>
    <w:rsid w:val="00A20AB0"/>
    <w:rsid w:val="00A20CB5"/>
    <w:rsid w:val="00A226F4"/>
    <w:rsid w:val="00A23058"/>
    <w:rsid w:val="00A24BE9"/>
    <w:rsid w:val="00A274C2"/>
    <w:rsid w:val="00A3033A"/>
    <w:rsid w:val="00A30979"/>
    <w:rsid w:val="00A31225"/>
    <w:rsid w:val="00A31E57"/>
    <w:rsid w:val="00A32727"/>
    <w:rsid w:val="00A32748"/>
    <w:rsid w:val="00A343E8"/>
    <w:rsid w:val="00A36A96"/>
    <w:rsid w:val="00A36F0A"/>
    <w:rsid w:val="00A376D1"/>
    <w:rsid w:val="00A40222"/>
    <w:rsid w:val="00A4192E"/>
    <w:rsid w:val="00A42164"/>
    <w:rsid w:val="00A42823"/>
    <w:rsid w:val="00A4347A"/>
    <w:rsid w:val="00A43EC9"/>
    <w:rsid w:val="00A453F3"/>
    <w:rsid w:val="00A45FFE"/>
    <w:rsid w:val="00A46A7A"/>
    <w:rsid w:val="00A47D21"/>
    <w:rsid w:val="00A50C36"/>
    <w:rsid w:val="00A53777"/>
    <w:rsid w:val="00A53F52"/>
    <w:rsid w:val="00A55CB9"/>
    <w:rsid w:val="00A602FD"/>
    <w:rsid w:val="00A60C1E"/>
    <w:rsid w:val="00A60CEF"/>
    <w:rsid w:val="00A60FB3"/>
    <w:rsid w:val="00A624AE"/>
    <w:rsid w:val="00A62A9A"/>
    <w:rsid w:val="00A65364"/>
    <w:rsid w:val="00A656A2"/>
    <w:rsid w:val="00A6638A"/>
    <w:rsid w:val="00A6725C"/>
    <w:rsid w:val="00A708A8"/>
    <w:rsid w:val="00A718A7"/>
    <w:rsid w:val="00A7270F"/>
    <w:rsid w:val="00A736F7"/>
    <w:rsid w:val="00A739B6"/>
    <w:rsid w:val="00A73A19"/>
    <w:rsid w:val="00A74F24"/>
    <w:rsid w:val="00A756A1"/>
    <w:rsid w:val="00A77086"/>
    <w:rsid w:val="00A81289"/>
    <w:rsid w:val="00A8129B"/>
    <w:rsid w:val="00A817B9"/>
    <w:rsid w:val="00A83D81"/>
    <w:rsid w:val="00A8547D"/>
    <w:rsid w:val="00A86CC1"/>
    <w:rsid w:val="00A87F55"/>
    <w:rsid w:val="00A92891"/>
    <w:rsid w:val="00A92BE9"/>
    <w:rsid w:val="00A93FA1"/>
    <w:rsid w:val="00A95337"/>
    <w:rsid w:val="00A95519"/>
    <w:rsid w:val="00A96224"/>
    <w:rsid w:val="00A968AD"/>
    <w:rsid w:val="00A96DA6"/>
    <w:rsid w:val="00A978BA"/>
    <w:rsid w:val="00AA0740"/>
    <w:rsid w:val="00AA16B3"/>
    <w:rsid w:val="00AA2039"/>
    <w:rsid w:val="00AA2C56"/>
    <w:rsid w:val="00AA3240"/>
    <w:rsid w:val="00AA44C1"/>
    <w:rsid w:val="00AA5D9B"/>
    <w:rsid w:val="00AA5FF0"/>
    <w:rsid w:val="00AA6ACB"/>
    <w:rsid w:val="00AB0E40"/>
    <w:rsid w:val="00AB3859"/>
    <w:rsid w:val="00AB3955"/>
    <w:rsid w:val="00AB4812"/>
    <w:rsid w:val="00AB4E48"/>
    <w:rsid w:val="00AB55E3"/>
    <w:rsid w:val="00AB5F68"/>
    <w:rsid w:val="00AB64BD"/>
    <w:rsid w:val="00AB7F94"/>
    <w:rsid w:val="00AC0DBC"/>
    <w:rsid w:val="00AC0E6F"/>
    <w:rsid w:val="00AC12C5"/>
    <w:rsid w:val="00AC151E"/>
    <w:rsid w:val="00AC2854"/>
    <w:rsid w:val="00AC304A"/>
    <w:rsid w:val="00AC43FF"/>
    <w:rsid w:val="00AC53B6"/>
    <w:rsid w:val="00AC59B9"/>
    <w:rsid w:val="00AC6B79"/>
    <w:rsid w:val="00AD0741"/>
    <w:rsid w:val="00AD1341"/>
    <w:rsid w:val="00AD1B95"/>
    <w:rsid w:val="00AD2031"/>
    <w:rsid w:val="00AD25B7"/>
    <w:rsid w:val="00AD3146"/>
    <w:rsid w:val="00AD5CF1"/>
    <w:rsid w:val="00AD639F"/>
    <w:rsid w:val="00AD7877"/>
    <w:rsid w:val="00AE011A"/>
    <w:rsid w:val="00AE0F80"/>
    <w:rsid w:val="00AE17AC"/>
    <w:rsid w:val="00AE4310"/>
    <w:rsid w:val="00AE5662"/>
    <w:rsid w:val="00AE58C8"/>
    <w:rsid w:val="00AE5A4F"/>
    <w:rsid w:val="00AE61B1"/>
    <w:rsid w:val="00AE6684"/>
    <w:rsid w:val="00AE7D18"/>
    <w:rsid w:val="00AF0471"/>
    <w:rsid w:val="00AF0875"/>
    <w:rsid w:val="00AF1316"/>
    <w:rsid w:val="00AF1F69"/>
    <w:rsid w:val="00AF1FB6"/>
    <w:rsid w:val="00AF2995"/>
    <w:rsid w:val="00AF3C71"/>
    <w:rsid w:val="00AF3CA2"/>
    <w:rsid w:val="00AF4B85"/>
    <w:rsid w:val="00AF50F1"/>
    <w:rsid w:val="00AF66CA"/>
    <w:rsid w:val="00AF76F0"/>
    <w:rsid w:val="00B0174C"/>
    <w:rsid w:val="00B017B5"/>
    <w:rsid w:val="00B02762"/>
    <w:rsid w:val="00B049ED"/>
    <w:rsid w:val="00B04D1B"/>
    <w:rsid w:val="00B05051"/>
    <w:rsid w:val="00B05832"/>
    <w:rsid w:val="00B06477"/>
    <w:rsid w:val="00B06E0D"/>
    <w:rsid w:val="00B119EF"/>
    <w:rsid w:val="00B122E7"/>
    <w:rsid w:val="00B12385"/>
    <w:rsid w:val="00B14140"/>
    <w:rsid w:val="00B15876"/>
    <w:rsid w:val="00B15B94"/>
    <w:rsid w:val="00B17357"/>
    <w:rsid w:val="00B2091C"/>
    <w:rsid w:val="00B2324D"/>
    <w:rsid w:val="00B232AE"/>
    <w:rsid w:val="00B24A5C"/>
    <w:rsid w:val="00B250E7"/>
    <w:rsid w:val="00B256AC"/>
    <w:rsid w:val="00B25AB0"/>
    <w:rsid w:val="00B26184"/>
    <w:rsid w:val="00B26732"/>
    <w:rsid w:val="00B26B1A"/>
    <w:rsid w:val="00B30AAB"/>
    <w:rsid w:val="00B31CF1"/>
    <w:rsid w:val="00B32DF9"/>
    <w:rsid w:val="00B33342"/>
    <w:rsid w:val="00B33380"/>
    <w:rsid w:val="00B333B8"/>
    <w:rsid w:val="00B337C4"/>
    <w:rsid w:val="00B34128"/>
    <w:rsid w:val="00B34E5A"/>
    <w:rsid w:val="00B35A81"/>
    <w:rsid w:val="00B35F3E"/>
    <w:rsid w:val="00B36BC8"/>
    <w:rsid w:val="00B370CF"/>
    <w:rsid w:val="00B37490"/>
    <w:rsid w:val="00B40109"/>
    <w:rsid w:val="00B409DD"/>
    <w:rsid w:val="00B410E5"/>
    <w:rsid w:val="00B42437"/>
    <w:rsid w:val="00B42DFE"/>
    <w:rsid w:val="00B431A9"/>
    <w:rsid w:val="00B43600"/>
    <w:rsid w:val="00B44C8E"/>
    <w:rsid w:val="00B45E54"/>
    <w:rsid w:val="00B47890"/>
    <w:rsid w:val="00B479C7"/>
    <w:rsid w:val="00B50438"/>
    <w:rsid w:val="00B50441"/>
    <w:rsid w:val="00B517B5"/>
    <w:rsid w:val="00B51EB1"/>
    <w:rsid w:val="00B5419A"/>
    <w:rsid w:val="00B54E41"/>
    <w:rsid w:val="00B54FD4"/>
    <w:rsid w:val="00B55109"/>
    <w:rsid w:val="00B60401"/>
    <w:rsid w:val="00B613DF"/>
    <w:rsid w:val="00B614B6"/>
    <w:rsid w:val="00B63062"/>
    <w:rsid w:val="00B63136"/>
    <w:rsid w:val="00B6398E"/>
    <w:rsid w:val="00B64395"/>
    <w:rsid w:val="00B6544F"/>
    <w:rsid w:val="00B67924"/>
    <w:rsid w:val="00B67AD9"/>
    <w:rsid w:val="00B713D4"/>
    <w:rsid w:val="00B731CE"/>
    <w:rsid w:val="00B734FE"/>
    <w:rsid w:val="00B75022"/>
    <w:rsid w:val="00B76126"/>
    <w:rsid w:val="00B76679"/>
    <w:rsid w:val="00B768B0"/>
    <w:rsid w:val="00B7720E"/>
    <w:rsid w:val="00B8128C"/>
    <w:rsid w:val="00B81CF0"/>
    <w:rsid w:val="00B8220A"/>
    <w:rsid w:val="00B8290D"/>
    <w:rsid w:val="00B83036"/>
    <w:rsid w:val="00B8369B"/>
    <w:rsid w:val="00B8442B"/>
    <w:rsid w:val="00B8459E"/>
    <w:rsid w:val="00B852FF"/>
    <w:rsid w:val="00B85B2C"/>
    <w:rsid w:val="00B8675C"/>
    <w:rsid w:val="00B86BC0"/>
    <w:rsid w:val="00B86D5E"/>
    <w:rsid w:val="00B87348"/>
    <w:rsid w:val="00B908A9"/>
    <w:rsid w:val="00B92275"/>
    <w:rsid w:val="00B92875"/>
    <w:rsid w:val="00B942E0"/>
    <w:rsid w:val="00B94444"/>
    <w:rsid w:val="00B95B46"/>
    <w:rsid w:val="00B96090"/>
    <w:rsid w:val="00B9612E"/>
    <w:rsid w:val="00B97383"/>
    <w:rsid w:val="00B97A25"/>
    <w:rsid w:val="00BA1181"/>
    <w:rsid w:val="00BA18F7"/>
    <w:rsid w:val="00BA2064"/>
    <w:rsid w:val="00BA47BC"/>
    <w:rsid w:val="00BA4C20"/>
    <w:rsid w:val="00BA501F"/>
    <w:rsid w:val="00BB173E"/>
    <w:rsid w:val="00BB241A"/>
    <w:rsid w:val="00BB37F3"/>
    <w:rsid w:val="00BB4468"/>
    <w:rsid w:val="00BB471B"/>
    <w:rsid w:val="00BB5DD5"/>
    <w:rsid w:val="00BB72EB"/>
    <w:rsid w:val="00BB777C"/>
    <w:rsid w:val="00BC09C0"/>
    <w:rsid w:val="00BC19E3"/>
    <w:rsid w:val="00BC32F6"/>
    <w:rsid w:val="00BC32FE"/>
    <w:rsid w:val="00BC4CA5"/>
    <w:rsid w:val="00BD0A0B"/>
    <w:rsid w:val="00BD107A"/>
    <w:rsid w:val="00BD1449"/>
    <w:rsid w:val="00BD6A25"/>
    <w:rsid w:val="00BD6E67"/>
    <w:rsid w:val="00BE05C3"/>
    <w:rsid w:val="00BE2747"/>
    <w:rsid w:val="00BE4418"/>
    <w:rsid w:val="00BE47C0"/>
    <w:rsid w:val="00BE746D"/>
    <w:rsid w:val="00BE767B"/>
    <w:rsid w:val="00BF13CA"/>
    <w:rsid w:val="00BF2A53"/>
    <w:rsid w:val="00BF2EE1"/>
    <w:rsid w:val="00BF3134"/>
    <w:rsid w:val="00BF3C27"/>
    <w:rsid w:val="00BF3EC3"/>
    <w:rsid w:val="00BF48C0"/>
    <w:rsid w:val="00BF4E4B"/>
    <w:rsid w:val="00BF513B"/>
    <w:rsid w:val="00BF6060"/>
    <w:rsid w:val="00BF6B06"/>
    <w:rsid w:val="00BF6FDE"/>
    <w:rsid w:val="00BF7852"/>
    <w:rsid w:val="00C004FE"/>
    <w:rsid w:val="00C005C5"/>
    <w:rsid w:val="00C00674"/>
    <w:rsid w:val="00C014E8"/>
    <w:rsid w:val="00C024A8"/>
    <w:rsid w:val="00C035DB"/>
    <w:rsid w:val="00C03B2A"/>
    <w:rsid w:val="00C04376"/>
    <w:rsid w:val="00C05939"/>
    <w:rsid w:val="00C06B11"/>
    <w:rsid w:val="00C07478"/>
    <w:rsid w:val="00C10A0E"/>
    <w:rsid w:val="00C11478"/>
    <w:rsid w:val="00C116E3"/>
    <w:rsid w:val="00C11904"/>
    <w:rsid w:val="00C1253F"/>
    <w:rsid w:val="00C1285A"/>
    <w:rsid w:val="00C136C4"/>
    <w:rsid w:val="00C142C9"/>
    <w:rsid w:val="00C14471"/>
    <w:rsid w:val="00C155F6"/>
    <w:rsid w:val="00C16D2A"/>
    <w:rsid w:val="00C170BB"/>
    <w:rsid w:val="00C178C7"/>
    <w:rsid w:val="00C179F1"/>
    <w:rsid w:val="00C17A84"/>
    <w:rsid w:val="00C17CB5"/>
    <w:rsid w:val="00C20408"/>
    <w:rsid w:val="00C21680"/>
    <w:rsid w:val="00C21B38"/>
    <w:rsid w:val="00C239CC"/>
    <w:rsid w:val="00C24121"/>
    <w:rsid w:val="00C24BD4"/>
    <w:rsid w:val="00C24D51"/>
    <w:rsid w:val="00C252C6"/>
    <w:rsid w:val="00C2536A"/>
    <w:rsid w:val="00C27A41"/>
    <w:rsid w:val="00C27FCC"/>
    <w:rsid w:val="00C310B2"/>
    <w:rsid w:val="00C313F6"/>
    <w:rsid w:val="00C32711"/>
    <w:rsid w:val="00C327EF"/>
    <w:rsid w:val="00C3311D"/>
    <w:rsid w:val="00C33E19"/>
    <w:rsid w:val="00C37123"/>
    <w:rsid w:val="00C374F6"/>
    <w:rsid w:val="00C41794"/>
    <w:rsid w:val="00C41DD8"/>
    <w:rsid w:val="00C4216B"/>
    <w:rsid w:val="00C428A3"/>
    <w:rsid w:val="00C43476"/>
    <w:rsid w:val="00C4367B"/>
    <w:rsid w:val="00C43B3F"/>
    <w:rsid w:val="00C443FB"/>
    <w:rsid w:val="00C45B47"/>
    <w:rsid w:val="00C4743A"/>
    <w:rsid w:val="00C47961"/>
    <w:rsid w:val="00C50649"/>
    <w:rsid w:val="00C50C00"/>
    <w:rsid w:val="00C5174A"/>
    <w:rsid w:val="00C549FF"/>
    <w:rsid w:val="00C54F62"/>
    <w:rsid w:val="00C55642"/>
    <w:rsid w:val="00C55AA6"/>
    <w:rsid w:val="00C602CA"/>
    <w:rsid w:val="00C61B6F"/>
    <w:rsid w:val="00C61CB0"/>
    <w:rsid w:val="00C61FF2"/>
    <w:rsid w:val="00C6241D"/>
    <w:rsid w:val="00C62E9E"/>
    <w:rsid w:val="00C62FE7"/>
    <w:rsid w:val="00C6383C"/>
    <w:rsid w:val="00C638E2"/>
    <w:rsid w:val="00C65596"/>
    <w:rsid w:val="00C659D0"/>
    <w:rsid w:val="00C65FD6"/>
    <w:rsid w:val="00C671C9"/>
    <w:rsid w:val="00C729BC"/>
    <w:rsid w:val="00C72AC4"/>
    <w:rsid w:val="00C759FC"/>
    <w:rsid w:val="00C76809"/>
    <w:rsid w:val="00C77701"/>
    <w:rsid w:val="00C77912"/>
    <w:rsid w:val="00C802AB"/>
    <w:rsid w:val="00C809CE"/>
    <w:rsid w:val="00C80B68"/>
    <w:rsid w:val="00C8173C"/>
    <w:rsid w:val="00C81A14"/>
    <w:rsid w:val="00C840B0"/>
    <w:rsid w:val="00C855F0"/>
    <w:rsid w:val="00C859AC"/>
    <w:rsid w:val="00C86465"/>
    <w:rsid w:val="00C87D83"/>
    <w:rsid w:val="00C9117A"/>
    <w:rsid w:val="00C914FC"/>
    <w:rsid w:val="00C926AB"/>
    <w:rsid w:val="00C94F97"/>
    <w:rsid w:val="00C954B5"/>
    <w:rsid w:val="00C95E89"/>
    <w:rsid w:val="00C96627"/>
    <w:rsid w:val="00C97B9F"/>
    <w:rsid w:val="00CA08EF"/>
    <w:rsid w:val="00CA1711"/>
    <w:rsid w:val="00CA1FAD"/>
    <w:rsid w:val="00CA2097"/>
    <w:rsid w:val="00CA358D"/>
    <w:rsid w:val="00CA3FC7"/>
    <w:rsid w:val="00CA4F9E"/>
    <w:rsid w:val="00CA5DD9"/>
    <w:rsid w:val="00CB1A55"/>
    <w:rsid w:val="00CB2131"/>
    <w:rsid w:val="00CB22C9"/>
    <w:rsid w:val="00CB2464"/>
    <w:rsid w:val="00CB449B"/>
    <w:rsid w:val="00CB5651"/>
    <w:rsid w:val="00CB6CDE"/>
    <w:rsid w:val="00CB6E61"/>
    <w:rsid w:val="00CB7D89"/>
    <w:rsid w:val="00CC0812"/>
    <w:rsid w:val="00CC1D32"/>
    <w:rsid w:val="00CC288A"/>
    <w:rsid w:val="00CC2E3C"/>
    <w:rsid w:val="00CC51FC"/>
    <w:rsid w:val="00CC57EC"/>
    <w:rsid w:val="00CD12F9"/>
    <w:rsid w:val="00CD130D"/>
    <w:rsid w:val="00CD13E8"/>
    <w:rsid w:val="00CD1E26"/>
    <w:rsid w:val="00CD3813"/>
    <w:rsid w:val="00CD57FD"/>
    <w:rsid w:val="00CD6D31"/>
    <w:rsid w:val="00CD7C9F"/>
    <w:rsid w:val="00CE0993"/>
    <w:rsid w:val="00CE2322"/>
    <w:rsid w:val="00CE4CDD"/>
    <w:rsid w:val="00CE5557"/>
    <w:rsid w:val="00CE62F8"/>
    <w:rsid w:val="00CE6A88"/>
    <w:rsid w:val="00CF1A82"/>
    <w:rsid w:val="00CF3BBF"/>
    <w:rsid w:val="00CF416B"/>
    <w:rsid w:val="00CF487C"/>
    <w:rsid w:val="00CF4AEB"/>
    <w:rsid w:val="00CF5660"/>
    <w:rsid w:val="00CF6EF4"/>
    <w:rsid w:val="00D004A4"/>
    <w:rsid w:val="00D015F7"/>
    <w:rsid w:val="00D03A8D"/>
    <w:rsid w:val="00D03DD2"/>
    <w:rsid w:val="00D06391"/>
    <w:rsid w:val="00D06F2F"/>
    <w:rsid w:val="00D07989"/>
    <w:rsid w:val="00D07E71"/>
    <w:rsid w:val="00D10599"/>
    <w:rsid w:val="00D10F31"/>
    <w:rsid w:val="00D12938"/>
    <w:rsid w:val="00D144E1"/>
    <w:rsid w:val="00D14C7D"/>
    <w:rsid w:val="00D15498"/>
    <w:rsid w:val="00D15601"/>
    <w:rsid w:val="00D16D46"/>
    <w:rsid w:val="00D17C9D"/>
    <w:rsid w:val="00D227B0"/>
    <w:rsid w:val="00D236D0"/>
    <w:rsid w:val="00D23A16"/>
    <w:rsid w:val="00D23BEA"/>
    <w:rsid w:val="00D23FC7"/>
    <w:rsid w:val="00D2400B"/>
    <w:rsid w:val="00D2485B"/>
    <w:rsid w:val="00D263C4"/>
    <w:rsid w:val="00D267F5"/>
    <w:rsid w:val="00D33CAF"/>
    <w:rsid w:val="00D33EE9"/>
    <w:rsid w:val="00D35A61"/>
    <w:rsid w:val="00D3604D"/>
    <w:rsid w:val="00D361B1"/>
    <w:rsid w:val="00D363D4"/>
    <w:rsid w:val="00D36F1F"/>
    <w:rsid w:val="00D3754B"/>
    <w:rsid w:val="00D37F4E"/>
    <w:rsid w:val="00D42136"/>
    <w:rsid w:val="00D42C41"/>
    <w:rsid w:val="00D42D68"/>
    <w:rsid w:val="00D4333C"/>
    <w:rsid w:val="00D44D7B"/>
    <w:rsid w:val="00D45B8D"/>
    <w:rsid w:val="00D46178"/>
    <w:rsid w:val="00D46BAD"/>
    <w:rsid w:val="00D502FB"/>
    <w:rsid w:val="00D5169C"/>
    <w:rsid w:val="00D51A96"/>
    <w:rsid w:val="00D5250D"/>
    <w:rsid w:val="00D540F2"/>
    <w:rsid w:val="00D55D90"/>
    <w:rsid w:val="00D6027B"/>
    <w:rsid w:val="00D602C7"/>
    <w:rsid w:val="00D643A8"/>
    <w:rsid w:val="00D644CE"/>
    <w:rsid w:val="00D650DB"/>
    <w:rsid w:val="00D652BA"/>
    <w:rsid w:val="00D65CF8"/>
    <w:rsid w:val="00D66CE3"/>
    <w:rsid w:val="00D67BCE"/>
    <w:rsid w:val="00D67FB4"/>
    <w:rsid w:val="00D70280"/>
    <w:rsid w:val="00D7045B"/>
    <w:rsid w:val="00D70F7D"/>
    <w:rsid w:val="00D71434"/>
    <w:rsid w:val="00D7314A"/>
    <w:rsid w:val="00D7386E"/>
    <w:rsid w:val="00D73B9B"/>
    <w:rsid w:val="00D740C2"/>
    <w:rsid w:val="00D74E02"/>
    <w:rsid w:val="00D75279"/>
    <w:rsid w:val="00D755DF"/>
    <w:rsid w:val="00D77C47"/>
    <w:rsid w:val="00D80943"/>
    <w:rsid w:val="00D81369"/>
    <w:rsid w:val="00D81595"/>
    <w:rsid w:val="00D8348E"/>
    <w:rsid w:val="00D83D1C"/>
    <w:rsid w:val="00D859CE"/>
    <w:rsid w:val="00D87B57"/>
    <w:rsid w:val="00D87C58"/>
    <w:rsid w:val="00D87F69"/>
    <w:rsid w:val="00D90E9F"/>
    <w:rsid w:val="00D91848"/>
    <w:rsid w:val="00D92222"/>
    <w:rsid w:val="00D92F4F"/>
    <w:rsid w:val="00D93668"/>
    <w:rsid w:val="00D937CF"/>
    <w:rsid w:val="00D96A55"/>
    <w:rsid w:val="00D973A9"/>
    <w:rsid w:val="00DA0273"/>
    <w:rsid w:val="00DA1482"/>
    <w:rsid w:val="00DA1696"/>
    <w:rsid w:val="00DA314E"/>
    <w:rsid w:val="00DA4F1F"/>
    <w:rsid w:val="00DA582C"/>
    <w:rsid w:val="00DA62AA"/>
    <w:rsid w:val="00DB1C16"/>
    <w:rsid w:val="00DB2B3C"/>
    <w:rsid w:val="00DB35BA"/>
    <w:rsid w:val="00DB459B"/>
    <w:rsid w:val="00DB4F23"/>
    <w:rsid w:val="00DB52A6"/>
    <w:rsid w:val="00DB6282"/>
    <w:rsid w:val="00DB7055"/>
    <w:rsid w:val="00DB7E60"/>
    <w:rsid w:val="00DC0C24"/>
    <w:rsid w:val="00DC14F5"/>
    <w:rsid w:val="00DC1B2D"/>
    <w:rsid w:val="00DC1FE5"/>
    <w:rsid w:val="00DC20D8"/>
    <w:rsid w:val="00DC3419"/>
    <w:rsid w:val="00DC4856"/>
    <w:rsid w:val="00DC5475"/>
    <w:rsid w:val="00DC5800"/>
    <w:rsid w:val="00DC7B13"/>
    <w:rsid w:val="00DD0798"/>
    <w:rsid w:val="00DD0D10"/>
    <w:rsid w:val="00DD12FE"/>
    <w:rsid w:val="00DD4381"/>
    <w:rsid w:val="00DD4D9D"/>
    <w:rsid w:val="00DD5EA6"/>
    <w:rsid w:val="00DD5FD4"/>
    <w:rsid w:val="00DE01A1"/>
    <w:rsid w:val="00DE036C"/>
    <w:rsid w:val="00DE06A9"/>
    <w:rsid w:val="00DE0CDF"/>
    <w:rsid w:val="00DE1ED4"/>
    <w:rsid w:val="00DE1F57"/>
    <w:rsid w:val="00DE20A2"/>
    <w:rsid w:val="00DE2D50"/>
    <w:rsid w:val="00DE3E79"/>
    <w:rsid w:val="00DE4F93"/>
    <w:rsid w:val="00DE5092"/>
    <w:rsid w:val="00DE723F"/>
    <w:rsid w:val="00DE7737"/>
    <w:rsid w:val="00DE77E6"/>
    <w:rsid w:val="00DF00CB"/>
    <w:rsid w:val="00DF00EA"/>
    <w:rsid w:val="00DF0E52"/>
    <w:rsid w:val="00DF0F23"/>
    <w:rsid w:val="00DF2248"/>
    <w:rsid w:val="00DF297E"/>
    <w:rsid w:val="00DF33F4"/>
    <w:rsid w:val="00DF34FF"/>
    <w:rsid w:val="00DF444E"/>
    <w:rsid w:val="00DF4784"/>
    <w:rsid w:val="00DF4A9D"/>
    <w:rsid w:val="00DF54F5"/>
    <w:rsid w:val="00DF689F"/>
    <w:rsid w:val="00DF7395"/>
    <w:rsid w:val="00DF7652"/>
    <w:rsid w:val="00E00892"/>
    <w:rsid w:val="00E014D9"/>
    <w:rsid w:val="00E02167"/>
    <w:rsid w:val="00E036A9"/>
    <w:rsid w:val="00E0470F"/>
    <w:rsid w:val="00E04A0D"/>
    <w:rsid w:val="00E04DF9"/>
    <w:rsid w:val="00E07087"/>
    <w:rsid w:val="00E10F3A"/>
    <w:rsid w:val="00E11607"/>
    <w:rsid w:val="00E11835"/>
    <w:rsid w:val="00E12F74"/>
    <w:rsid w:val="00E13728"/>
    <w:rsid w:val="00E13A07"/>
    <w:rsid w:val="00E13A0F"/>
    <w:rsid w:val="00E13F6D"/>
    <w:rsid w:val="00E16367"/>
    <w:rsid w:val="00E167EA"/>
    <w:rsid w:val="00E17C87"/>
    <w:rsid w:val="00E21431"/>
    <w:rsid w:val="00E21544"/>
    <w:rsid w:val="00E2158B"/>
    <w:rsid w:val="00E2205B"/>
    <w:rsid w:val="00E23883"/>
    <w:rsid w:val="00E2440D"/>
    <w:rsid w:val="00E25DF0"/>
    <w:rsid w:val="00E26603"/>
    <w:rsid w:val="00E26778"/>
    <w:rsid w:val="00E269A1"/>
    <w:rsid w:val="00E26F32"/>
    <w:rsid w:val="00E27017"/>
    <w:rsid w:val="00E272C3"/>
    <w:rsid w:val="00E306A7"/>
    <w:rsid w:val="00E3182D"/>
    <w:rsid w:val="00E3189D"/>
    <w:rsid w:val="00E3229A"/>
    <w:rsid w:val="00E336BE"/>
    <w:rsid w:val="00E37398"/>
    <w:rsid w:val="00E37C83"/>
    <w:rsid w:val="00E405A5"/>
    <w:rsid w:val="00E41E1E"/>
    <w:rsid w:val="00E431D3"/>
    <w:rsid w:val="00E44589"/>
    <w:rsid w:val="00E475EE"/>
    <w:rsid w:val="00E5123D"/>
    <w:rsid w:val="00E51879"/>
    <w:rsid w:val="00E51B0A"/>
    <w:rsid w:val="00E528D2"/>
    <w:rsid w:val="00E53533"/>
    <w:rsid w:val="00E53AB6"/>
    <w:rsid w:val="00E53D41"/>
    <w:rsid w:val="00E541CD"/>
    <w:rsid w:val="00E54715"/>
    <w:rsid w:val="00E54CC9"/>
    <w:rsid w:val="00E5650F"/>
    <w:rsid w:val="00E57ADD"/>
    <w:rsid w:val="00E606C4"/>
    <w:rsid w:val="00E61384"/>
    <w:rsid w:val="00E63AD0"/>
    <w:rsid w:val="00E645AB"/>
    <w:rsid w:val="00E65B83"/>
    <w:rsid w:val="00E66B87"/>
    <w:rsid w:val="00E70148"/>
    <w:rsid w:val="00E7132F"/>
    <w:rsid w:val="00E727CD"/>
    <w:rsid w:val="00E734A1"/>
    <w:rsid w:val="00E74444"/>
    <w:rsid w:val="00E74A3B"/>
    <w:rsid w:val="00E75F1B"/>
    <w:rsid w:val="00E76280"/>
    <w:rsid w:val="00E77D24"/>
    <w:rsid w:val="00E800EE"/>
    <w:rsid w:val="00E81C68"/>
    <w:rsid w:val="00E8228E"/>
    <w:rsid w:val="00E8265F"/>
    <w:rsid w:val="00E8267B"/>
    <w:rsid w:val="00E82826"/>
    <w:rsid w:val="00E830CF"/>
    <w:rsid w:val="00E85267"/>
    <w:rsid w:val="00E854BB"/>
    <w:rsid w:val="00E870C7"/>
    <w:rsid w:val="00E8769F"/>
    <w:rsid w:val="00E900B3"/>
    <w:rsid w:val="00E93AAC"/>
    <w:rsid w:val="00E95208"/>
    <w:rsid w:val="00E9582C"/>
    <w:rsid w:val="00EA0EF5"/>
    <w:rsid w:val="00EA1C21"/>
    <w:rsid w:val="00EA1EDB"/>
    <w:rsid w:val="00EA3903"/>
    <w:rsid w:val="00EA5D6D"/>
    <w:rsid w:val="00EA6781"/>
    <w:rsid w:val="00EA699F"/>
    <w:rsid w:val="00EA6D7D"/>
    <w:rsid w:val="00EA7333"/>
    <w:rsid w:val="00EA75A4"/>
    <w:rsid w:val="00EA785F"/>
    <w:rsid w:val="00EB0AC2"/>
    <w:rsid w:val="00EB0D90"/>
    <w:rsid w:val="00EB54F5"/>
    <w:rsid w:val="00EB5E3C"/>
    <w:rsid w:val="00EB635D"/>
    <w:rsid w:val="00EB63D4"/>
    <w:rsid w:val="00EB6E74"/>
    <w:rsid w:val="00EC4CDC"/>
    <w:rsid w:val="00EC4D6D"/>
    <w:rsid w:val="00EC577C"/>
    <w:rsid w:val="00EC667C"/>
    <w:rsid w:val="00EC72BA"/>
    <w:rsid w:val="00EC79BC"/>
    <w:rsid w:val="00ED11EB"/>
    <w:rsid w:val="00ED18B4"/>
    <w:rsid w:val="00ED4D09"/>
    <w:rsid w:val="00ED516C"/>
    <w:rsid w:val="00ED534D"/>
    <w:rsid w:val="00ED5BBD"/>
    <w:rsid w:val="00ED6815"/>
    <w:rsid w:val="00ED7337"/>
    <w:rsid w:val="00EE2F5F"/>
    <w:rsid w:val="00EE415A"/>
    <w:rsid w:val="00EE55C3"/>
    <w:rsid w:val="00EE5887"/>
    <w:rsid w:val="00EE79B0"/>
    <w:rsid w:val="00EF000C"/>
    <w:rsid w:val="00EF1C29"/>
    <w:rsid w:val="00EF2C79"/>
    <w:rsid w:val="00EF37C4"/>
    <w:rsid w:val="00EF3AEF"/>
    <w:rsid w:val="00EF3EFC"/>
    <w:rsid w:val="00EF3F54"/>
    <w:rsid w:val="00F00885"/>
    <w:rsid w:val="00F00B41"/>
    <w:rsid w:val="00F01410"/>
    <w:rsid w:val="00F01ED9"/>
    <w:rsid w:val="00F02421"/>
    <w:rsid w:val="00F03449"/>
    <w:rsid w:val="00F04445"/>
    <w:rsid w:val="00F04D35"/>
    <w:rsid w:val="00F05471"/>
    <w:rsid w:val="00F10DC5"/>
    <w:rsid w:val="00F10EC1"/>
    <w:rsid w:val="00F12631"/>
    <w:rsid w:val="00F13047"/>
    <w:rsid w:val="00F13146"/>
    <w:rsid w:val="00F13F7C"/>
    <w:rsid w:val="00F15120"/>
    <w:rsid w:val="00F1749D"/>
    <w:rsid w:val="00F20A7A"/>
    <w:rsid w:val="00F22B22"/>
    <w:rsid w:val="00F24B56"/>
    <w:rsid w:val="00F24F68"/>
    <w:rsid w:val="00F25A09"/>
    <w:rsid w:val="00F266A4"/>
    <w:rsid w:val="00F30DC7"/>
    <w:rsid w:val="00F30F23"/>
    <w:rsid w:val="00F3165E"/>
    <w:rsid w:val="00F3392D"/>
    <w:rsid w:val="00F34A24"/>
    <w:rsid w:val="00F35F31"/>
    <w:rsid w:val="00F36567"/>
    <w:rsid w:val="00F37657"/>
    <w:rsid w:val="00F40CF6"/>
    <w:rsid w:val="00F41008"/>
    <w:rsid w:val="00F41120"/>
    <w:rsid w:val="00F4166E"/>
    <w:rsid w:val="00F4202A"/>
    <w:rsid w:val="00F4239C"/>
    <w:rsid w:val="00F42E7B"/>
    <w:rsid w:val="00F4416B"/>
    <w:rsid w:val="00F44C4F"/>
    <w:rsid w:val="00F4591B"/>
    <w:rsid w:val="00F464C5"/>
    <w:rsid w:val="00F4676C"/>
    <w:rsid w:val="00F47415"/>
    <w:rsid w:val="00F502E8"/>
    <w:rsid w:val="00F504F0"/>
    <w:rsid w:val="00F51F57"/>
    <w:rsid w:val="00F522FB"/>
    <w:rsid w:val="00F53D9C"/>
    <w:rsid w:val="00F5498E"/>
    <w:rsid w:val="00F55D16"/>
    <w:rsid w:val="00F56742"/>
    <w:rsid w:val="00F57525"/>
    <w:rsid w:val="00F610E5"/>
    <w:rsid w:val="00F614D9"/>
    <w:rsid w:val="00F62317"/>
    <w:rsid w:val="00F66C5A"/>
    <w:rsid w:val="00F67A5F"/>
    <w:rsid w:val="00F70B11"/>
    <w:rsid w:val="00F70C0D"/>
    <w:rsid w:val="00F7149E"/>
    <w:rsid w:val="00F7215B"/>
    <w:rsid w:val="00F730FA"/>
    <w:rsid w:val="00F73DDB"/>
    <w:rsid w:val="00F749D4"/>
    <w:rsid w:val="00F76CE6"/>
    <w:rsid w:val="00F802F8"/>
    <w:rsid w:val="00F80547"/>
    <w:rsid w:val="00F80712"/>
    <w:rsid w:val="00F811F8"/>
    <w:rsid w:val="00F81520"/>
    <w:rsid w:val="00F82BCC"/>
    <w:rsid w:val="00F82C4B"/>
    <w:rsid w:val="00F83571"/>
    <w:rsid w:val="00F841D8"/>
    <w:rsid w:val="00F84541"/>
    <w:rsid w:val="00F85505"/>
    <w:rsid w:val="00F86106"/>
    <w:rsid w:val="00F86631"/>
    <w:rsid w:val="00F87461"/>
    <w:rsid w:val="00F90906"/>
    <w:rsid w:val="00F93945"/>
    <w:rsid w:val="00F939B4"/>
    <w:rsid w:val="00F93DB9"/>
    <w:rsid w:val="00F96B28"/>
    <w:rsid w:val="00F96E8A"/>
    <w:rsid w:val="00F97427"/>
    <w:rsid w:val="00FA09F5"/>
    <w:rsid w:val="00FA230B"/>
    <w:rsid w:val="00FA268D"/>
    <w:rsid w:val="00FA381F"/>
    <w:rsid w:val="00FA393D"/>
    <w:rsid w:val="00FA48AF"/>
    <w:rsid w:val="00FA4C96"/>
    <w:rsid w:val="00FA5A6F"/>
    <w:rsid w:val="00FA5AED"/>
    <w:rsid w:val="00FA5C10"/>
    <w:rsid w:val="00FA6A15"/>
    <w:rsid w:val="00FB063F"/>
    <w:rsid w:val="00FB4FE3"/>
    <w:rsid w:val="00FB5C07"/>
    <w:rsid w:val="00FB6303"/>
    <w:rsid w:val="00FB67F9"/>
    <w:rsid w:val="00FC2E6F"/>
    <w:rsid w:val="00FC327E"/>
    <w:rsid w:val="00FC33D8"/>
    <w:rsid w:val="00FC4780"/>
    <w:rsid w:val="00FC6130"/>
    <w:rsid w:val="00FC7719"/>
    <w:rsid w:val="00FC7958"/>
    <w:rsid w:val="00FD17C4"/>
    <w:rsid w:val="00FD1849"/>
    <w:rsid w:val="00FD1E2D"/>
    <w:rsid w:val="00FD3FF6"/>
    <w:rsid w:val="00FD4745"/>
    <w:rsid w:val="00FD4AD2"/>
    <w:rsid w:val="00FD4E75"/>
    <w:rsid w:val="00FD5707"/>
    <w:rsid w:val="00FD5958"/>
    <w:rsid w:val="00FD5DBC"/>
    <w:rsid w:val="00FD67B9"/>
    <w:rsid w:val="00FD70AB"/>
    <w:rsid w:val="00FE057C"/>
    <w:rsid w:val="00FE16B3"/>
    <w:rsid w:val="00FE1E00"/>
    <w:rsid w:val="00FE2652"/>
    <w:rsid w:val="00FE50A6"/>
    <w:rsid w:val="00FE5106"/>
    <w:rsid w:val="00FE5266"/>
    <w:rsid w:val="00FE5F2E"/>
    <w:rsid w:val="00FE6262"/>
    <w:rsid w:val="00FF0A7F"/>
    <w:rsid w:val="00FF1074"/>
    <w:rsid w:val="00FF178E"/>
    <w:rsid w:val="00FF1FCC"/>
    <w:rsid w:val="00FF230F"/>
    <w:rsid w:val="00FF25F6"/>
    <w:rsid w:val="00FF2FBF"/>
    <w:rsid w:val="00FF3043"/>
    <w:rsid w:val="00FF5470"/>
    <w:rsid w:val="00FF5729"/>
    <w:rsid w:val="00FF60F1"/>
    <w:rsid w:val="00FF68CE"/>
    <w:rsid w:val="00FF7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E6C6E3-1A27-4C42-BF6D-9FE9006B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205D"/>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91010A"/>
    <w:pPr>
      <w:keepNext/>
      <w:keepLines/>
      <w:spacing w:before="480" w:after="0"/>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unhideWhenUsed/>
    <w:qFormat/>
    <w:rsid w:val="0017205D"/>
    <w:pPr>
      <w:keepNext/>
      <w:keepLines/>
      <w:spacing w:before="200" w:after="0"/>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unhideWhenUsed/>
    <w:qFormat/>
    <w:rsid w:val="0017205D"/>
    <w:pPr>
      <w:keepNext/>
      <w:keepLines/>
      <w:spacing w:before="200" w:after="0"/>
      <w:outlineLvl w:val="2"/>
    </w:pPr>
    <w:rPr>
      <w:rFonts w:eastAsiaTheme="majorEastAsia" w:cstheme="majorBidi"/>
      <w:b/>
      <w:bCs/>
      <w:color w:val="000000" w:themeColor="text1"/>
    </w:rPr>
  </w:style>
  <w:style w:type="paragraph" w:styleId="Nadpis5">
    <w:name w:val="heading 5"/>
    <w:basedOn w:val="Normln"/>
    <w:next w:val="Normln"/>
    <w:link w:val="Nadpis5Char"/>
    <w:uiPriority w:val="9"/>
    <w:semiHidden/>
    <w:unhideWhenUsed/>
    <w:qFormat/>
    <w:rsid w:val="0069125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7205D"/>
    <w:rPr>
      <w:rFonts w:ascii="Times New Roman" w:eastAsiaTheme="majorEastAsia" w:hAnsi="Times New Roman" w:cstheme="majorBidi"/>
      <w:b/>
      <w:bCs/>
      <w:color w:val="000000" w:themeColor="text1"/>
      <w:sz w:val="32"/>
      <w:szCs w:val="28"/>
    </w:rPr>
  </w:style>
  <w:style w:type="character" w:customStyle="1" w:styleId="Nadpis2Char">
    <w:name w:val="Nadpis 2 Char"/>
    <w:basedOn w:val="Standardnpsmoodstavce"/>
    <w:link w:val="Nadpis2"/>
    <w:uiPriority w:val="9"/>
    <w:rsid w:val="0017205D"/>
    <w:rPr>
      <w:rFonts w:ascii="Times New Roman" w:eastAsiaTheme="majorEastAsia" w:hAnsi="Times New Roman" w:cstheme="majorBidi"/>
      <w:b/>
      <w:bCs/>
      <w:color w:val="000000" w:themeColor="text1"/>
      <w:sz w:val="28"/>
      <w:szCs w:val="26"/>
    </w:rPr>
  </w:style>
  <w:style w:type="character" w:customStyle="1" w:styleId="Nadpis3Char">
    <w:name w:val="Nadpis 3 Char"/>
    <w:basedOn w:val="Standardnpsmoodstavce"/>
    <w:link w:val="Nadpis3"/>
    <w:uiPriority w:val="9"/>
    <w:rsid w:val="0017205D"/>
    <w:rPr>
      <w:rFonts w:ascii="Times New Roman" w:eastAsiaTheme="majorEastAsia" w:hAnsi="Times New Roman" w:cstheme="majorBidi"/>
      <w:b/>
      <w:bCs/>
      <w:color w:val="000000" w:themeColor="text1"/>
      <w:sz w:val="24"/>
    </w:rPr>
  </w:style>
  <w:style w:type="paragraph" w:styleId="Textpoznpodarou">
    <w:name w:val="footnote text"/>
    <w:basedOn w:val="Normln"/>
    <w:link w:val="TextpoznpodarouChar"/>
    <w:uiPriority w:val="99"/>
    <w:semiHidden/>
    <w:unhideWhenUsed/>
    <w:rsid w:val="0017205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7205D"/>
    <w:rPr>
      <w:rFonts w:ascii="Times New Roman" w:hAnsi="Times New Roman"/>
      <w:sz w:val="20"/>
      <w:szCs w:val="20"/>
    </w:rPr>
  </w:style>
  <w:style w:type="character" w:styleId="Znakapoznpodarou">
    <w:name w:val="footnote reference"/>
    <w:basedOn w:val="Standardnpsmoodstavce"/>
    <w:uiPriority w:val="99"/>
    <w:semiHidden/>
    <w:unhideWhenUsed/>
    <w:rsid w:val="0017205D"/>
    <w:rPr>
      <w:vertAlign w:val="superscript"/>
    </w:rPr>
  </w:style>
  <w:style w:type="paragraph" w:styleId="Odstavecseseznamem">
    <w:name w:val="List Paragraph"/>
    <w:basedOn w:val="Normln"/>
    <w:uiPriority w:val="34"/>
    <w:qFormat/>
    <w:rsid w:val="00CE62F8"/>
    <w:pPr>
      <w:ind w:left="720"/>
      <w:contextualSpacing/>
    </w:pPr>
  </w:style>
  <w:style w:type="character" w:styleId="Hypertextovodkaz">
    <w:name w:val="Hyperlink"/>
    <w:basedOn w:val="Standardnpsmoodstavce"/>
    <w:uiPriority w:val="99"/>
    <w:unhideWhenUsed/>
    <w:rsid w:val="005E1C5C"/>
    <w:rPr>
      <w:strike w:val="0"/>
      <w:dstrike w:val="0"/>
      <w:color w:val="3366CC"/>
      <w:u w:val="none"/>
      <w:effect w:val="none"/>
    </w:rPr>
  </w:style>
  <w:style w:type="paragraph" w:customStyle="1" w:styleId="Default">
    <w:name w:val="Default"/>
    <w:rsid w:val="00AA5D9B"/>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AA5D9B"/>
    <w:rPr>
      <w:rFonts w:cstheme="minorBidi"/>
      <w:color w:val="auto"/>
    </w:rPr>
  </w:style>
  <w:style w:type="paragraph" w:customStyle="1" w:styleId="CM3">
    <w:name w:val="CM3"/>
    <w:basedOn w:val="Default"/>
    <w:next w:val="Default"/>
    <w:uiPriority w:val="99"/>
    <w:rsid w:val="00AA5D9B"/>
    <w:rPr>
      <w:rFonts w:cstheme="minorBidi"/>
      <w:color w:val="auto"/>
    </w:rPr>
  </w:style>
  <w:style w:type="paragraph" w:customStyle="1" w:styleId="CM4">
    <w:name w:val="CM4"/>
    <w:basedOn w:val="Default"/>
    <w:next w:val="Default"/>
    <w:uiPriority w:val="99"/>
    <w:rsid w:val="00AA5D9B"/>
    <w:rPr>
      <w:rFonts w:cstheme="minorBidi"/>
      <w:color w:val="auto"/>
    </w:rPr>
  </w:style>
  <w:style w:type="paragraph" w:customStyle="1" w:styleId="Pa3">
    <w:name w:val="Pa3"/>
    <w:basedOn w:val="Default"/>
    <w:next w:val="Default"/>
    <w:uiPriority w:val="99"/>
    <w:rsid w:val="00FE2652"/>
    <w:pPr>
      <w:spacing w:line="181" w:lineRule="atLeast"/>
    </w:pPr>
    <w:rPr>
      <w:rFonts w:ascii="GaramondC" w:hAnsi="GaramondC" w:cstheme="minorBidi"/>
      <w:color w:val="auto"/>
    </w:rPr>
  </w:style>
  <w:style w:type="character" w:customStyle="1" w:styleId="A3">
    <w:name w:val="A3"/>
    <w:uiPriority w:val="99"/>
    <w:rsid w:val="00FE2652"/>
    <w:rPr>
      <w:rFonts w:cs="GaramondC"/>
      <w:b/>
      <w:bCs/>
      <w:color w:val="000000"/>
      <w:sz w:val="38"/>
      <w:szCs w:val="38"/>
    </w:rPr>
  </w:style>
  <w:style w:type="character" w:customStyle="1" w:styleId="A4">
    <w:name w:val="A4"/>
    <w:uiPriority w:val="99"/>
    <w:rsid w:val="00FE2652"/>
    <w:rPr>
      <w:rFonts w:cs="GaramondC"/>
      <w:b/>
      <w:bCs/>
      <w:color w:val="000000"/>
      <w:sz w:val="26"/>
      <w:szCs w:val="26"/>
    </w:rPr>
  </w:style>
  <w:style w:type="character" w:styleId="Odkaznakoment">
    <w:name w:val="annotation reference"/>
    <w:basedOn w:val="Standardnpsmoodstavce"/>
    <w:uiPriority w:val="99"/>
    <w:semiHidden/>
    <w:unhideWhenUsed/>
    <w:rsid w:val="00761F9C"/>
    <w:rPr>
      <w:sz w:val="16"/>
      <w:szCs w:val="16"/>
    </w:rPr>
  </w:style>
  <w:style w:type="paragraph" w:styleId="Textkomente">
    <w:name w:val="annotation text"/>
    <w:basedOn w:val="Normln"/>
    <w:link w:val="TextkomenteChar"/>
    <w:uiPriority w:val="99"/>
    <w:semiHidden/>
    <w:unhideWhenUsed/>
    <w:rsid w:val="00761F9C"/>
    <w:pPr>
      <w:spacing w:line="240" w:lineRule="auto"/>
    </w:pPr>
    <w:rPr>
      <w:sz w:val="20"/>
      <w:szCs w:val="20"/>
    </w:rPr>
  </w:style>
  <w:style w:type="character" w:customStyle="1" w:styleId="TextkomenteChar">
    <w:name w:val="Text komentáře Char"/>
    <w:basedOn w:val="Standardnpsmoodstavce"/>
    <w:link w:val="Textkomente"/>
    <w:uiPriority w:val="99"/>
    <w:semiHidden/>
    <w:rsid w:val="00761F9C"/>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1F9C"/>
    <w:rPr>
      <w:b/>
      <w:bCs/>
    </w:rPr>
  </w:style>
  <w:style w:type="character" w:customStyle="1" w:styleId="PedmtkomenteChar">
    <w:name w:val="Předmět komentáře Char"/>
    <w:basedOn w:val="TextkomenteChar"/>
    <w:link w:val="Pedmtkomente"/>
    <w:uiPriority w:val="99"/>
    <w:semiHidden/>
    <w:rsid w:val="00761F9C"/>
    <w:rPr>
      <w:rFonts w:ascii="Times New Roman" w:hAnsi="Times New Roman"/>
      <w:b/>
      <w:bCs/>
      <w:sz w:val="20"/>
      <w:szCs w:val="20"/>
    </w:rPr>
  </w:style>
  <w:style w:type="paragraph" w:styleId="Textbubliny">
    <w:name w:val="Balloon Text"/>
    <w:basedOn w:val="Normln"/>
    <w:link w:val="TextbublinyChar"/>
    <w:uiPriority w:val="99"/>
    <w:semiHidden/>
    <w:unhideWhenUsed/>
    <w:rsid w:val="00761F9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1F9C"/>
    <w:rPr>
      <w:rFonts w:ascii="Segoe UI" w:hAnsi="Segoe UI" w:cs="Segoe UI"/>
      <w:sz w:val="18"/>
      <w:szCs w:val="18"/>
    </w:rPr>
  </w:style>
  <w:style w:type="character" w:customStyle="1" w:styleId="apple-converted-space">
    <w:name w:val="apple-converted-space"/>
    <w:basedOn w:val="Standardnpsmoodstavce"/>
    <w:rsid w:val="003D1279"/>
  </w:style>
  <w:style w:type="character" w:styleId="Siln">
    <w:name w:val="Strong"/>
    <w:basedOn w:val="Standardnpsmoodstavce"/>
    <w:uiPriority w:val="22"/>
    <w:qFormat/>
    <w:rsid w:val="003D1279"/>
    <w:rPr>
      <w:b/>
      <w:bCs/>
    </w:rPr>
  </w:style>
  <w:style w:type="character" w:customStyle="1" w:styleId="Nadpis5Char">
    <w:name w:val="Nadpis 5 Char"/>
    <w:basedOn w:val="Standardnpsmoodstavce"/>
    <w:link w:val="Nadpis5"/>
    <w:uiPriority w:val="9"/>
    <w:semiHidden/>
    <w:rsid w:val="0069125B"/>
    <w:rPr>
      <w:rFonts w:asciiTheme="majorHAnsi" w:eastAsiaTheme="majorEastAsia" w:hAnsiTheme="majorHAnsi" w:cstheme="majorBidi"/>
      <w:color w:val="365F91" w:themeColor="accent1" w:themeShade="BF"/>
      <w:sz w:val="24"/>
    </w:rPr>
  </w:style>
  <w:style w:type="character" w:styleId="Sledovanodkaz">
    <w:name w:val="FollowedHyperlink"/>
    <w:basedOn w:val="Standardnpsmoodstavce"/>
    <w:uiPriority w:val="99"/>
    <w:semiHidden/>
    <w:unhideWhenUsed/>
    <w:rsid w:val="000B3EEA"/>
    <w:rPr>
      <w:color w:val="800080" w:themeColor="followedHyperlink"/>
      <w:u w:val="single"/>
    </w:rPr>
  </w:style>
  <w:style w:type="paragraph" w:styleId="Bezmezer">
    <w:name w:val="No Spacing"/>
    <w:uiPriority w:val="1"/>
    <w:qFormat/>
    <w:rsid w:val="007C23D5"/>
    <w:pPr>
      <w:spacing w:after="0" w:line="240" w:lineRule="auto"/>
      <w:jc w:val="both"/>
    </w:pPr>
    <w:rPr>
      <w:rFonts w:ascii="Times New Roman" w:hAnsi="Times New Roman"/>
      <w:sz w:val="24"/>
    </w:rPr>
  </w:style>
  <w:style w:type="paragraph" w:styleId="Zhlav">
    <w:name w:val="header"/>
    <w:basedOn w:val="Normln"/>
    <w:link w:val="ZhlavChar"/>
    <w:uiPriority w:val="99"/>
    <w:unhideWhenUsed/>
    <w:rsid w:val="007D41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4169"/>
    <w:rPr>
      <w:rFonts w:ascii="Times New Roman" w:hAnsi="Times New Roman"/>
      <w:sz w:val="24"/>
    </w:rPr>
  </w:style>
  <w:style w:type="paragraph" w:styleId="Zpat">
    <w:name w:val="footer"/>
    <w:basedOn w:val="Normln"/>
    <w:link w:val="ZpatChar"/>
    <w:uiPriority w:val="99"/>
    <w:unhideWhenUsed/>
    <w:rsid w:val="007D4169"/>
    <w:pPr>
      <w:tabs>
        <w:tab w:val="center" w:pos="4536"/>
        <w:tab w:val="right" w:pos="9072"/>
      </w:tabs>
      <w:spacing w:after="0" w:line="240" w:lineRule="auto"/>
    </w:pPr>
  </w:style>
  <w:style w:type="character" w:customStyle="1" w:styleId="ZpatChar">
    <w:name w:val="Zápatí Char"/>
    <w:basedOn w:val="Standardnpsmoodstavce"/>
    <w:link w:val="Zpat"/>
    <w:uiPriority w:val="99"/>
    <w:rsid w:val="007D4169"/>
    <w:rPr>
      <w:rFonts w:ascii="Times New Roman" w:hAnsi="Times New Roman"/>
      <w:sz w:val="24"/>
    </w:rPr>
  </w:style>
  <w:style w:type="table" w:styleId="Mkatabulky">
    <w:name w:val="Table Grid"/>
    <w:basedOn w:val="Normlntabulka"/>
    <w:uiPriority w:val="59"/>
    <w:rsid w:val="000F3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6271DD"/>
    <w:pPr>
      <w:spacing w:before="100" w:beforeAutospacing="1" w:after="100" w:afterAutospacing="1" w:line="240" w:lineRule="auto"/>
      <w:jc w:val="left"/>
    </w:pPr>
    <w:rPr>
      <w:rFonts w:eastAsia="Times New Roman" w:cs="Times New Roman"/>
      <w:szCs w:val="24"/>
      <w:lang w:eastAsia="cs-CZ"/>
    </w:rPr>
  </w:style>
  <w:style w:type="paragraph" w:styleId="Nadpisobsahu">
    <w:name w:val="TOC Heading"/>
    <w:basedOn w:val="Nadpis1"/>
    <w:next w:val="Normln"/>
    <w:uiPriority w:val="39"/>
    <w:unhideWhenUsed/>
    <w:qFormat/>
    <w:rsid w:val="00F939B4"/>
    <w:pPr>
      <w:spacing w:before="240" w:line="259" w:lineRule="auto"/>
      <w:jc w:val="left"/>
      <w:outlineLvl w:val="9"/>
    </w:pPr>
    <w:rPr>
      <w:rFonts w:asciiTheme="majorHAnsi" w:hAnsiTheme="majorHAnsi"/>
      <w:b w:val="0"/>
      <w:bCs w:val="0"/>
      <w:color w:val="365F91" w:themeColor="accent1" w:themeShade="BF"/>
      <w:szCs w:val="32"/>
      <w:lang w:eastAsia="cs-CZ"/>
    </w:rPr>
  </w:style>
  <w:style w:type="paragraph" w:styleId="Obsah3">
    <w:name w:val="toc 3"/>
    <w:basedOn w:val="Normln"/>
    <w:next w:val="Normln"/>
    <w:autoRedefine/>
    <w:uiPriority w:val="39"/>
    <w:unhideWhenUsed/>
    <w:rsid w:val="00F939B4"/>
    <w:pPr>
      <w:spacing w:after="100"/>
      <w:ind w:left="480"/>
    </w:pPr>
  </w:style>
  <w:style w:type="paragraph" w:styleId="Obsah1">
    <w:name w:val="toc 1"/>
    <w:basedOn w:val="Normln"/>
    <w:next w:val="Normln"/>
    <w:autoRedefine/>
    <w:uiPriority w:val="39"/>
    <w:unhideWhenUsed/>
    <w:rsid w:val="00F939B4"/>
    <w:pPr>
      <w:spacing w:after="100"/>
    </w:pPr>
  </w:style>
  <w:style w:type="paragraph" w:styleId="Obsah2">
    <w:name w:val="toc 2"/>
    <w:basedOn w:val="Normln"/>
    <w:next w:val="Normln"/>
    <w:autoRedefine/>
    <w:uiPriority w:val="39"/>
    <w:unhideWhenUsed/>
    <w:rsid w:val="00F939B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2910">
      <w:bodyDiv w:val="1"/>
      <w:marLeft w:val="0"/>
      <w:marRight w:val="0"/>
      <w:marTop w:val="0"/>
      <w:marBottom w:val="0"/>
      <w:divBdr>
        <w:top w:val="none" w:sz="0" w:space="0" w:color="auto"/>
        <w:left w:val="none" w:sz="0" w:space="0" w:color="auto"/>
        <w:bottom w:val="none" w:sz="0" w:space="0" w:color="auto"/>
        <w:right w:val="none" w:sz="0" w:space="0" w:color="auto"/>
      </w:divBdr>
    </w:div>
    <w:div w:id="110252335">
      <w:bodyDiv w:val="1"/>
      <w:marLeft w:val="0"/>
      <w:marRight w:val="0"/>
      <w:marTop w:val="0"/>
      <w:marBottom w:val="0"/>
      <w:divBdr>
        <w:top w:val="none" w:sz="0" w:space="0" w:color="auto"/>
        <w:left w:val="none" w:sz="0" w:space="0" w:color="auto"/>
        <w:bottom w:val="none" w:sz="0" w:space="0" w:color="auto"/>
        <w:right w:val="none" w:sz="0" w:space="0" w:color="auto"/>
      </w:divBdr>
      <w:divsChild>
        <w:div w:id="2106227918">
          <w:marLeft w:val="0"/>
          <w:marRight w:val="0"/>
          <w:marTop w:val="0"/>
          <w:marBottom w:val="0"/>
          <w:divBdr>
            <w:top w:val="none" w:sz="0" w:space="0" w:color="auto"/>
            <w:left w:val="none" w:sz="0" w:space="0" w:color="auto"/>
            <w:bottom w:val="none" w:sz="0" w:space="0" w:color="auto"/>
            <w:right w:val="none" w:sz="0" w:space="0" w:color="auto"/>
          </w:divBdr>
          <w:divsChild>
            <w:div w:id="1947080312">
              <w:marLeft w:val="0"/>
              <w:marRight w:val="0"/>
              <w:marTop w:val="0"/>
              <w:marBottom w:val="0"/>
              <w:divBdr>
                <w:top w:val="none" w:sz="0" w:space="0" w:color="auto"/>
                <w:left w:val="none" w:sz="0" w:space="0" w:color="auto"/>
                <w:bottom w:val="none" w:sz="0" w:space="0" w:color="auto"/>
                <w:right w:val="none" w:sz="0" w:space="0" w:color="auto"/>
              </w:divBdr>
              <w:divsChild>
                <w:div w:id="869803924">
                  <w:marLeft w:val="0"/>
                  <w:marRight w:val="0"/>
                  <w:marTop w:val="0"/>
                  <w:marBottom w:val="0"/>
                  <w:divBdr>
                    <w:top w:val="none" w:sz="0" w:space="0" w:color="auto"/>
                    <w:left w:val="none" w:sz="0" w:space="0" w:color="auto"/>
                    <w:bottom w:val="none" w:sz="0" w:space="0" w:color="auto"/>
                    <w:right w:val="none" w:sz="0" w:space="0" w:color="auto"/>
                  </w:divBdr>
                  <w:divsChild>
                    <w:div w:id="931624873">
                      <w:marLeft w:val="0"/>
                      <w:marRight w:val="0"/>
                      <w:marTop w:val="0"/>
                      <w:marBottom w:val="0"/>
                      <w:divBdr>
                        <w:top w:val="none" w:sz="0" w:space="0" w:color="auto"/>
                        <w:left w:val="none" w:sz="0" w:space="0" w:color="auto"/>
                        <w:bottom w:val="none" w:sz="0" w:space="0" w:color="auto"/>
                        <w:right w:val="none" w:sz="0" w:space="0" w:color="auto"/>
                      </w:divBdr>
                      <w:divsChild>
                        <w:div w:id="151072499">
                          <w:marLeft w:val="0"/>
                          <w:marRight w:val="0"/>
                          <w:marTop w:val="0"/>
                          <w:marBottom w:val="0"/>
                          <w:divBdr>
                            <w:top w:val="none" w:sz="0" w:space="0" w:color="auto"/>
                            <w:left w:val="none" w:sz="0" w:space="0" w:color="auto"/>
                            <w:bottom w:val="none" w:sz="0" w:space="0" w:color="auto"/>
                            <w:right w:val="none" w:sz="0" w:space="0" w:color="auto"/>
                          </w:divBdr>
                          <w:divsChild>
                            <w:div w:id="697853899">
                              <w:marLeft w:val="0"/>
                              <w:marRight w:val="0"/>
                              <w:marTop w:val="0"/>
                              <w:marBottom w:val="0"/>
                              <w:divBdr>
                                <w:top w:val="none" w:sz="0" w:space="0" w:color="auto"/>
                                <w:left w:val="none" w:sz="0" w:space="0" w:color="auto"/>
                                <w:bottom w:val="none" w:sz="0" w:space="0" w:color="auto"/>
                                <w:right w:val="none" w:sz="0" w:space="0" w:color="auto"/>
                              </w:divBdr>
                              <w:divsChild>
                                <w:div w:id="255678218">
                                  <w:marLeft w:val="0"/>
                                  <w:marRight w:val="0"/>
                                  <w:marTop w:val="0"/>
                                  <w:marBottom w:val="0"/>
                                  <w:divBdr>
                                    <w:top w:val="none" w:sz="0" w:space="0" w:color="auto"/>
                                    <w:left w:val="none" w:sz="0" w:space="0" w:color="auto"/>
                                    <w:bottom w:val="none" w:sz="0" w:space="0" w:color="auto"/>
                                    <w:right w:val="none" w:sz="0" w:space="0" w:color="auto"/>
                                  </w:divBdr>
                                  <w:divsChild>
                                    <w:div w:id="2079863555">
                                      <w:marLeft w:val="0"/>
                                      <w:marRight w:val="0"/>
                                      <w:marTop w:val="0"/>
                                      <w:marBottom w:val="0"/>
                                      <w:divBdr>
                                        <w:top w:val="none" w:sz="0" w:space="0" w:color="auto"/>
                                        <w:left w:val="none" w:sz="0" w:space="0" w:color="auto"/>
                                        <w:bottom w:val="none" w:sz="0" w:space="0" w:color="auto"/>
                                        <w:right w:val="none" w:sz="0" w:space="0" w:color="auto"/>
                                      </w:divBdr>
                                      <w:divsChild>
                                        <w:div w:id="344864588">
                                          <w:marLeft w:val="0"/>
                                          <w:marRight w:val="0"/>
                                          <w:marTop w:val="0"/>
                                          <w:marBottom w:val="0"/>
                                          <w:divBdr>
                                            <w:top w:val="none" w:sz="0" w:space="0" w:color="auto"/>
                                            <w:left w:val="none" w:sz="0" w:space="0" w:color="auto"/>
                                            <w:bottom w:val="none" w:sz="0" w:space="0" w:color="auto"/>
                                            <w:right w:val="none" w:sz="0" w:space="0" w:color="auto"/>
                                          </w:divBdr>
                                          <w:divsChild>
                                            <w:div w:id="15557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10960">
      <w:bodyDiv w:val="1"/>
      <w:marLeft w:val="0"/>
      <w:marRight w:val="0"/>
      <w:marTop w:val="0"/>
      <w:marBottom w:val="0"/>
      <w:divBdr>
        <w:top w:val="none" w:sz="0" w:space="0" w:color="auto"/>
        <w:left w:val="none" w:sz="0" w:space="0" w:color="auto"/>
        <w:bottom w:val="none" w:sz="0" w:space="0" w:color="auto"/>
        <w:right w:val="none" w:sz="0" w:space="0" w:color="auto"/>
      </w:divBdr>
    </w:div>
    <w:div w:id="251354153">
      <w:bodyDiv w:val="1"/>
      <w:marLeft w:val="0"/>
      <w:marRight w:val="0"/>
      <w:marTop w:val="0"/>
      <w:marBottom w:val="0"/>
      <w:divBdr>
        <w:top w:val="none" w:sz="0" w:space="0" w:color="auto"/>
        <w:left w:val="none" w:sz="0" w:space="0" w:color="auto"/>
        <w:bottom w:val="none" w:sz="0" w:space="0" w:color="auto"/>
        <w:right w:val="none" w:sz="0" w:space="0" w:color="auto"/>
      </w:divBdr>
    </w:div>
    <w:div w:id="658075465">
      <w:bodyDiv w:val="1"/>
      <w:marLeft w:val="0"/>
      <w:marRight w:val="0"/>
      <w:marTop w:val="0"/>
      <w:marBottom w:val="0"/>
      <w:divBdr>
        <w:top w:val="none" w:sz="0" w:space="0" w:color="auto"/>
        <w:left w:val="none" w:sz="0" w:space="0" w:color="auto"/>
        <w:bottom w:val="none" w:sz="0" w:space="0" w:color="auto"/>
        <w:right w:val="none" w:sz="0" w:space="0" w:color="auto"/>
      </w:divBdr>
    </w:div>
    <w:div w:id="677731658">
      <w:bodyDiv w:val="1"/>
      <w:marLeft w:val="0"/>
      <w:marRight w:val="0"/>
      <w:marTop w:val="0"/>
      <w:marBottom w:val="0"/>
      <w:divBdr>
        <w:top w:val="none" w:sz="0" w:space="0" w:color="auto"/>
        <w:left w:val="none" w:sz="0" w:space="0" w:color="auto"/>
        <w:bottom w:val="none" w:sz="0" w:space="0" w:color="auto"/>
        <w:right w:val="none" w:sz="0" w:space="0" w:color="auto"/>
      </w:divBdr>
    </w:div>
    <w:div w:id="824707720">
      <w:bodyDiv w:val="1"/>
      <w:marLeft w:val="0"/>
      <w:marRight w:val="0"/>
      <w:marTop w:val="0"/>
      <w:marBottom w:val="0"/>
      <w:divBdr>
        <w:top w:val="none" w:sz="0" w:space="0" w:color="auto"/>
        <w:left w:val="none" w:sz="0" w:space="0" w:color="auto"/>
        <w:bottom w:val="none" w:sz="0" w:space="0" w:color="auto"/>
        <w:right w:val="none" w:sz="0" w:space="0" w:color="auto"/>
      </w:divBdr>
    </w:div>
    <w:div w:id="869031175">
      <w:bodyDiv w:val="1"/>
      <w:marLeft w:val="0"/>
      <w:marRight w:val="0"/>
      <w:marTop w:val="0"/>
      <w:marBottom w:val="0"/>
      <w:divBdr>
        <w:top w:val="none" w:sz="0" w:space="0" w:color="auto"/>
        <w:left w:val="none" w:sz="0" w:space="0" w:color="auto"/>
        <w:bottom w:val="none" w:sz="0" w:space="0" w:color="auto"/>
        <w:right w:val="none" w:sz="0" w:space="0" w:color="auto"/>
      </w:divBdr>
    </w:div>
    <w:div w:id="902713985">
      <w:bodyDiv w:val="1"/>
      <w:marLeft w:val="0"/>
      <w:marRight w:val="0"/>
      <w:marTop w:val="0"/>
      <w:marBottom w:val="0"/>
      <w:divBdr>
        <w:top w:val="none" w:sz="0" w:space="0" w:color="auto"/>
        <w:left w:val="none" w:sz="0" w:space="0" w:color="auto"/>
        <w:bottom w:val="none" w:sz="0" w:space="0" w:color="auto"/>
        <w:right w:val="none" w:sz="0" w:space="0" w:color="auto"/>
      </w:divBdr>
    </w:div>
    <w:div w:id="1063482629">
      <w:bodyDiv w:val="1"/>
      <w:marLeft w:val="0"/>
      <w:marRight w:val="0"/>
      <w:marTop w:val="0"/>
      <w:marBottom w:val="0"/>
      <w:divBdr>
        <w:top w:val="none" w:sz="0" w:space="0" w:color="auto"/>
        <w:left w:val="none" w:sz="0" w:space="0" w:color="auto"/>
        <w:bottom w:val="none" w:sz="0" w:space="0" w:color="auto"/>
        <w:right w:val="none" w:sz="0" w:space="0" w:color="auto"/>
      </w:divBdr>
    </w:div>
    <w:div w:id="1133979904">
      <w:bodyDiv w:val="1"/>
      <w:marLeft w:val="0"/>
      <w:marRight w:val="0"/>
      <w:marTop w:val="0"/>
      <w:marBottom w:val="0"/>
      <w:divBdr>
        <w:top w:val="none" w:sz="0" w:space="0" w:color="auto"/>
        <w:left w:val="none" w:sz="0" w:space="0" w:color="auto"/>
        <w:bottom w:val="none" w:sz="0" w:space="0" w:color="auto"/>
        <w:right w:val="none" w:sz="0" w:space="0" w:color="auto"/>
      </w:divBdr>
    </w:div>
    <w:div w:id="1567185903">
      <w:bodyDiv w:val="1"/>
      <w:marLeft w:val="0"/>
      <w:marRight w:val="0"/>
      <w:marTop w:val="0"/>
      <w:marBottom w:val="0"/>
      <w:divBdr>
        <w:top w:val="none" w:sz="0" w:space="0" w:color="auto"/>
        <w:left w:val="none" w:sz="0" w:space="0" w:color="auto"/>
        <w:bottom w:val="none" w:sz="0" w:space="0" w:color="auto"/>
        <w:right w:val="none" w:sz="0" w:space="0" w:color="auto"/>
      </w:divBdr>
    </w:div>
    <w:div w:id="1692687263">
      <w:bodyDiv w:val="1"/>
      <w:marLeft w:val="0"/>
      <w:marRight w:val="0"/>
      <w:marTop w:val="0"/>
      <w:marBottom w:val="0"/>
      <w:divBdr>
        <w:top w:val="none" w:sz="0" w:space="0" w:color="auto"/>
        <w:left w:val="none" w:sz="0" w:space="0" w:color="auto"/>
        <w:bottom w:val="none" w:sz="0" w:space="0" w:color="auto"/>
        <w:right w:val="none" w:sz="0" w:space="0" w:color="auto"/>
      </w:divBdr>
    </w:div>
    <w:div w:id="1833711914">
      <w:bodyDiv w:val="1"/>
      <w:marLeft w:val="0"/>
      <w:marRight w:val="0"/>
      <w:marTop w:val="0"/>
      <w:marBottom w:val="0"/>
      <w:divBdr>
        <w:top w:val="none" w:sz="0" w:space="0" w:color="auto"/>
        <w:left w:val="none" w:sz="0" w:space="0" w:color="auto"/>
        <w:bottom w:val="none" w:sz="0" w:space="0" w:color="auto"/>
        <w:right w:val="none" w:sz="0" w:space="0" w:color="auto"/>
      </w:divBdr>
    </w:div>
    <w:div w:id="1932471787">
      <w:bodyDiv w:val="1"/>
      <w:marLeft w:val="0"/>
      <w:marRight w:val="0"/>
      <w:marTop w:val="0"/>
      <w:marBottom w:val="0"/>
      <w:divBdr>
        <w:top w:val="none" w:sz="0" w:space="0" w:color="auto"/>
        <w:left w:val="none" w:sz="0" w:space="0" w:color="auto"/>
        <w:bottom w:val="none" w:sz="0" w:space="0" w:color="auto"/>
        <w:right w:val="none" w:sz="0" w:space="0" w:color="auto"/>
      </w:divBdr>
    </w:div>
    <w:div w:id="2103600139">
      <w:bodyDiv w:val="1"/>
      <w:marLeft w:val="0"/>
      <w:marRight w:val="0"/>
      <w:marTop w:val="0"/>
      <w:marBottom w:val="0"/>
      <w:divBdr>
        <w:top w:val="none" w:sz="0" w:space="0" w:color="auto"/>
        <w:left w:val="none" w:sz="0" w:space="0" w:color="auto"/>
        <w:bottom w:val="none" w:sz="0" w:space="0" w:color="auto"/>
        <w:right w:val="none" w:sz="0" w:space="0" w:color="auto"/>
      </w:divBdr>
    </w:div>
    <w:div w:id="2134595817">
      <w:bodyDiv w:val="1"/>
      <w:marLeft w:val="0"/>
      <w:marRight w:val="0"/>
      <w:marTop w:val="0"/>
      <w:marBottom w:val="0"/>
      <w:divBdr>
        <w:top w:val="none" w:sz="0" w:space="0" w:color="auto"/>
        <w:left w:val="none" w:sz="0" w:space="0" w:color="auto"/>
        <w:bottom w:val="none" w:sz="0" w:space="0" w:color="auto"/>
        <w:right w:val="none" w:sz="0" w:space="0" w:color="auto"/>
      </w:divBdr>
      <w:divsChild>
        <w:div w:id="1916085224">
          <w:marLeft w:val="0"/>
          <w:marRight w:val="0"/>
          <w:marTop w:val="0"/>
          <w:marBottom w:val="0"/>
          <w:divBdr>
            <w:top w:val="none" w:sz="0" w:space="0" w:color="auto"/>
            <w:left w:val="none" w:sz="0" w:space="0" w:color="auto"/>
            <w:bottom w:val="none" w:sz="0" w:space="0" w:color="auto"/>
            <w:right w:val="none" w:sz="0" w:space="0" w:color="auto"/>
          </w:divBdr>
          <w:divsChild>
            <w:div w:id="55125538">
              <w:marLeft w:val="0"/>
              <w:marRight w:val="0"/>
              <w:marTop w:val="0"/>
              <w:marBottom w:val="0"/>
              <w:divBdr>
                <w:top w:val="none" w:sz="0" w:space="0" w:color="auto"/>
                <w:left w:val="none" w:sz="0" w:space="0" w:color="auto"/>
                <w:bottom w:val="none" w:sz="0" w:space="0" w:color="auto"/>
                <w:right w:val="none" w:sz="0" w:space="0" w:color="auto"/>
              </w:divBdr>
              <w:divsChild>
                <w:div w:id="1365406598">
                  <w:marLeft w:val="0"/>
                  <w:marRight w:val="0"/>
                  <w:marTop w:val="0"/>
                  <w:marBottom w:val="0"/>
                  <w:divBdr>
                    <w:top w:val="none" w:sz="0" w:space="0" w:color="auto"/>
                    <w:left w:val="none" w:sz="0" w:space="0" w:color="auto"/>
                    <w:bottom w:val="none" w:sz="0" w:space="0" w:color="auto"/>
                    <w:right w:val="none" w:sz="0" w:space="0" w:color="auto"/>
                  </w:divBdr>
                  <w:divsChild>
                    <w:div w:id="422918487">
                      <w:marLeft w:val="0"/>
                      <w:marRight w:val="0"/>
                      <w:marTop w:val="0"/>
                      <w:marBottom w:val="0"/>
                      <w:divBdr>
                        <w:top w:val="none" w:sz="0" w:space="0" w:color="auto"/>
                        <w:left w:val="none" w:sz="0" w:space="0" w:color="auto"/>
                        <w:bottom w:val="none" w:sz="0" w:space="0" w:color="auto"/>
                        <w:right w:val="none" w:sz="0" w:space="0" w:color="auto"/>
                      </w:divBdr>
                      <w:divsChild>
                        <w:div w:id="1813907480">
                          <w:marLeft w:val="0"/>
                          <w:marRight w:val="0"/>
                          <w:marTop w:val="0"/>
                          <w:marBottom w:val="0"/>
                          <w:divBdr>
                            <w:top w:val="none" w:sz="0" w:space="0" w:color="auto"/>
                            <w:left w:val="none" w:sz="0" w:space="0" w:color="auto"/>
                            <w:bottom w:val="none" w:sz="0" w:space="0" w:color="auto"/>
                            <w:right w:val="none" w:sz="0" w:space="0" w:color="auto"/>
                          </w:divBdr>
                          <w:divsChild>
                            <w:div w:id="2061856188">
                              <w:marLeft w:val="0"/>
                              <w:marRight w:val="0"/>
                              <w:marTop w:val="0"/>
                              <w:marBottom w:val="0"/>
                              <w:divBdr>
                                <w:top w:val="none" w:sz="0" w:space="0" w:color="auto"/>
                                <w:left w:val="none" w:sz="0" w:space="0" w:color="auto"/>
                                <w:bottom w:val="none" w:sz="0" w:space="0" w:color="auto"/>
                                <w:right w:val="none" w:sz="0" w:space="0" w:color="auto"/>
                              </w:divBdr>
                              <w:divsChild>
                                <w:div w:id="711541221">
                                  <w:marLeft w:val="0"/>
                                  <w:marRight w:val="0"/>
                                  <w:marTop w:val="0"/>
                                  <w:marBottom w:val="0"/>
                                  <w:divBdr>
                                    <w:top w:val="none" w:sz="0" w:space="0" w:color="auto"/>
                                    <w:left w:val="none" w:sz="0" w:space="0" w:color="auto"/>
                                    <w:bottom w:val="none" w:sz="0" w:space="0" w:color="auto"/>
                                    <w:right w:val="none" w:sz="0" w:space="0" w:color="auto"/>
                                  </w:divBdr>
                                  <w:divsChild>
                                    <w:div w:id="1794981370">
                                      <w:marLeft w:val="0"/>
                                      <w:marRight w:val="0"/>
                                      <w:marTop w:val="0"/>
                                      <w:marBottom w:val="0"/>
                                      <w:divBdr>
                                        <w:top w:val="none" w:sz="0" w:space="0" w:color="auto"/>
                                        <w:left w:val="none" w:sz="0" w:space="0" w:color="auto"/>
                                        <w:bottom w:val="none" w:sz="0" w:space="0" w:color="auto"/>
                                        <w:right w:val="none" w:sz="0" w:space="0" w:color="auto"/>
                                      </w:divBdr>
                                      <w:divsChild>
                                        <w:div w:id="290744950">
                                          <w:marLeft w:val="0"/>
                                          <w:marRight w:val="0"/>
                                          <w:marTop w:val="0"/>
                                          <w:marBottom w:val="0"/>
                                          <w:divBdr>
                                            <w:top w:val="none" w:sz="0" w:space="0" w:color="auto"/>
                                            <w:left w:val="none" w:sz="0" w:space="0" w:color="auto"/>
                                            <w:bottom w:val="none" w:sz="0" w:space="0" w:color="auto"/>
                                            <w:right w:val="none" w:sz="0" w:space="0" w:color="auto"/>
                                          </w:divBdr>
                                          <w:divsChild>
                                            <w:div w:id="132863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europa.eu/yourvoice/index_cs.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rl.europa.eu/stud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opa.eu" TargetMode="External"/><Relationship Id="rId5" Type="http://schemas.openxmlformats.org/officeDocument/2006/relationships/webSettings" Target="webSettings.xml"/><Relationship Id="rId15" Type="http://schemas.openxmlformats.org/officeDocument/2006/relationships/hyperlink" Target="http://www.ombudsman.europa.eu/cs/cases/followup.faces/cs/58401/html.bookmark" TargetMode="External"/><Relationship Id="rId10" Type="http://schemas.openxmlformats.org/officeDocument/2006/relationships/hyperlink" Target="http://eur-lex.europa.eu/legal-content/EN/ALL/?uri=CELEX:61983CJ0240" TargetMode="External"/><Relationship Id="rId4" Type="http://schemas.openxmlformats.org/officeDocument/2006/relationships/settings" Target="settings.xml"/><Relationship Id="rId9" Type="http://schemas.openxmlformats.org/officeDocument/2006/relationships/hyperlink" Target="http://www.europarl.europa.eu/studies" TargetMode="External"/><Relationship Id="rId14" Type="http://schemas.openxmlformats.org/officeDocument/2006/relationships/hyperlink" Target="http://eur-lex.europa.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 TargetMode="External"/><Relationship Id="rId13" Type="http://schemas.openxmlformats.org/officeDocument/2006/relationships/hyperlink" Target="http://www.szu.cz/uploads/documents/chzp/voda/pdf/monit/voda_2014.pdf" TargetMode="External"/><Relationship Id="rId18" Type="http://schemas.openxmlformats.org/officeDocument/2006/relationships/hyperlink" Target="http://ec.europa.eu/transparencyregister/public/homePage.do" TargetMode="External"/><Relationship Id="rId26" Type="http://schemas.openxmlformats.org/officeDocument/2006/relationships/hyperlink" Target="http://curia.europa.eu/jcms/upload/docs/application/pdf/2014-03/cp140034cs.pdf" TargetMode="External"/><Relationship Id="rId3" Type="http://schemas.openxmlformats.org/officeDocument/2006/relationships/hyperlink" Target="http://eur-lex.europa.eu" TargetMode="External"/><Relationship Id="rId21" Type="http://schemas.openxmlformats.org/officeDocument/2006/relationships/hyperlink" Target="http://ec.europa.eu/environment/consultations/pdf/water_questionnaire.zip" TargetMode="External"/><Relationship Id="rId7" Type="http://schemas.openxmlformats.org/officeDocument/2006/relationships/hyperlink" Target="http://eur-lex.europa.eu/" TargetMode="External"/><Relationship Id="rId12" Type="http://schemas.openxmlformats.org/officeDocument/2006/relationships/hyperlink" Target="http://www.eionet.europa.eu/gis/" TargetMode="External"/><Relationship Id="rId17" Type="http://schemas.openxmlformats.org/officeDocument/2006/relationships/hyperlink" Target="https://webgate.ec.europa.eu/notifications/homePage.do?locale=cs" TargetMode="External"/><Relationship Id="rId25" Type="http://schemas.openxmlformats.org/officeDocument/2006/relationships/hyperlink" Target="http://ec.europa.eu/environment/consultations/pdf/analysis_drinking_water.pdf" TargetMode="External"/><Relationship Id="rId2" Type="http://schemas.openxmlformats.org/officeDocument/2006/relationships/hyperlink" Target="http://eur-lex.europa.eu" TargetMode="External"/><Relationship Id="rId16" Type="http://schemas.openxmlformats.org/officeDocument/2006/relationships/hyperlink" Target="http://ec.europa.eu/yourvoice/index_cs.htm" TargetMode="External"/><Relationship Id="rId20" Type="http://schemas.openxmlformats.org/officeDocument/2006/relationships/hyperlink" Target="http://ec.europa.eu/transparency/regdoc/rep/1/2014/CS/1-2014-177-CS-F1-1-ANNEX-1.Pdf" TargetMode="External"/><Relationship Id="rId1" Type="http://schemas.openxmlformats.org/officeDocument/2006/relationships/hyperlink" Target="http://eur-lex.europa.eu/legal-content/EN/ALL/?uri=CELEX:61983CJ0240" TargetMode="External"/><Relationship Id="rId6" Type="http://schemas.openxmlformats.org/officeDocument/2006/relationships/hyperlink" Target="http://eur-lex.europa.eu/" TargetMode="External"/><Relationship Id="rId11" Type="http://schemas.openxmlformats.org/officeDocument/2006/relationships/hyperlink" Target="http://ec.europa.eu/prelex/apcnet.cfm?CL=en" TargetMode="External"/><Relationship Id="rId24" Type="http://schemas.openxmlformats.org/officeDocument/2006/relationships/hyperlink" Target="http://right2water.eu/news/struggle-right2water-continues" TargetMode="External"/><Relationship Id="rId5" Type="http://schemas.openxmlformats.org/officeDocument/2006/relationships/hyperlink" Target="http://www.eea.europa.eu/about-us/who/who-we-are" TargetMode="External"/><Relationship Id="rId15" Type="http://schemas.openxmlformats.org/officeDocument/2006/relationships/hyperlink" Target="http://www.eea.europa.eu/soer" TargetMode="External"/><Relationship Id="rId23" Type="http://schemas.openxmlformats.org/officeDocument/2006/relationships/hyperlink" Target="https://dm.eesc.europa.eu/EESCDocumentSearch/Pages/opinionsresults.aspx?k=(adoptiondate:2014/10/01..2014/10/31)(dossiername:NAT%20OR%20OLD-AGR%20OR%20OLD-ENV)(rapporteur:LE%20NOUAIL%20MARLIERE)(documentlanguage:EN)" TargetMode="External"/><Relationship Id="rId10" Type="http://schemas.openxmlformats.org/officeDocument/2006/relationships/hyperlink" Target="http://eur-lex.europa.eu/en/index.htm" TargetMode="External"/><Relationship Id="rId19" Type="http://schemas.openxmlformats.org/officeDocument/2006/relationships/hyperlink" Target="http://ec.europa.eu/citizens-initiative/public/initiatives/finalised/details/2012/000003" TargetMode="External"/><Relationship Id="rId4" Type="http://schemas.openxmlformats.org/officeDocument/2006/relationships/hyperlink" Target="http://ec.europa.eu/commission/sites/cwt/files/commissioner_ep_hearings/vella-statement_en.pdf" TargetMode="External"/><Relationship Id="rId9" Type="http://schemas.openxmlformats.org/officeDocument/2006/relationships/hyperlink" Target="http://ec.europa.eu/environment/contact/form_en.htm" TargetMode="External"/><Relationship Id="rId14" Type="http://schemas.openxmlformats.org/officeDocument/2006/relationships/hyperlink" Target="http://www.eea.europa.eu/publications/noise-in-europe-2014" TargetMode="External"/><Relationship Id="rId22" Type="http://schemas.openxmlformats.org/officeDocument/2006/relationships/hyperlink" Target="http://ec.europa.eu/environment/consultations/pdf/results_drinking_water.pdf" TargetMode="External"/><Relationship Id="rId27" Type="http://schemas.openxmlformats.org/officeDocument/2006/relationships/hyperlink" Target="http://www.ombudsman.europa.eu/cs/cases/followup.faces/cs/58401/html.bookmark"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9779F-52B1-4702-8D9F-3AE495C68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17866</TotalTime>
  <Pages>1</Pages>
  <Words>18635</Words>
  <Characters>109949</Characters>
  <Application>Microsoft Office Word</Application>
  <DocSecurity>0</DocSecurity>
  <Lines>916</Lines>
  <Paragraphs>256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 Tomaštík</cp:lastModifiedBy>
  <cp:revision>523</cp:revision>
  <dcterms:created xsi:type="dcterms:W3CDTF">2015-08-25T09:33:00Z</dcterms:created>
  <dcterms:modified xsi:type="dcterms:W3CDTF">2016-03-22T12:26:00Z</dcterms:modified>
</cp:coreProperties>
</file>