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EE" w:rsidRPr="00DA196C" w:rsidRDefault="003F43EE" w:rsidP="00362AA4">
      <w:pPr>
        <w:spacing w:after="0" w:line="360" w:lineRule="auto"/>
        <w:contextualSpacing/>
        <w:jc w:val="center"/>
        <w:rPr>
          <w:rFonts w:ascii="Garamond" w:hAnsi="Garamond" w:cs="Arial"/>
          <w:b/>
          <w:sz w:val="28"/>
          <w:szCs w:val="28"/>
        </w:rPr>
      </w:pPr>
      <w:r w:rsidRPr="00DA196C">
        <w:rPr>
          <w:rFonts w:ascii="Garamond" w:hAnsi="Garamond" w:cs="Arial"/>
          <w:b/>
          <w:sz w:val="28"/>
          <w:szCs w:val="28"/>
        </w:rPr>
        <w:t>Univerzita Palackého v</w:t>
      </w:r>
      <w:r w:rsidR="007F5B9F" w:rsidRPr="00DA196C">
        <w:rPr>
          <w:rFonts w:ascii="Garamond" w:hAnsi="Garamond" w:cs="Arial"/>
          <w:b/>
          <w:sz w:val="28"/>
          <w:szCs w:val="28"/>
        </w:rPr>
        <w:t> </w:t>
      </w:r>
      <w:r w:rsidRPr="00DA196C">
        <w:rPr>
          <w:rFonts w:ascii="Garamond" w:hAnsi="Garamond" w:cs="Arial"/>
          <w:b/>
          <w:sz w:val="28"/>
          <w:szCs w:val="28"/>
        </w:rPr>
        <w:t>Olomouci</w:t>
      </w:r>
    </w:p>
    <w:p w:rsidR="007F5B9F" w:rsidRPr="00DA196C" w:rsidRDefault="007F5B9F" w:rsidP="00362AA4">
      <w:pPr>
        <w:spacing w:after="0" w:line="360" w:lineRule="auto"/>
        <w:contextualSpacing/>
        <w:jc w:val="center"/>
        <w:rPr>
          <w:rFonts w:ascii="Garamond" w:hAnsi="Garamond" w:cs="Arial"/>
          <w:b/>
          <w:sz w:val="28"/>
          <w:szCs w:val="28"/>
        </w:rPr>
      </w:pPr>
      <w:r w:rsidRPr="00DA196C">
        <w:rPr>
          <w:rFonts w:ascii="Garamond" w:hAnsi="Garamond" w:cs="Arial"/>
          <w:b/>
          <w:sz w:val="28"/>
          <w:szCs w:val="28"/>
        </w:rPr>
        <w:t>Právnická fakulta</w:t>
      </w: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E67CB9" w:rsidRPr="00DA196C" w:rsidRDefault="00E67CB9" w:rsidP="00362AA4">
      <w:pPr>
        <w:spacing w:after="0" w:line="360" w:lineRule="auto"/>
        <w:contextualSpacing/>
        <w:jc w:val="center"/>
        <w:rPr>
          <w:rFonts w:ascii="Garamond" w:hAnsi="Garamond" w:cs="Arial"/>
          <w:b/>
        </w:rPr>
      </w:pPr>
    </w:p>
    <w:p w:rsidR="00E67CB9" w:rsidRPr="00DA196C" w:rsidRDefault="00E67CB9"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sz w:val="32"/>
          <w:szCs w:val="32"/>
        </w:rPr>
      </w:pPr>
      <w:r w:rsidRPr="00DA196C">
        <w:rPr>
          <w:rFonts w:ascii="Garamond" w:hAnsi="Garamond" w:cs="Arial"/>
          <w:b/>
          <w:sz w:val="32"/>
          <w:szCs w:val="32"/>
        </w:rPr>
        <w:t>Karolína Vykopalová</w:t>
      </w:r>
    </w:p>
    <w:p w:rsidR="007F5B9F" w:rsidRPr="00DA196C" w:rsidRDefault="007F5B9F" w:rsidP="00362AA4">
      <w:pPr>
        <w:spacing w:after="0" w:line="360" w:lineRule="auto"/>
        <w:contextualSpacing/>
        <w:jc w:val="center"/>
        <w:rPr>
          <w:rFonts w:ascii="Garamond" w:hAnsi="Garamond" w:cs="Arial"/>
          <w:b/>
          <w:sz w:val="32"/>
          <w:szCs w:val="32"/>
        </w:rPr>
      </w:pPr>
    </w:p>
    <w:p w:rsidR="007F5B9F" w:rsidRPr="00DA196C" w:rsidRDefault="007F5B9F" w:rsidP="00362AA4">
      <w:pPr>
        <w:spacing w:after="0" w:line="360" w:lineRule="auto"/>
        <w:contextualSpacing/>
        <w:jc w:val="center"/>
        <w:rPr>
          <w:rFonts w:ascii="Garamond" w:hAnsi="Garamond" w:cs="Arial"/>
          <w:b/>
          <w:sz w:val="32"/>
          <w:szCs w:val="32"/>
        </w:rPr>
      </w:pPr>
      <w:r w:rsidRPr="00DA196C">
        <w:rPr>
          <w:rFonts w:ascii="Garamond" w:hAnsi="Garamond" w:cs="Arial"/>
          <w:b/>
          <w:sz w:val="32"/>
          <w:szCs w:val="32"/>
        </w:rPr>
        <w:t>Reivindikace v římském právu se zaměřením na civilní proces</w:t>
      </w: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sz w:val="28"/>
          <w:szCs w:val="28"/>
        </w:rPr>
      </w:pPr>
      <w:r w:rsidRPr="00DA196C">
        <w:rPr>
          <w:rFonts w:ascii="Garamond" w:hAnsi="Garamond" w:cs="Arial"/>
          <w:b/>
          <w:sz w:val="28"/>
          <w:szCs w:val="28"/>
        </w:rPr>
        <w:t>Diplomová práce</w:t>
      </w: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E67CB9" w:rsidRPr="00DA196C" w:rsidRDefault="00E67CB9" w:rsidP="00362AA4">
      <w:pPr>
        <w:spacing w:after="0" w:line="360" w:lineRule="auto"/>
        <w:contextualSpacing/>
        <w:jc w:val="center"/>
        <w:rPr>
          <w:rFonts w:ascii="Garamond" w:hAnsi="Garamond" w:cs="Arial"/>
          <w:b/>
        </w:rPr>
      </w:pPr>
    </w:p>
    <w:p w:rsidR="00E67CB9" w:rsidRPr="00DA196C" w:rsidRDefault="00E67CB9" w:rsidP="00362AA4">
      <w:pPr>
        <w:spacing w:after="0" w:line="360" w:lineRule="auto"/>
        <w:contextualSpacing/>
        <w:jc w:val="center"/>
        <w:rPr>
          <w:rFonts w:ascii="Garamond" w:hAnsi="Garamond" w:cs="Arial"/>
          <w:b/>
        </w:rPr>
      </w:pPr>
    </w:p>
    <w:p w:rsidR="00E67CB9" w:rsidRPr="00DA196C" w:rsidRDefault="00E67CB9" w:rsidP="00362AA4">
      <w:pPr>
        <w:spacing w:after="0" w:line="360" w:lineRule="auto"/>
        <w:contextualSpacing/>
        <w:jc w:val="center"/>
        <w:rPr>
          <w:rFonts w:ascii="Garamond" w:hAnsi="Garamond" w:cs="Arial"/>
          <w:b/>
        </w:rPr>
      </w:pPr>
    </w:p>
    <w:p w:rsidR="00E67CB9" w:rsidRPr="00DA196C" w:rsidRDefault="00E67CB9" w:rsidP="00362AA4">
      <w:pPr>
        <w:spacing w:after="0" w:line="360" w:lineRule="auto"/>
        <w:contextualSpacing/>
        <w:jc w:val="center"/>
        <w:rPr>
          <w:rFonts w:ascii="Garamond" w:hAnsi="Garamond" w:cs="Arial"/>
          <w:b/>
        </w:rPr>
      </w:pPr>
    </w:p>
    <w:p w:rsidR="00E67CB9" w:rsidRPr="00DA196C" w:rsidRDefault="00E67CB9"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7F5B9F" w:rsidP="00362AA4">
      <w:pPr>
        <w:spacing w:after="0" w:line="360" w:lineRule="auto"/>
        <w:contextualSpacing/>
        <w:jc w:val="center"/>
        <w:rPr>
          <w:rFonts w:ascii="Garamond" w:hAnsi="Garamond" w:cs="Arial"/>
          <w:b/>
        </w:rPr>
      </w:pPr>
    </w:p>
    <w:p w:rsidR="007F5B9F" w:rsidRPr="00DA196C" w:rsidRDefault="00552AD2" w:rsidP="00362AA4">
      <w:pPr>
        <w:spacing w:after="0" w:line="360" w:lineRule="auto"/>
        <w:contextualSpacing/>
        <w:jc w:val="center"/>
        <w:rPr>
          <w:rFonts w:ascii="Garamond" w:hAnsi="Garamond" w:cs="Arial"/>
          <w:b/>
          <w:sz w:val="28"/>
          <w:szCs w:val="28"/>
        </w:rPr>
      </w:pPr>
      <w:r w:rsidRPr="00DA196C">
        <w:rPr>
          <w:rFonts w:ascii="Garamond" w:hAnsi="Garamond" w:cs="Arial"/>
          <w:b/>
          <w:sz w:val="28"/>
          <w:szCs w:val="28"/>
        </w:rPr>
        <w:t>Olomouc 2020</w:t>
      </w: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p>
    <w:p w:rsidR="0016608E" w:rsidRPr="00DA196C" w:rsidRDefault="007F5B9F" w:rsidP="00FA1FF7">
      <w:pPr>
        <w:spacing w:after="0" w:line="360" w:lineRule="auto"/>
        <w:contextualSpacing/>
        <w:jc w:val="both"/>
        <w:rPr>
          <w:rFonts w:ascii="Garamond" w:hAnsi="Garamond"/>
          <w:sz w:val="24"/>
          <w:szCs w:val="24"/>
        </w:rPr>
      </w:pPr>
      <w:r w:rsidRPr="00DA196C">
        <w:rPr>
          <w:rFonts w:ascii="Garamond" w:hAnsi="Garamond"/>
          <w:sz w:val="24"/>
          <w:szCs w:val="24"/>
        </w:rPr>
        <w:t xml:space="preserve">Prohlašuji, že jsem diplomovou práci na téma </w:t>
      </w:r>
      <w:r w:rsidR="0016608E" w:rsidRPr="00DA196C">
        <w:rPr>
          <w:rFonts w:ascii="Garamond" w:hAnsi="Garamond"/>
          <w:sz w:val="24"/>
          <w:szCs w:val="24"/>
        </w:rPr>
        <w:t>„</w:t>
      </w:r>
      <w:r w:rsidRPr="00DA196C">
        <w:rPr>
          <w:rFonts w:ascii="Garamond" w:hAnsi="Garamond"/>
          <w:sz w:val="24"/>
          <w:szCs w:val="24"/>
        </w:rPr>
        <w:t>Reivindikace v římském právu se zaměřením na civilní proces</w:t>
      </w:r>
      <w:r w:rsidR="0016608E" w:rsidRPr="00DA196C">
        <w:rPr>
          <w:rFonts w:ascii="Garamond" w:hAnsi="Garamond"/>
          <w:sz w:val="24"/>
          <w:szCs w:val="24"/>
        </w:rPr>
        <w:t>“ vypracovala samostatně a citoval</w:t>
      </w:r>
      <w:r w:rsidRPr="00DA196C">
        <w:rPr>
          <w:rFonts w:ascii="Garamond" w:hAnsi="Garamond"/>
          <w:sz w:val="24"/>
          <w:szCs w:val="24"/>
        </w:rPr>
        <w:t xml:space="preserve">a jsem všechny použité zdroje. </w:t>
      </w:r>
    </w:p>
    <w:p w:rsidR="0016608E" w:rsidRPr="00DA196C" w:rsidRDefault="0016608E" w:rsidP="00FA1FF7">
      <w:pPr>
        <w:spacing w:after="0" w:line="360" w:lineRule="auto"/>
        <w:contextualSpacing/>
        <w:jc w:val="both"/>
        <w:rPr>
          <w:rFonts w:ascii="Garamond" w:hAnsi="Garamond"/>
          <w:sz w:val="24"/>
          <w:szCs w:val="24"/>
        </w:rPr>
      </w:pPr>
    </w:p>
    <w:p w:rsidR="00DA196C" w:rsidRPr="00DA196C" w:rsidRDefault="00DA196C" w:rsidP="00FA1FF7">
      <w:pPr>
        <w:spacing w:after="0" w:line="360" w:lineRule="auto"/>
        <w:contextualSpacing/>
        <w:jc w:val="both"/>
        <w:rPr>
          <w:rFonts w:ascii="Garamond" w:hAnsi="Garamond"/>
          <w:sz w:val="24"/>
          <w:szCs w:val="24"/>
        </w:rPr>
      </w:pPr>
    </w:p>
    <w:p w:rsidR="00DA196C" w:rsidRPr="00DA196C" w:rsidRDefault="00DA196C" w:rsidP="00FA1FF7">
      <w:pPr>
        <w:spacing w:after="0" w:line="360" w:lineRule="auto"/>
        <w:contextualSpacing/>
        <w:jc w:val="both"/>
        <w:rPr>
          <w:rFonts w:ascii="Garamond" w:hAnsi="Garamond"/>
          <w:sz w:val="24"/>
          <w:szCs w:val="24"/>
        </w:rPr>
      </w:pPr>
    </w:p>
    <w:p w:rsidR="0016608E" w:rsidRPr="00DA196C" w:rsidRDefault="0016608E" w:rsidP="00FA1FF7">
      <w:pPr>
        <w:spacing w:after="0" w:line="360" w:lineRule="auto"/>
        <w:contextualSpacing/>
        <w:jc w:val="both"/>
        <w:rPr>
          <w:rFonts w:ascii="Garamond" w:hAnsi="Garamond"/>
          <w:sz w:val="24"/>
          <w:szCs w:val="24"/>
        </w:rPr>
      </w:pPr>
      <w:r w:rsidRPr="00DA196C">
        <w:rPr>
          <w:rFonts w:ascii="Garamond" w:hAnsi="Garamond"/>
          <w:sz w:val="24"/>
          <w:szCs w:val="24"/>
        </w:rPr>
        <w:t>V Olomouci</w:t>
      </w:r>
      <w:r w:rsidR="00DA196C" w:rsidRPr="00DA196C">
        <w:rPr>
          <w:rFonts w:ascii="Garamond" w:hAnsi="Garamond"/>
          <w:sz w:val="24"/>
          <w:szCs w:val="24"/>
        </w:rPr>
        <w:t xml:space="preserve"> dne 31. 3. 2020</w:t>
      </w:r>
      <w:r w:rsidR="007F5B9F" w:rsidRPr="00DA196C">
        <w:rPr>
          <w:rFonts w:ascii="Garamond" w:hAnsi="Garamond"/>
          <w:sz w:val="24"/>
          <w:szCs w:val="24"/>
        </w:rPr>
        <w:t xml:space="preserve"> </w:t>
      </w:r>
      <w:r w:rsidR="00DA196C" w:rsidRPr="00DA196C">
        <w:rPr>
          <w:rFonts w:ascii="Garamond" w:hAnsi="Garamond"/>
          <w:sz w:val="24"/>
          <w:szCs w:val="24"/>
        </w:rPr>
        <w:tab/>
      </w:r>
      <w:r w:rsidR="00DA196C" w:rsidRPr="00DA196C">
        <w:rPr>
          <w:rFonts w:ascii="Garamond" w:hAnsi="Garamond"/>
          <w:sz w:val="24"/>
          <w:szCs w:val="24"/>
        </w:rPr>
        <w:tab/>
      </w:r>
      <w:r w:rsidR="00DA196C" w:rsidRPr="00DA196C">
        <w:rPr>
          <w:rFonts w:ascii="Garamond" w:hAnsi="Garamond"/>
          <w:sz w:val="24"/>
          <w:szCs w:val="24"/>
        </w:rPr>
        <w:tab/>
      </w:r>
      <w:r w:rsidR="00DA196C" w:rsidRPr="00DA196C">
        <w:rPr>
          <w:rFonts w:ascii="Garamond" w:hAnsi="Garamond"/>
          <w:sz w:val="24"/>
          <w:szCs w:val="24"/>
        </w:rPr>
        <w:tab/>
      </w:r>
      <w:r w:rsidR="00DA196C" w:rsidRPr="00DA196C">
        <w:rPr>
          <w:rFonts w:ascii="Garamond" w:hAnsi="Garamond"/>
          <w:sz w:val="24"/>
          <w:szCs w:val="24"/>
        </w:rPr>
        <w:tab/>
      </w:r>
      <w:r w:rsidR="00DA196C" w:rsidRPr="00DA196C">
        <w:rPr>
          <w:rFonts w:ascii="Garamond" w:hAnsi="Garamond"/>
          <w:sz w:val="24"/>
          <w:szCs w:val="24"/>
        </w:rPr>
        <w:tab/>
      </w:r>
      <w:r w:rsidR="00DA196C" w:rsidRPr="00DA196C">
        <w:rPr>
          <w:rFonts w:ascii="Garamond" w:hAnsi="Garamond"/>
          <w:sz w:val="24"/>
          <w:szCs w:val="24"/>
        </w:rPr>
        <w:tab/>
        <w:t xml:space="preserve">Karolína </w:t>
      </w:r>
      <w:proofErr w:type="spellStart"/>
      <w:r w:rsidR="00DA196C" w:rsidRPr="00DA196C">
        <w:rPr>
          <w:rFonts w:ascii="Garamond" w:hAnsi="Garamond"/>
          <w:sz w:val="24"/>
          <w:szCs w:val="24"/>
        </w:rPr>
        <w:t>Vykopalová</w:t>
      </w:r>
      <w:proofErr w:type="spellEnd"/>
    </w:p>
    <w:p w:rsidR="00096074" w:rsidRDefault="0016608E" w:rsidP="00FA1FF7">
      <w:pPr>
        <w:spacing w:after="0" w:line="360" w:lineRule="auto"/>
        <w:contextualSpacing/>
        <w:jc w:val="both"/>
        <w:rPr>
          <w:rFonts w:ascii="Garamond" w:hAnsi="Garamond"/>
          <w:sz w:val="24"/>
          <w:szCs w:val="24"/>
        </w:rPr>
      </w:pPr>
      <w:r w:rsidRPr="00DA196C">
        <w:rPr>
          <w:rFonts w:ascii="Garamond" w:hAnsi="Garamond"/>
          <w:sz w:val="24"/>
          <w:szCs w:val="24"/>
        </w:rPr>
        <w:br w:type="page"/>
      </w:r>
    </w:p>
    <w:p w:rsidR="00096074" w:rsidRDefault="000B769C" w:rsidP="000B769C">
      <w:pPr>
        <w:tabs>
          <w:tab w:val="left" w:pos="3366"/>
        </w:tabs>
        <w:spacing w:line="360" w:lineRule="auto"/>
        <w:contextualSpacing/>
        <w:jc w:val="both"/>
        <w:rPr>
          <w:rFonts w:ascii="Garamond" w:hAnsi="Garamond"/>
          <w:sz w:val="24"/>
          <w:szCs w:val="24"/>
        </w:rPr>
      </w:pPr>
      <w:r>
        <w:rPr>
          <w:rFonts w:ascii="Garamond" w:hAnsi="Garamond"/>
          <w:sz w:val="24"/>
          <w:szCs w:val="24"/>
        </w:rPr>
        <w:lastRenderedPageBreak/>
        <w:tab/>
      </w: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B769C" w:rsidRDefault="000B769C" w:rsidP="000B769C">
      <w:pPr>
        <w:tabs>
          <w:tab w:val="left" w:pos="3366"/>
        </w:tabs>
        <w:spacing w:line="360" w:lineRule="auto"/>
        <w:contextualSpacing/>
        <w:jc w:val="both"/>
        <w:rPr>
          <w:rFonts w:ascii="Garamond" w:hAnsi="Garamond"/>
          <w:sz w:val="24"/>
          <w:szCs w:val="24"/>
        </w:rPr>
      </w:pPr>
    </w:p>
    <w:p w:rsidR="00096074" w:rsidRPr="000B769C" w:rsidRDefault="000B769C" w:rsidP="00FA1FF7">
      <w:pPr>
        <w:spacing w:after="0" w:line="360" w:lineRule="auto"/>
        <w:contextualSpacing/>
        <w:jc w:val="both"/>
        <w:rPr>
          <w:rFonts w:ascii="Garamond" w:hAnsi="Garamond"/>
          <w:sz w:val="24"/>
          <w:szCs w:val="24"/>
        </w:rPr>
      </w:pPr>
      <w:r w:rsidRPr="000B769C">
        <w:rPr>
          <w:rFonts w:ascii="Garamond" w:hAnsi="Garamond"/>
          <w:sz w:val="24"/>
          <w:szCs w:val="24"/>
        </w:rPr>
        <w:t xml:space="preserve">Úvodem bych ráda poděkovala paní JUDr. Kamile </w:t>
      </w:r>
      <w:proofErr w:type="spellStart"/>
      <w:r w:rsidRPr="000B769C">
        <w:rPr>
          <w:rFonts w:ascii="Garamond" w:hAnsi="Garamond"/>
          <w:sz w:val="24"/>
          <w:szCs w:val="24"/>
        </w:rPr>
        <w:t>Bubelové</w:t>
      </w:r>
      <w:proofErr w:type="spellEnd"/>
      <w:r w:rsidRPr="000B769C">
        <w:rPr>
          <w:rFonts w:ascii="Garamond" w:hAnsi="Garamond"/>
          <w:sz w:val="24"/>
          <w:szCs w:val="24"/>
        </w:rPr>
        <w:t xml:space="preserve">, </w:t>
      </w:r>
      <w:proofErr w:type="spellStart"/>
      <w:r w:rsidRPr="000B769C">
        <w:rPr>
          <w:rFonts w:ascii="Garamond" w:hAnsi="Garamond"/>
          <w:sz w:val="24"/>
          <w:szCs w:val="24"/>
        </w:rPr>
        <w:t>Ph.D</w:t>
      </w:r>
      <w:proofErr w:type="spellEnd"/>
      <w:r w:rsidRPr="000B769C">
        <w:rPr>
          <w:rFonts w:ascii="Garamond" w:hAnsi="Garamond"/>
          <w:sz w:val="24"/>
          <w:szCs w:val="24"/>
        </w:rPr>
        <w:t xml:space="preserve">. za její pomoc při zpracování této diplomové práce a za skvělou výuku římského práva. </w:t>
      </w:r>
    </w:p>
    <w:p w:rsidR="00DA196C" w:rsidRPr="00096074" w:rsidRDefault="00096074" w:rsidP="00FA1FF7">
      <w:pPr>
        <w:spacing w:line="360" w:lineRule="auto"/>
        <w:contextualSpacing/>
        <w:jc w:val="both"/>
        <w:rPr>
          <w:rFonts w:ascii="Garamond" w:hAnsi="Garamond"/>
          <w:sz w:val="24"/>
          <w:szCs w:val="24"/>
          <w:highlight w:val="yellow"/>
        </w:rPr>
      </w:pPr>
      <w:r>
        <w:rPr>
          <w:rFonts w:ascii="Garamond" w:hAnsi="Garamond"/>
          <w:sz w:val="24"/>
          <w:szCs w:val="24"/>
          <w:highlight w:val="yellow"/>
        </w:rPr>
        <w:br w:type="page"/>
      </w:r>
    </w:p>
    <w:sdt>
      <w:sdtPr>
        <w:rPr>
          <w:rFonts w:ascii="Garamond" w:hAnsi="Garamond"/>
        </w:rPr>
        <w:id w:val="821254651"/>
        <w:docPartObj>
          <w:docPartGallery w:val="Table of Contents"/>
          <w:docPartUnique/>
        </w:docPartObj>
      </w:sdtPr>
      <w:sdtEndPr>
        <w:rPr>
          <w:rFonts w:eastAsiaTheme="minorHAnsi" w:cstheme="minorBidi"/>
          <w:b w:val="0"/>
          <w:bCs w:val="0"/>
          <w:color w:val="auto"/>
          <w:sz w:val="22"/>
          <w:szCs w:val="22"/>
        </w:rPr>
      </w:sdtEndPr>
      <w:sdtContent>
        <w:p w:rsidR="00DA196C" w:rsidRPr="00DA196C" w:rsidRDefault="00DA196C" w:rsidP="00FA1FF7">
          <w:pPr>
            <w:pStyle w:val="Nadpisobsahu"/>
            <w:spacing w:line="360" w:lineRule="auto"/>
            <w:contextualSpacing/>
            <w:jc w:val="both"/>
            <w:rPr>
              <w:rFonts w:ascii="Garamond" w:hAnsi="Garamond"/>
              <w:color w:val="auto"/>
            </w:rPr>
          </w:pPr>
          <w:r w:rsidRPr="00096074">
            <w:rPr>
              <w:rStyle w:val="Nadpis1Char"/>
              <w:color w:val="auto"/>
            </w:rPr>
            <w:t>Obsah</w:t>
          </w:r>
        </w:p>
        <w:p w:rsidR="00E81592" w:rsidRDefault="00DA196C">
          <w:pPr>
            <w:pStyle w:val="Obsah1"/>
            <w:rPr>
              <w:rFonts w:eastAsiaTheme="minorEastAsia"/>
              <w:noProof/>
              <w:lang w:eastAsia="cs-CZ"/>
            </w:rPr>
          </w:pPr>
          <w:r w:rsidRPr="00DA196C">
            <w:rPr>
              <w:rFonts w:ascii="Garamond" w:hAnsi="Garamond"/>
            </w:rPr>
            <w:fldChar w:fldCharType="begin"/>
          </w:r>
          <w:r w:rsidRPr="00DA196C">
            <w:rPr>
              <w:rFonts w:ascii="Garamond" w:hAnsi="Garamond"/>
            </w:rPr>
            <w:instrText xml:space="preserve"> TOC \o "1-3" \h \z \u </w:instrText>
          </w:r>
          <w:r w:rsidRPr="00DA196C">
            <w:rPr>
              <w:rFonts w:ascii="Garamond" w:hAnsi="Garamond"/>
            </w:rPr>
            <w:fldChar w:fldCharType="separate"/>
          </w:r>
          <w:hyperlink w:anchor="_Toc36031929" w:history="1">
            <w:r w:rsidR="00E81592" w:rsidRPr="00C96849">
              <w:rPr>
                <w:rStyle w:val="Hypertextovodkaz"/>
                <w:noProof/>
              </w:rPr>
              <w:t>Úvod</w:t>
            </w:r>
            <w:r w:rsidR="00E81592">
              <w:rPr>
                <w:noProof/>
                <w:webHidden/>
              </w:rPr>
              <w:tab/>
            </w:r>
            <w:r w:rsidR="00E81592">
              <w:rPr>
                <w:noProof/>
                <w:webHidden/>
              </w:rPr>
              <w:fldChar w:fldCharType="begin"/>
            </w:r>
            <w:r w:rsidR="00E81592">
              <w:rPr>
                <w:noProof/>
                <w:webHidden/>
              </w:rPr>
              <w:instrText xml:space="preserve"> PAGEREF _Toc36031929 \h </w:instrText>
            </w:r>
            <w:r w:rsidR="00E81592">
              <w:rPr>
                <w:noProof/>
                <w:webHidden/>
              </w:rPr>
            </w:r>
            <w:r w:rsidR="00E81592">
              <w:rPr>
                <w:noProof/>
                <w:webHidden/>
              </w:rPr>
              <w:fldChar w:fldCharType="separate"/>
            </w:r>
            <w:r w:rsidR="00E81592">
              <w:rPr>
                <w:noProof/>
                <w:webHidden/>
              </w:rPr>
              <w:t>6</w:t>
            </w:r>
            <w:r w:rsidR="00E81592">
              <w:rPr>
                <w:noProof/>
                <w:webHidden/>
              </w:rPr>
              <w:fldChar w:fldCharType="end"/>
            </w:r>
          </w:hyperlink>
        </w:p>
        <w:p w:rsidR="00E81592" w:rsidRDefault="00E81592">
          <w:pPr>
            <w:pStyle w:val="Obsah1"/>
            <w:rPr>
              <w:rFonts w:eastAsiaTheme="minorEastAsia"/>
              <w:noProof/>
              <w:lang w:eastAsia="cs-CZ"/>
            </w:rPr>
          </w:pPr>
          <w:hyperlink w:anchor="_Toc36031930" w:history="1">
            <w:r w:rsidRPr="00C96849">
              <w:rPr>
                <w:rStyle w:val="Hypertextovodkaz"/>
                <w:noProof/>
              </w:rPr>
              <w:t>1</w:t>
            </w:r>
            <w:r>
              <w:rPr>
                <w:rFonts w:eastAsiaTheme="minorEastAsia"/>
                <w:noProof/>
                <w:lang w:eastAsia="cs-CZ"/>
              </w:rPr>
              <w:tab/>
            </w:r>
            <w:r w:rsidRPr="00C96849">
              <w:rPr>
                <w:rStyle w:val="Hypertextovodkaz"/>
                <w:noProof/>
              </w:rPr>
              <w:t>O reivindikační žalobě obecně</w:t>
            </w:r>
            <w:r>
              <w:rPr>
                <w:noProof/>
                <w:webHidden/>
              </w:rPr>
              <w:tab/>
            </w:r>
            <w:r>
              <w:rPr>
                <w:noProof/>
                <w:webHidden/>
              </w:rPr>
              <w:fldChar w:fldCharType="begin"/>
            </w:r>
            <w:r>
              <w:rPr>
                <w:noProof/>
                <w:webHidden/>
              </w:rPr>
              <w:instrText xml:space="preserve"> PAGEREF _Toc36031930 \h </w:instrText>
            </w:r>
            <w:r>
              <w:rPr>
                <w:noProof/>
                <w:webHidden/>
              </w:rPr>
            </w:r>
            <w:r>
              <w:rPr>
                <w:noProof/>
                <w:webHidden/>
              </w:rPr>
              <w:fldChar w:fldCharType="separate"/>
            </w:r>
            <w:r>
              <w:rPr>
                <w:noProof/>
                <w:webHidden/>
              </w:rPr>
              <w:t>8</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31" w:history="1">
            <w:r w:rsidRPr="00C96849">
              <w:rPr>
                <w:rStyle w:val="Hypertextovodkaz"/>
                <w:noProof/>
              </w:rPr>
              <w:t>1.1</w:t>
            </w:r>
            <w:r>
              <w:rPr>
                <w:rFonts w:eastAsiaTheme="minorEastAsia"/>
                <w:noProof/>
                <w:lang w:eastAsia="cs-CZ"/>
              </w:rPr>
              <w:tab/>
            </w:r>
            <w:r w:rsidRPr="00C96849">
              <w:rPr>
                <w:rStyle w:val="Hypertextovodkaz"/>
                <w:noProof/>
              </w:rPr>
              <w:t>Pojem rei vindicatio</w:t>
            </w:r>
            <w:r>
              <w:rPr>
                <w:noProof/>
                <w:webHidden/>
              </w:rPr>
              <w:tab/>
            </w:r>
            <w:r>
              <w:rPr>
                <w:noProof/>
                <w:webHidden/>
              </w:rPr>
              <w:fldChar w:fldCharType="begin"/>
            </w:r>
            <w:r>
              <w:rPr>
                <w:noProof/>
                <w:webHidden/>
              </w:rPr>
              <w:instrText xml:space="preserve"> PAGEREF _Toc36031931 \h </w:instrText>
            </w:r>
            <w:r>
              <w:rPr>
                <w:noProof/>
                <w:webHidden/>
              </w:rPr>
            </w:r>
            <w:r>
              <w:rPr>
                <w:noProof/>
                <w:webHidden/>
              </w:rPr>
              <w:fldChar w:fldCharType="separate"/>
            </w:r>
            <w:r>
              <w:rPr>
                <w:noProof/>
                <w:webHidden/>
              </w:rPr>
              <w:t>8</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32" w:history="1">
            <w:r w:rsidRPr="00C96849">
              <w:rPr>
                <w:rStyle w:val="Hypertextovodkaz"/>
                <w:noProof/>
              </w:rPr>
              <w:t>1.2</w:t>
            </w:r>
            <w:r>
              <w:rPr>
                <w:rFonts w:eastAsiaTheme="minorEastAsia"/>
                <w:noProof/>
                <w:lang w:eastAsia="cs-CZ"/>
              </w:rPr>
              <w:tab/>
            </w:r>
            <w:r w:rsidRPr="00C96849">
              <w:rPr>
                <w:rStyle w:val="Hypertextovodkaz"/>
                <w:noProof/>
              </w:rPr>
              <w:t>Vývoj reivindikační žaloby</w:t>
            </w:r>
            <w:r>
              <w:rPr>
                <w:noProof/>
                <w:webHidden/>
              </w:rPr>
              <w:tab/>
            </w:r>
            <w:r>
              <w:rPr>
                <w:noProof/>
                <w:webHidden/>
              </w:rPr>
              <w:fldChar w:fldCharType="begin"/>
            </w:r>
            <w:r>
              <w:rPr>
                <w:noProof/>
                <w:webHidden/>
              </w:rPr>
              <w:instrText xml:space="preserve"> PAGEREF _Toc36031932 \h </w:instrText>
            </w:r>
            <w:r>
              <w:rPr>
                <w:noProof/>
                <w:webHidden/>
              </w:rPr>
            </w:r>
            <w:r>
              <w:rPr>
                <w:noProof/>
                <w:webHidden/>
              </w:rPr>
              <w:fldChar w:fldCharType="separate"/>
            </w:r>
            <w:r>
              <w:rPr>
                <w:noProof/>
                <w:webHidden/>
              </w:rPr>
              <w:t>8</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33" w:history="1">
            <w:r w:rsidRPr="00C96849">
              <w:rPr>
                <w:rStyle w:val="Hypertextovodkaz"/>
                <w:noProof/>
              </w:rPr>
              <w:t>1.2.1</w:t>
            </w:r>
            <w:r>
              <w:rPr>
                <w:rFonts w:eastAsiaTheme="minorEastAsia"/>
                <w:noProof/>
                <w:lang w:eastAsia="cs-CZ"/>
              </w:rPr>
              <w:tab/>
            </w:r>
            <w:r w:rsidRPr="00C96849">
              <w:rPr>
                <w:rStyle w:val="Hypertextovodkaz"/>
                <w:noProof/>
              </w:rPr>
              <w:t>Legisakční proces</w:t>
            </w:r>
            <w:r>
              <w:rPr>
                <w:noProof/>
                <w:webHidden/>
              </w:rPr>
              <w:tab/>
            </w:r>
            <w:r>
              <w:rPr>
                <w:noProof/>
                <w:webHidden/>
              </w:rPr>
              <w:fldChar w:fldCharType="begin"/>
            </w:r>
            <w:r>
              <w:rPr>
                <w:noProof/>
                <w:webHidden/>
              </w:rPr>
              <w:instrText xml:space="preserve"> PAGEREF _Toc36031933 \h </w:instrText>
            </w:r>
            <w:r>
              <w:rPr>
                <w:noProof/>
                <w:webHidden/>
              </w:rPr>
            </w:r>
            <w:r>
              <w:rPr>
                <w:noProof/>
                <w:webHidden/>
              </w:rPr>
              <w:fldChar w:fldCharType="separate"/>
            </w:r>
            <w:r>
              <w:rPr>
                <w:noProof/>
                <w:webHidden/>
              </w:rPr>
              <w:t>8</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34" w:history="1">
            <w:r w:rsidRPr="00C96849">
              <w:rPr>
                <w:rStyle w:val="Hypertextovodkaz"/>
                <w:noProof/>
              </w:rPr>
              <w:t>1.2.2</w:t>
            </w:r>
            <w:r>
              <w:rPr>
                <w:rFonts w:eastAsiaTheme="minorEastAsia"/>
                <w:noProof/>
                <w:lang w:eastAsia="cs-CZ"/>
              </w:rPr>
              <w:tab/>
            </w:r>
            <w:r w:rsidRPr="00C96849">
              <w:rPr>
                <w:rStyle w:val="Hypertextovodkaz"/>
                <w:noProof/>
              </w:rPr>
              <w:t>Formulový proces</w:t>
            </w:r>
            <w:r>
              <w:rPr>
                <w:noProof/>
                <w:webHidden/>
              </w:rPr>
              <w:tab/>
            </w:r>
            <w:r>
              <w:rPr>
                <w:noProof/>
                <w:webHidden/>
              </w:rPr>
              <w:fldChar w:fldCharType="begin"/>
            </w:r>
            <w:r>
              <w:rPr>
                <w:noProof/>
                <w:webHidden/>
              </w:rPr>
              <w:instrText xml:space="preserve"> PAGEREF _Toc36031934 \h </w:instrText>
            </w:r>
            <w:r>
              <w:rPr>
                <w:noProof/>
                <w:webHidden/>
              </w:rPr>
            </w:r>
            <w:r>
              <w:rPr>
                <w:noProof/>
                <w:webHidden/>
              </w:rPr>
              <w:fldChar w:fldCharType="separate"/>
            </w:r>
            <w:r>
              <w:rPr>
                <w:noProof/>
                <w:webHidden/>
              </w:rPr>
              <w:t>10</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35" w:history="1">
            <w:r w:rsidRPr="00C96849">
              <w:rPr>
                <w:rStyle w:val="Hypertextovodkaz"/>
                <w:noProof/>
              </w:rPr>
              <w:t>1.2.3</w:t>
            </w:r>
            <w:r>
              <w:rPr>
                <w:rFonts w:eastAsiaTheme="minorEastAsia"/>
                <w:noProof/>
                <w:lang w:eastAsia="cs-CZ"/>
              </w:rPr>
              <w:tab/>
            </w:r>
            <w:r w:rsidRPr="00C96849">
              <w:rPr>
                <w:rStyle w:val="Hypertextovodkaz"/>
                <w:noProof/>
              </w:rPr>
              <w:t>Úřednický proces</w:t>
            </w:r>
            <w:r>
              <w:rPr>
                <w:noProof/>
                <w:webHidden/>
              </w:rPr>
              <w:tab/>
            </w:r>
            <w:r>
              <w:rPr>
                <w:noProof/>
                <w:webHidden/>
              </w:rPr>
              <w:fldChar w:fldCharType="begin"/>
            </w:r>
            <w:r>
              <w:rPr>
                <w:noProof/>
                <w:webHidden/>
              </w:rPr>
              <w:instrText xml:space="preserve"> PAGEREF _Toc36031935 \h </w:instrText>
            </w:r>
            <w:r>
              <w:rPr>
                <w:noProof/>
                <w:webHidden/>
              </w:rPr>
            </w:r>
            <w:r>
              <w:rPr>
                <w:noProof/>
                <w:webHidden/>
              </w:rPr>
              <w:fldChar w:fldCharType="separate"/>
            </w:r>
            <w:r>
              <w:rPr>
                <w:noProof/>
                <w:webHidden/>
              </w:rPr>
              <w:t>13</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36" w:history="1">
            <w:r w:rsidRPr="00C96849">
              <w:rPr>
                <w:rStyle w:val="Hypertextovodkaz"/>
                <w:noProof/>
              </w:rPr>
              <w:t>1.3</w:t>
            </w:r>
            <w:r>
              <w:rPr>
                <w:rFonts w:eastAsiaTheme="minorEastAsia"/>
                <w:noProof/>
                <w:lang w:eastAsia="cs-CZ"/>
              </w:rPr>
              <w:tab/>
            </w:r>
            <w:r w:rsidRPr="00C96849">
              <w:rPr>
                <w:rStyle w:val="Hypertextovodkaz"/>
                <w:noProof/>
              </w:rPr>
              <w:t>Předmět reivindikace</w:t>
            </w:r>
            <w:r>
              <w:rPr>
                <w:noProof/>
                <w:webHidden/>
              </w:rPr>
              <w:tab/>
            </w:r>
            <w:r>
              <w:rPr>
                <w:noProof/>
                <w:webHidden/>
              </w:rPr>
              <w:fldChar w:fldCharType="begin"/>
            </w:r>
            <w:r>
              <w:rPr>
                <w:noProof/>
                <w:webHidden/>
              </w:rPr>
              <w:instrText xml:space="preserve"> PAGEREF _Toc36031936 \h </w:instrText>
            </w:r>
            <w:r>
              <w:rPr>
                <w:noProof/>
                <w:webHidden/>
              </w:rPr>
            </w:r>
            <w:r>
              <w:rPr>
                <w:noProof/>
                <w:webHidden/>
              </w:rPr>
              <w:fldChar w:fldCharType="separate"/>
            </w:r>
            <w:r>
              <w:rPr>
                <w:noProof/>
                <w:webHidden/>
              </w:rPr>
              <w:t>15</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37" w:history="1">
            <w:r w:rsidRPr="00C96849">
              <w:rPr>
                <w:rStyle w:val="Hypertextovodkaz"/>
                <w:noProof/>
              </w:rPr>
              <w:t>1.4</w:t>
            </w:r>
            <w:r>
              <w:rPr>
                <w:rFonts w:eastAsiaTheme="minorEastAsia"/>
                <w:noProof/>
                <w:lang w:eastAsia="cs-CZ"/>
              </w:rPr>
              <w:tab/>
            </w:r>
            <w:r w:rsidRPr="00C96849">
              <w:rPr>
                <w:rStyle w:val="Hypertextovodkaz"/>
                <w:noProof/>
              </w:rPr>
              <w:t>Obecně o současné právní úpravě reivindikace</w:t>
            </w:r>
            <w:r>
              <w:rPr>
                <w:noProof/>
                <w:webHidden/>
              </w:rPr>
              <w:tab/>
            </w:r>
            <w:r>
              <w:rPr>
                <w:noProof/>
                <w:webHidden/>
              </w:rPr>
              <w:fldChar w:fldCharType="begin"/>
            </w:r>
            <w:r>
              <w:rPr>
                <w:noProof/>
                <w:webHidden/>
              </w:rPr>
              <w:instrText xml:space="preserve"> PAGEREF _Toc36031937 \h </w:instrText>
            </w:r>
            <w:r>
              <w:rPr>
                <w:noProof/>
                <w:webHidden/>
              </w:rPr>
            </w:r>
            <w:r>
              <w:rPr>
                <w:noProof/>
                <w:webHidden/>
              </w:rPr>
              <w:fldChar w:fldCharType="separate"/>
            </w:r>
            <w:r>
              <w:rPr>
                <w:noProof/>
                <w:webHidden/>
              </w:rPr>
              <w:t>16</w:t>
            </w:r>
            <w:r>
              <w:rPr>
                <w:noProof/>
                <w:webHidden/>
              </w:rPr>
              <w:fldChar w:fldCharType="end"/>
            </w:r>
          </w:hyperlink>
        </w:p>
        <w:p w:rsidR="00E81592" w:rsidRDefault="00E81592">
          <w:pPr>
            <w:pStyle w:val="Obsah1"/>
            <w:rPr>
              <w:rFonts w:eastAsiaTheme="minorEastAsia"/>
              <w:noProof/>
              <w:lang w:eastAsia="cs-CZ"/>
            </w:rPr>
          </w:pPr>
          <w:hyperlink w:anchor="_Toc36031938" w:history="1">
            <w:r w:rsidRPr="00C96849">
              <w:rPr>
                <w:rStyle w:val="Hypertextovodkaz"/>
                <w:noProof/>
              </w:rPr>
              <w:t>2</w:t>
            </w:r>
            <w:r>
              <w:rPr>
                <w:rFonts w:eastAsiaTheme="minorEastAsia"/>
                <w:noProof/>
                <w:lang w:eastAsia="cs-CZ"/>
              </w:rPr>
              <w:tab/>
            </w:r>
            <w:r w:rsidRPr="00C96849">
              <w:rPr>
                <w:rStyle w:val="Hypertextovodkaz"/>
                <w:noProof/>
              </w:rPr>
              <w:t>Aktivní legitimace</w:t>
            </w:r>
            <w:r>
              <w:rPr>
                <w:noProof/>
                <w:webHidden/>
              </w:rPr>
              <w:tab/>
            </w:r>
            <w:r>
              <w:rPr>
                <w:noProof/>
                <w:webHidden/>
              </w:rPr>
              <w:fldChar w:fldCharType="begin"/>
            </w:r>
            <w:r>
              <w:rPr>
                <w:noProof/>
                <w:webHidden/>
              </w:rPr>
              <w:instrText xml:space="preserve"> PAGEREF _Toc36031938 \h </w:instrText>
            </w:r>
            <w:r>
              <w:rPr>
                <w:noProof/>
                <w:webHidden/>
              </w:rPr>
            </w:r>
            <w:r>
              <w:rPr>
                <w:noProof/>
                <w:webHidden/>
              </w:rPr>
              <w:fldChar w:fldCharType="separate"/>
            </w:r>
            <w:r>
              <w:rPr>
                <w:noProof/>
                <w:webHidden/>
              </w:rPr>
              <w:t>19</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39" w:history="1">
            <w:r w:rsidRPr="00C96849">
              <w:rPr>
                <w:rStyle w:val="Hypertextovodkaz"/>
                <w:noProof/>
              </w:rPr>
              <w:t>2.1</w:t>
            </w:r>
            <w:r>
              <w:rPr>
                <w:rFonts w:eastAsiaTheme="minorEastAsia"/>
                <w:noProof/>
                <w:lang w:eastAsia="cs-CZ"/>
              </w:rPr>
              <w:tab/>
            </w:r>
            <w:r w:rsidRPr="00C96849">
              <w:rPr>
                <w:rStyle w:val="Hypertextovodkaz"/>
                <w:noProof/>
              </w:rPr>
              <w:t>Aktivní legitimace v římském právu</w:t>
            </w:r>
            <w:r>
              <w:rPr>
                <w:noProof/>
                <w:webHidden/>
              </w:rPr>
              <w:tab/>
            </w:r>
            <w:r>
              <w:rPr>
                <w:noProof/>
                <w:webHidden/>
              </w:rPr>
              <w:fldChar w:fldCharType="begin"/>
            </w:r>
            <w:r>
              <w:rPr>
                <w:noProof/>
                <w:webHidden/>
              </w:rPr>
              <w:instrText xml:space="preserve"> PAGEREF _Toc36031939 \h </w:instrText>
            </w:r>
            <w:r>
              <w:rPr>
                <w:noProof/>
                <w:webHidden/>
              </w:rPr>
            </w:r>
            <w:r>
              <w:rPr>
                <w:noProof/>
                <w:webHidden/>
              </w:rPr>
              <w:fldChar w:fldCharType="separate"/>
            </w:r>
            <w:r>
              <w:rPr>
                <w:noProof/>
                <w:webHidden/>
              </w:rPr>
              <w:t>19</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40" w:history="1">
            <w:r w:rsidRPr="00C96849">
              <w:rPr>
                <w:rStyle w:val="Hypertextovodkaz"/>
                <w:noProof/>
              </w:rPr>
              <w:t>2.2</w:t>
            </w:r>
            <w:r>
              <w:rPr>
                <w:rFonts w:eastAsiaTheme="minorEastAsia"/>
                <w:noProof/>
                <w:lang w:eastAsia="cs-CZ"/>
              </w:rPr>
              <w:tab/>
            </w:r>
            <w:r w:rsidRPr="00C96849">
              <w:rPr>
                <w:rStyle w:val="Hypertextovodkaz"/>
                <w:noProof/>
              </w:rPr>
              <w:t>Aktivní legitimace v současné právní úpravě</w:t>
            </w:r>
            <w:r>
              <w:rPr>
                <w:noProof/>
                <w:webHidden/>
              </w:rPr>
              <w:tab/>
            </w:r>
            <w:r>
              <w:rPr>
                <w:noProof/>
                <w:webHidden/>
              </w:rPr>
              <w:fldChar w:fldCharType="begin"/>
            </w:r>
            <w:r>
              <w:rPr>
                <w:noProof/>
                <w:webHidden/>
              </w:rPr>
              <w:instrText xml:space="preserve"> PAGEREF _Toc36031940 \h </w:instrText>
            </w:r>
            <w:r>
              <w:rPr>
                <w:noProof/>
                <w:webHidden/>
              </w:rPr>
            </w:r>
            <w:r>
              <w:rPr>
                <w:noProof/>
                <w:webHidden/>
              </w:rPr>
              <w:fldChar w:fldCharType="separate"/>
            </w:r>
            <w:r>
              <w:rPr>
                <w:noProof/>
                <w:webHidden/>
              </w:rPr>
              <w:t>20</w:t>
            </w:r>
            <w:r>
              <w:rPr>
                <w:noProof/>
                <w:webHidden/>
              </w:rPr>
              <w:fldChar w:fldCharType="end"/>
            </w:r>
          </w:hyperlink>
        </w:p>
        <w:p w:rsidR="00E81592" w:rsidRDefault="00E81592">
          <w:pPr>
            <w:pStyle w:val="Obsah1"/>
            <w:rPr>
              <w:rFonts w:eastAsiaTheme="minorEastAsia"/>
              <w:noProof/>
              <w:lang w:eastAsia="cs-CZ"/>
            </w:rPr>
          </w:pPr>
          <w:hyperlink w:anchor="_Toc36031941" w:history="1">
            <w:r w:rsidRPr="00C96849">
              <w:rPr>
                <w:rStyle w:val="Hypertextovodkaz"/>
                <w:noProof/>
              </w:rPr>
              <w:t>3</w:t>
            </w:r>
            <w:r>
              <w:rPr>
                <w:rFonts w:eastAsiaTheme="minorEastAsia"/>
                <w:noProof/>
                <w:lang w:eastAsia="cs-CZ"/>
              </w:rPr>
              <w:tab/>
            </w:r>
            <w:r w:rsidRPr="00C96849">
              <w:rPr>
                <w:rStyle w:val="Hypertextovodkaz"/>
                <w:noProof/>
              </w:rPr>
              <w:t>Pasivní legitimace</w:t>
            </w:r>
            <w:r>
              <w:rPr>
                <w:noProof/>
                <w:webHidden/>
              </w:rPr>
              <w:tab/>
            </w:r>
            <w:r>
              <w:rPr>
                <w:noProof/>
                <w:webHidden/>
              </w:rPr>
              <w:fldChar w:fldCharType="begin"/>
            </w:r>
            <w:r>
              <w:rPr>
                <w:noProof/>
                <w:webHidden/>
              </w:rPr>
              <w:instrText xml:space="preserve"> PAGEREF _Toc36031941 \h </w:instrText>
            </w:r>
            <w:r>
              <w:rPr>
                <w:noProof/>
                <w:webHidden/>
              </w:rPr>
            </w:r>
            <w:r>
              <w:rPr>
                <w:noProof/>
                <w:webHidden/>
              </w:rPr>
              <w:fldChar w:fldCharType="separate"/>
            </w:r>
            <w:r>
              <w:rPr>
                <w:noProof/>
                <w:webHidden/>
              </w:rPr>
              <w:t>21</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42" w:history="1">
            <w:r w:rsidRPr="00C96849">
              <w:rPr>
                <w:rStyle w:val="Hypertextovodkaz"/>
                <w:noProof/>
              </w:rPr>
              <w:t>3.1</w:t>
            </w:r>
            <w:r>
              <w:rPr>
                <w:rFonts w:eastAsiaTheme="minorEastAsia"/>
                <w:noProof/>
                <w:lang w:eastAsia="cs-CZ"/>
              </w:rPr>
              <w:tab/>
            </w:r>
            <w:r w:rsidRPr="00C96849">
              <w:rPr>
                <w:rStyle w:val="Hypertextovodkaz"/>
                <w:noProof/>
              </w:rPr>
              <w:t>Právní úprava pasivní legitimace v římském právu</w:t>
            </w:r>
            <w:r>
              <w:rPr>
                <w:noProof/>
                <w:webHidden/>
              </w:rPr>
              <w:tab/>
            </w:r>
            <w:r>
              <w:rPr>
                <w:noProof/>
                <w:webHidden/>
              </w:rPr>
              <w:fldChar w:fldCharType="begin"/>
            </w:r>
            <w:r>
              <w:rPr>
                <w:noProof/>
                <w:webHidden/>
              </w:rPr>
              <w:instrText xml:space="preserve"> PAGEREF _Toc36031942 \h </w:instrText>
            </w:r>
            <w:r>
              <w:rPr>
                <w:noProof/>
                <w:webHidden/>
              </w:rPr>
            </w:r>
            <w:r>
              <w:rPr>
                <w:noProof/>
                <w:webHidden/>
              </w:rPr>
              <w:fldChar w:fldCharType="separate"/>
            </w:r>
            <w:r>
              <w:rPr>
                <w:noProof/>
                <w:webHidden/>
              </w:rPr>
              <w:t>21</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43" w:history="1">
            <w:r w:rsidRPr="00C96849">
              <w:rPr>
                <w:rStyle w:val="Hypertextovodkaz"/>
                <w:noProof/>
              </w:rPr>
              <w:t>3.1.1</w:t>
            </w:r>
            <w:r>
              <w:rPr>
                <w:rFonts w:eastAsiaTheme="minorEastAsia"/>
                <w:noProof/>
                <w:lang w:eastAsia="cs-CZ"/>
              </w:rPr>
              <w:tab/>
            </w:r>
            <w:r w:rsidRPr="00C96849">
              <w:rPr>
                <w:rStyle w:val="Hypertextovodkaz"/>
                <w:noProof/>
              </w:rPr>
              <w:t>Obrana žalovaného</w:t>
            </w:r>
            <w:r>
              <w:rPr>
                <w:noProof/>
                <w:webHidden/>
              </w:rPr>
              <w:tab/>
            </w:r>
            <w:r>
              <w:rPr>
                <w:noProof/>
                <w:webHidden/>
              </w:rPr>
              <w:fldChar w:fldCharType="begin"/>
            </w:r>
            <w:r>
              <w:rPr>
                <w:noProof/>
                <w:webHidden/>
              </w:rPr>
              <w:instrText xml:space="preserve"> PAGEREF _Toc36031943 \h </w:instrText>
            </w:r>
            <w:r>
              <w:rPr>
                <w:noProof/>
                <w:webHidden/>
              </w:rPr>
            </w:r>
            <w:r>
              <w:rPr>
                <w:noProof/>
                <w:webHidden/>
              </w:rPr>
              <w:fldChar w:fldCharType="separate"/>
            </w:r>
            <w:r>
              <w:rPr>
                <w:noProof/>
                <w:webHidden/>
              </w:rPr>
              <w:t>22</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44" w:history="1">
            <w:r w:rsidRPr="00C96849">
              <w:rPr>
                <w:rStyle w:val="Hypertextovodkaz"/>
                <w:noProof/>
              </w:rPr>
              <w:t>3.2</w:t>
            </w:r>
            <w:r>
              <w:rPr>
                <w:rFonts w:eastAsiaTheme="minorEastAsia"/>
                <w:noProof/>
                <w:lang w:eastAsia="cs-CZ"/>
              </w:rPr>
              <w:tab/>
            </w:r>
            <w:r w:rsidRPr="00C96849">
              <w:rPr>
                <w:rStyle w:val="Hypertextovodkaz"/>
                <w:noProof/>
              </w:rPr>
              <w:t>Současná právní úprava pasivní legitimace</w:t>
            </w:r>
            <w:r>
              <w:rPr>
                <w:noProof/>
                <w:webHidden/>
              </w:rPr>
              <w:tab/>
            </w:r>
            <w:r>
              <w:rPr>
                <w:noProof/>
                <w:webHidden/>
              </w:rPr>
              <w:fldChar w:fldCharType="begin"/>
            </w:r>
            <w:r>
              <w:rPr>
                <w:noProof/>
                <w:webHidden/>
              </w:rPr>
              <w:instrText xml:space="preserve"> PAGEREF _Toc36031944 \h </w:instrText>
            </w:r>
            <w:r>
              <w:rPr>
                <w:noProof/>
                <w:webHidden/>
              </w:rPr>
            </w:r>
            <w:r>
              <w:rPr>
                <w:noProof/>
                <w:webHidden/>
              </w:rPr>
              <w:fldChar w:fldCharType="separate"/>
            </w:r>
            <w:r>
              <w:rPr>
                <w:noProof/>
                <w:webHidden/>
              </w:rPr>
              <w:t>24</w:t>
            </w:r>
            <w:r>
              <w:rPr>
                <w:noProof/>
                <w:webHidden/>
              </w:rPr>
              <w:fldChar w:fldCharType="end"/>
            </w:r>
          </w:hyperlink>
        </w:p>
        <w:p w:rsidR="00E81592" w:rsidRDefault="00E81592">
          <w:pPr>
            <w:pStyle w:val="Obsah1"/>
            <w:rPr>
              <w:rFonts w:eastAsiaTheme="minorEastAsia"/>
              <w:noProof/>
              <w:lang w:eastAsia="cs-CZ"/>
            </w:rPr>
          </w:pPr>
          <w:hyperlink w:anchor="_Toc36031945" w:history="1">
            <w:r w:rsidRPr="00C96849">
              <w:rPr>
                <w:rStyle w:val="Hypertextovodkaz"/>
                <w:noProof/>
              </w:rPr>
              <w:t>4</w:t>
            </w:r>
            <w:r>
              <w:rPr>
                <w:rFonts w:eastAsiaTheme="minorEastAsia"/>
                <w:noProof/>
                <w:lang w:eastAsia="cs-CZ"/>
              </w:rPr>
              <w:tab/>
            </w:r>
            <w:r w:rsidRPr="00C96849">
              <w:rPr>
                <w:rStyle w:val="Hypertextovodkaz"/>
                <w:noProof/>
              </w:rPr>
              <w:t>Dokazování</w:t>
            </w:r>
            <w:r>
              <w:rPr>
                <w:noProof/>
                <w:webHidden/>
              </w:rPr>
              <w:tab/>
            </w:r>
            <w:r>
              <w:rPr>
                <w:noProof/>
                <w:webHidden/>
              </w:rPr>
              <w:fldChar w:fldCharType="begin"/>
            </w:r>
            <w:r>
              <w:rPr>
                <w:noProof/>
                <w:webHidden/>
              </w:rPr>
              <w:instrText xml:space="preserve"> PAGEREF _Toc36031945 \h </w:instrText>
            </w:r>
            <w:r>
              <w:rPr>
                <w:noProof/>
                <w:webHidden/>
              </w:rPr>
            </w:r>
            <w:r>
              <w:rPr>
                <w:noProof/>
                <w:webHidden/>
              </w:rPr>
              <w:fldChar w:fldCharType="separate"/>
            </w:r>
            <w:r>
              <w:rPr>
                <w:noProof/>
                <w:webHidden/>
              </w:rPr>
              <w:t>27</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46" w:history="1">
            <w:r w:rsidRPr="00C96849">
              <w:rPr>
                <w:rStyle w:val="Hypertextovodkaz"/>
                <w:noProof/>
              </w:rPr>
              <w:t>4.1</w:t>
            </w:r>
            <w:r>
              <w:rPr>
                <w:rFonts w:eastAsiaTheme="minorEastAsia"/>
                <w:noProof/>
                <w:lang w:eastAsia="cs-CZ"/>
              </w:rPr>
              <w:tab/>
            </w:r>
            <w:r w:rsidRPr="00C96849">
              <w:rPr>
                <w:rStyle w:val="Hypertextovodkaz"/>
                <w:noProof/>
              </w:rPr>
              <w:t>Důkazní prostředky</w:t>
            </w:r>
            <w:r>
              <w:rPr>
                <w:noProof/>
                <w:webHidden/>
              </w:rPr>
              <w:tab/>
            </w:r>
            <w:r>
              <w:rPr>
                <w:noProof/>
                <w:webHidden/>
              </w:rPr>
              <w:fldChar w:fldCharType="begin"/>
            </w:r>
            <w:r>
              <w:rPr>
                <w:noProof/>
                <w:webHidden/>
              </w:rPr>
              <w:instrText xml:space="preserve"> PAGEREF _Toc36031946 \h </w:instrText>
            </w:r>
            <w:r>
              <w:rPr>
                <w:noProof/>
                <w:webHidden/>
              </w:rPr>
            </w:r>
            <w:r>
              <w:rPr>
                <w:noProof/>
                <w:webHidden/>
              </w:rPr>
              <w:fldChar w:fldCharType="separate"/>
            </w:r>
            <w:r>
              <w:rPr>
                <w:noProof/>
                <w:webHidden/>
              </w:rPr>
              <w:t>27</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47" w:history="1">
            <w:r w:rsidRPr="00C96849">
              <w:rPr>
                <w:rStyle w:val="Hypertextovodkaz"/>
                <w:noProof/>
              </w:rPr>
              <w:t>4.2</w:t>
            </w:r>
            <w:r>
              <w:rPr>
                <w:rFonts w:eastAsiaTheme="minorEastAsia"/>
                <w:noProof/>
                <w:lang w:eastAsia="cs-CZ"/>
              </w:rPr>
              <w:tab/>
            </w:r>
            <w:r w:rsidRPr="00C96849">
              <w:rPr>
                <w:rStyle w:val="Hypertextovodkaz"/>
                <w:noProof/>
              </w:rPr>
              <w:t>Důkazní břemeno</w:t>
            </w:r>
            <w:r>
              <w:rPr>
                <w:noProof/>
                <w:webHidden/>
              </w:rPr>
              <w:tab/>
            </w:r>
            <w:r>
              <w:rPr>
                <w:noProof/>
                <w:webHidden/>
              </w:rPr>
              <w:fldChar w:fldCharType="begin"/>
            </w:r>
            <w:r>
              <w:rPr>
                <w:noProof/>
                <w:webHidden/>
              </w:rPr>
              <w:instrText xml:space="preserve"> PAGEREF _Toc36031947 \h </w:instrText>
            </w:r>
            <w:r>
              <w:rPr>
                <w:noProof/>
                <w:webHidden/>
              </w:rPr>
            </w:r>
            <w:r>
              <w:rPr>
                <w:noProof/>
                <w:webHidden/>
              </w:rPr>
              <w:fldChar w:fldCharType="separate"/>
            </w:r>
            <w:r>
              <w:rPr>
                <w:noProof/>
                <w:webHidden/>
              </w:rPr>
              <w:t>28</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48" w:history="1">
            <w:r w:rsidRPr="00C96849">
              <w:rPr>
                <w:rStyle w:val="Hypertextovodkaz"/>
                <w:noProof/>
              </w:rPr>
              <w:t>4.3</w:t>
            </w:r>
            <w:r>
              <w:rPr>
                <w:rFonts w:eastAsiaTheme="minorEastAsia"/>
                <w:noProof/>
                <w:lang w:eastAsia="cs-CZ"/>
              </w:rPr>
              <w:tab/>
            </w:r>
            <w:r w:rsidRPr="00C96849">
              <w:rPr>
                <w:rStyle w:val="Hypertextovodkaz"/>
                <w:noProof/>
              </w:rPr>
              <w:t>Současná právní úprava dokazování</w:t>
            </w:r>
            <w:r>
              <w:rPr>
                <w:noProof/>
                <w:webHidden/>
              </w:rPr>
              <w:tab/>
            </w:r>
            <w:r>
              <w:rPr>
                <w:noProof/>
                <w:webHidden/>
              </w:rPr>
              <w:fldChar w:fldCharType="begin"/>
            </w:r>
            <w:r>
              <w:rPr>
                <w:noProof/>
                <w:webHidden/>
              </w:rPr>
              <w:instrText xml:space="preserve"> PAGEREF _Toc36031948 \h </w:instrText>
            </w:r>
            <w:r>
              <w:rPr>
                <w:noProof/>
                <w:webHidden/>
              </w:rPr>
            </w:r>
            <w:r>
              <w:rPr>
                <w:noProof/>
                <w:webHidden/>
              </w:rPr>
              <w:fldChar w:fldCharType="separate"/>
            </w:r>
            <w:r>
              <w:rPr>
                <w:noProof/>
                <w:webHidden/>
              </w:rPr>
              <w:t>29</w:t>
            </w:r>
            <w:r>
              <w:rPr>
                <w:noProof/>
                <w:webHidden/>
              </w:rPr>
              <w:fldChar w:fldCharType="end"/>
            </w:r>
          </w:hyperlink>
        </w:p>
        <w:p w:rsidR="00E81592" w:rsidRDefault="00E81592">
          <w:pPr>
            <w:pStyle w:val="Obsah1"/>
            <w:rPr>
              <w:rFonts w:eastAsiaTheme="minorEastAsia"/>
              <w:noProof/>
              <w:lang w:eastAsia="cs-CZ"/>
            </w:rPr>
          </w:pPr>
          <w:hyperlink w:anchor="_Toc36031949" w:history="1">
            <w:r w:rsidRPr="00C96849">
              <w:rPr>
                <w:rStyle w:val="Hypertextovodkaz"/>
                <w:noProof/>
              </w:rPr>
              <w:t>5</w:t>
            </w:r>
            <w:r>
              <w:rPr>
                <w:rFonts w:eastAsiaTheme="minorEastAsia"/>
                <w:noProof/>
                <w:lang w:eastAsia="cs-CZ"/>
              </w:rPr>
              <w:tab/>
            </w:r>
            <w:r w:rsidRPr="00C96849">
              <w:rPr>
                <w:rStyle w:val="Hypertextovodkaz"/>
                <w:noProof/>
              </w:rPr>
              <w:t>Náklady řízení</w:t>
            </w:r>
            <w:r>
              <w:rPr>
                <w:noProof/>
                <w:webHidden/>
              </w:rPr>
              <w:tab/>
            </w:r>
            <w:r>
              <w:rPr>
                <w:noProof/>
                <w:webHidden/>
              </w:rPr>
              <w:fldChar w:fldCharType="begin"/>
            </w:r>
            <w:r>
              <w:rPr>
                <w:noProof/>
                <w:webHidden/>
              </w:rPr>
              <w:instrText xml:space="preserve"> PAGEREF _Toc36031949 \h </w:instrText>
            </w:r>
            <w:r>
              <w:rPr>
                <w:noProof/>
                <w:webHidden/>
              </w:rPr>
            </w:r>
            <w:r>
              <w:rPr>
                <w:noProof/>
                <w:webHidden/>
              </w:rPr>
              <w:fldChar w:fldCharType="separate"/>
            </w:r>
            <w:r>
              <w:rPr>
                <w:noProof/>
                <w:webHidden/>
              </w:rPr>
              <w:t>30</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50" w:history="1">
            <w:r w:rsidRPr="00C96849">
              <w:rPr>
                <w:rStyle w:val="Hypertextovodkaz"/>
                <w:noProof/>
              </w:rPr>
              <w:t>5.1</w:t>
            </w:r>
            <w:r>
              <w:rPr>
                <w:rFonts w:eastAsiaTheme="minorEastAsia"/>
                <w:noProof/>
                <w:lang w:eastAsia="cs-CZ"/>
              </w:rPr>
              <w:tab/>
            </w:r>
            <w:r w:rsidRPr="00C96849">
              <w:rPr>
                <w:rStyle w:val="Hypertextovodkaz"/>
                <w:noProof/>
              </w:rPr>
              <w:t>Stanovení výše nákladů řízení</w:t>
            </w:r>
            <w:r>
              <w:rPr>
                <w:noProof/>
                <w:webHidden/>
              </w:rPr>
              <w:tab/>
            </w:r>
            <w:r>
              <w:rPr>
                <w:noProof/>
                <w:webHidden/>
              </w:rPr>
              <w:fldChar w:fldCharType="begin"/>
            </w:r>
            <w:r>
              <w:rPr>
                <w:noProof/>
                <w:webHidden/>
              </w:rPr>
              <w:instrText xml:space="preserve"> PAGEREF _Toc36031950 \h </w:instrText>
            </w:r>
            <w:r>
              <w:rPr>
                <w:noProof/>
                <w:webHidden/>
              </w:rPr>
            </w:r>
            <w:r>
              <w:rPr>
                <w:noProof/>
                <w:webHidden/>
              </w:rPr>
              <w:fldChar w:fldCharType="separate"/>
            </w:r>
            <w:r>
              <w:rPr>
                <w:noProof/>
                <w:webHidden/>
              </w:rPr>
              <w:t>30</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51" w:history="1">
            <w:r w:rsidRPr="00C96849">
              <w:rPr>
                <w:rStyle w:val="Hypertextovodkaz"/>
                <w:noProof/>
              </w:rPr>
              <w:t>5.1.1</w:t>
            </w:r>
            <w:r>
              <w:rPr>
                <w:rFonts w:eastAsiaTheme="minorEastAsia"/>
                <w:noProof/>
                <w:lang w:eastAsia="cs-CZ"/>
              </w:rPr>
              <w:tab/>
            </w:r>
            <w:r w:rsidRPr="00C96849">
              <w:rPr>
                <w:rStyle w:val="Hypertextovodkaz"/>
                <w:noProof/>
              </w:rPr>
              <w:t>Soudní poplatky</w:t>
            </w:r>
            <w:r>
              <w:rPr>
                <w:noProof/>
                <w:webHidden/>
              </w:rPr>
              <w:tab/>
            </w:r>
            <w:r>
              <w:rPr>
                <w:noProof/>
                <w:webHidden/>
              </w:rPr>
              <w:fldChar w:fldCharType="begin"/>
            </w:r>
            <w:r>
              <w:rPr>
                <w:noProof/>
                <w:webHidden/>
              </w:rPr>
              <w:instrText xml:space="preserve"> PAGEREF _Toc36031951 \h </w:instrText>
            </w:r>
            <w:r>
              <w:rPr>
                <w:noProof/>
                <w:webHidden/>
              </w:rPr>
            </w:r>
            <w:r>
              <w:rPr>
                <w:noProof/>
                <w:webHidden/>
              </w:rPr>
              <w:fldChar w:fldCharType="separate"/>
            </w:r>
            <w:r>
              <w:rPr>
                <w:noProof/>
                <w:webHidden/>
              </w:rPr>
              <w:t>30</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52" w:history="1">
            <w:r w:rsidRPr="00C96849">
              <w:rPr>
                <w:rStyle w:val="Hypertextovodkaz"/>
                <w:noProof/>
              </w:rPr>
              <w:t>5.1.2</w:t>
            </w:r>
            <w:r>
              <w:rPr>
                <w:rFonts w:eastAsiaTheme="minorEastAsia"/>
                <w:noProof/>
                <w:lang w:eastAsia="cs-CZ"/>
              </w:rPr>
              <w:tab/>
            </w:r>
            <w:r w:rsidRPr="00C96849">
              <w:rPr>
                <w:rStyle w:val="Hypertextovodkaz"/>
                <w:noProof/>
              </w:rPr>
              <w:t>Náklady na zastoupení</w:t>
            </w:r>
            <w:r>
              <w:rPr>
                <w:noProof/>
                <w:webHidden/>
              </w:rPr>
              <w:tab/>
            </w:r>
            <w:r>
              <w:rPr>
                <w:noProof/>
                <w:webHidden/>
              </w:rPr>
              <w:fldChar w:fldCharType="begin"/>
            </w:r>
            <w:r>
              <w:rPr>
                <w:noProof/>
                <w:webHidden/>
              </w:rPr>
              <w:instrText xml:space="preserve"> PAGEREF _Toc36031952 \h </w:instrText>
            </w:r>
            <w:r>
              <w:rPr>
                <w:noProof/>
                <w:webHidden/>
              </w:rPr>
            </w:r>
            <w:r>
              <w:rPr>
                <w:noProof/>
                <w:webHidden/>
              </w:rPr>
              <w:fldChar w:fldCharType="separate"/>
            </w:r>
            <w:r>
              <w:rPr>
                <w:noProof/>
                <w:webHidden/>
              </w:rPr>
              <w:t>31</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53" w:history="1">
            <w:r w:rsidRPr="00C96849">
              <w:rPr>
                <w:rStyle w:val="Hypertextovodkaz"/>
                <w:noProof/>
              </w:rPr>
              <w:t>5.2</w:t>
            </w:r>
            <w:r>
              <w:rPr>
                <w:rFonts w:eastAsiaTheme="minorEastAsia"/>
                <w:noProof/>
                <w:lang w:eastAsia="cs-CZ"/>
              </w:rPr>
              <w:tab/>
            </w:r>
            <w:r w:rsidRPr="00C96849">
              <w:rPr>
                <w:rStyle w:val="Hypertextovodkaz"/>
                <w:noProof/>
              </w:rPr>
              <w:t>Kdo nesl náklady řízení</w:t>
            </w:r>
            <w:r>
              <w:rPr>
                <w:noProof/>
                <w:webHidden/>
              </w:rPr>
              <w:tab/>
            </w:r>
            <w:r>
              <w:rPr>
                <w:noProof/>
                <w:webHidden/>
              </w:rPr>
              <w:fldChar w:fldCharType="begin"/>
            </w:r>
            <w:r>
              <w:rPr>
                <w:noProof/>
                <w:webHidden/>
              </w:rPr>
              <w:instrText xml:space="preserve"> PAGEREF _Toc36031953 \h </w:instrText>
            </w:r>
            <w:r>
              <w:rPr>
                <w:noProof/>
                <w:webHidden/>
              </w:rPr>
            </w:r>
            <w:r>
              <w:rPr>
                <w:noProof/>
                <w:webHidden/>
              </w:rPr>
              <w:fldChar w:fldCharType="separate"/>
            </w:r>
            <w:r>
              <w:rPr>
                <w:noProof/>
                <w:webHidden/>
              </w:rPr>
              <w:t>32</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54" w:history="1">
            <w:r w:rsidRPr="00C96849">
              <w:rPr>
                <w:rStyle w:val="Hypertextovodkaz"/>
                <w:noProof/>
              </w:rPr>
              <w:t>5.3</w:t>
            </w:r>
            <w:r>
              <w:rPr>
                <w:rFonts w:eastAsiaTheme="minorEastAsia"/>
                <w:noProof/>
                <w:lang w:eastAsia="cs-CZ"/>
              </w:rPr>
              <w:tab/>
            </w:r>
            <w:r w:rsidRPr="00C96849">
              <w:rPr>
                <w:rStyle w:val="Hypertextovodkaz"/>
                <w:noProof/>
              </w:rPr>
              <w:t>Současná právní úprava nákladů řízení</w:t>
            </w:r>
            <w:r>
              <w:rPr>
                <w:noProof/>
                <w:webHidden/>
              </w:rPr>
              <w:tab/>
            </w:r>
            <w:r>
              <w:rPr>
                <w:noProof/>
                <w:webHidden/>
              </w:rPr>
              <w:fldChar w:fldCharType="begin"/>
            </w:r>
            <w:r>
              <w:rPr>
                <w:noProof/>
                <w:webHidden/>
              </w:rPr>
              <w:instrText xml:space="preserve"> PAGEREF _Toc36031954 \h </w:instrText>
            </w:r>
            <w:r>
              <w:rPr>
                <w:noProof/>
                <w:webHidden/>
              </w:rPr>
            </w:r>
            <w:r>
              <w:rPr>
                <w:noProof/>
                <w:webHidden/>
              </w:rPr>
              <w:fldChar w:fldCharType="separate"/>
            </w:r>
            <w:r>
              <w:rPr>
                <w:noProof/>
                <w:webHidden/>
              </w:rPr>
              <w:t>32</w:t>
            </w:r>
            <w:r>
              <w:rPr>
                <w:noProof/>
                <w:webHidden/>
              </w:rPr>
              <w:fldChar w:fldCharType="end"/>
            </w:r>
          </w:hyperlink>
        </w:p>
        <w:p w:rsidR="00E81592" w:rsidRDefault="00E81592">
          <w:pPr>
            <w:pStyle w:val="Obsah1"/>
            <w:rPr>
              <w:rFonts w:eastAsiaTheme="minorEastAsia"/>
              <w:noProof/>
              <w:lang w:eastAsia="cs-CZ"/>
            </w:rPr>
          </w:pPr>
          <w:hyperlink w:anchor="_Toc36031955" w:history="1">
            <w:r w:rsidRPr="00C96849">
              <w:rPr>
                <w:rStyle w:val="Hypertextovodkaz"/>
                <w:noProof/>
              </w:rPr>
              <w:t>6</w:t>
            </w:r>
            <w:r>
              <w:rPr>
                <w:rFonts w:eastAsiaTheme="minorEastAsia"/>
                <w:noProof/>
                <w:lang w:eastAsia="cs-CZ"/>
              </w:rPr>
              <w:tab/>
            </w:r>
            <w:r w:rsidRPr="00C96849">
              <w:rPr>
                <w:rStyle w:val="Hypertextovodkaz"/>
                <w:noProof/>
              </w:rPr>
              <w:t>Výkon rozhodnutí</w:t>
            </w:r>
            <w:r>
              <w:rPr>
                <w:noProof/>
                <w:webHidden/>
              </w:rPr>
              <w:tab/>
            </w:r>
            <w:r>
              <w:rPr>
                <w:noProof/>
                <w:webHidden/>
              </w:rPr>
              <w:fldChar w:fldCharType="begin"/>
            </w:r>
            <w:r>
              <w:rPr>
                <w:noProof/>
                <w:webHidden/>
              </w:rPr>
              <w:instrText xml:space="preserve"> PAGEREF _Toc36031955 \h </w:instrText>
            </w:r>
            <w:r>
              <w:rPr>
                <w:noProof/>
                <w:webHidden/>
              </w:rPr>
            </w:r>
            <w:r>
              <w:rPr>
                <w:noProof/>
                <w:webHidden/>
              </w:rPr>
              <w:fldChar w:fldCharType="separate"/>
            </w:r>
            <w:r>
              <w:rPr>
                <w:noProof/>
                <w:webHidden/>
              </w:rPr>
              <w:t>35</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56" w:history="1">
            <w:r w:rsidRPr="00C96849">
              <w:rPr>
                <w:rStyle w:val="Hypertextovodkaz"/>
                <w:noProof/>
              </w:rPr>
              <w:t>6.1</w:t>
            </w:r>
            <w:r>
              <w:rPr>
                <w:rFonts w:eastAsiaTheme="minorEastAsia"/>
                <w:noProof/>
                <w:lang w:eastAsia="cs-CZ"/>
              </w:rPr>
              <w:tab/>
            </w:r>
            <w:r w:rsidRPr="00C96849">
              <w:rPr>
                <w:rStyle w:val="Hypertextovodkaz"/>
                <w:noProof/>
              </w:rPr>
              <w:t>Předpoklady pro výkon rozhodnutí</w:t>
            </w:r>
            <w:r>
              <w:rPr>
                <w:noProof/>
                <w:webHidden/>
              </w:rPr>
              <w:tab/>
            </w:r>
            <w:r>
              <w:rPr>
                <w:noProof/>
                <w:webHidden/>
              </w:rPr>
              <w:fldChar w:fldCharType="begin"/>
            </w:r>
            <w:r>
              <w:rPr>
                <w:noProof/>
                <w:webHidden/>
              </w:rPr>
              <w:instrText xml:space="preserve"> PAGEREF _Toc36031956 \h </w:instrText>
            </w:r>
            <w:r>
              <w:rPr>
                <w:noProof/>
                <w:webHidden/>
              </w:rPr>
            </w:r>
            <w:r>
              <w:rPr>
                <w:noProof/>
                <w:webHidden/>
              </w:rPr>
              <w:fldChar w:fldCharType="separate"/>
            </w:r>
            <w:r>
              <w:rPr>
                <w:noProof/>
                <w:webHidden/>
              </w:rPr>
              <w:t>35</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57" w:history="1">
            <w:r w:rsidRPr="00C96849">
              <w:rPr>
                <w:rStyle w:val="Hypertextovodkaz"/>
                <w:noProof/>
              </w:rPr>
              <w:t>6.2</w:t>
            </w:r>
            <w:r>
              <w:rPr>
                <w:rFonts w:eastAsiaTheme="minorEastAsia"/>
                <w:noProof/>
                <w:lang w:eastAsia="cs-CZ"/>
              </w:rPr>
              <w:tab/>
            </w:r>
            <w:r w:rsidRPr="00C96849">
              <w:rPr>
                <w:rStyle w:val="Hypertextovodkaz"/>
                <w:noProof/>
              </w:rPr>
              <w:t>Způsob výkonu rozhodnutí</w:t>
            </w:r>
            <w:r>
              <w:rPr>
                <w:noProof/>
                <w:webHidden/>
              </w:rPr>
              <w:tab/>
            </w:r>
            <w:r>
              <w:rPr>
                <w:noProof/>
                <w:webHidden/>
              </w:rPr>
              <w:fldChar w:fldCharType="begin"/>
            </w:r>
            <w:r>
              <w:rPr>
                <w:noProof/>
                <w:webHidden/>
              </w:rPr>
              <w:instrText xml:space="preserve"> PAGEREF _Toc36031957 \h </w:instrText>
            </w:r>
            <w:r>
              <w:rPr>
                <w:noProof/>
                <w:webHidden/>
              </w:rPr>
            </w:r>
            <w:r>
              <w:rPr>
                <w:noProof/>
                <w:webHidden/>
              </w:rPr>
              <w:fldChar w:fldCharType="separate"/>
            </w:r>
            <w:r>
              <w:rPr>
                <w:noProof/>
                <w:webHidden/>
              </w:rPr>
              <w:t>36</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58" w:history="1">
            <w:r w:rsidRPr="00C96849">
              <w:rPr>
                <w:rStyle w:val="Hypertextovodkaz"/>
                <w:noProof/>
              </w:rPr>
              <w:t>6.2.1</w:t>
            </w:r>
            <w:r>
              <w:rPr>
                <w:rFonts w:eastAsiaTheme="minorEastAsia"/>
                <w:noProof/>
                <w:lang w:eastAsia="cs-CZ"/>
              </w:rPr>
              <w:tab/>
            </w:r>
            <w:r w:rsidRPr="00C96849">
              <w:rPr>
                <w:rStyle w:val="Hypertextovodkaz"/>
                <w:noProof/>
              </w:rPr>
              <w:t>Legisakční a formulový proces</w:t>
            </w:r>
            <w:r>
              <w:rPr>
                <w:noProof/>
                <w:webHidden/>
              </w:rPr>
              <w:tab/>
            </w:r>
            <w:r>
              <w:rPr>
                <w:noProof/>
                <w:webHidden/>
              </w:rPr>
              <w:fldChar w:fldCharType="begin"/>
            </w:r>
            <w:r>
              <w:rPr>
                <w:noProof/>
                <w:webHidden/>
              </w:rPr>
              <w:instrText xml:space="preserve"> PAGEREF _Toc36031958 \h </w:instrText>
            </w:r>
            <w:r>
              <w:rPr>
                <w:noProof/>
                <w:webHidden/>
              </w:rPr>
            </w:r>
            <w:r>
              <w:rPr>
                <w:noProof/>
                <w:webHidden/>
              </w:rPr>
              <w:fldChar w:fldCharType="separate"/>
            </w:r>
            <w:r>
              <w:rPr>
                <w:noProof/>
                <w:webHidden/>
              </w:rPr>
              <w:t>36</w:t>
            </w:r>
            <w:r>
              <w:rPr>
                <w:noProof/>
                <w:webHidden/>
              </w:rPr>
              <w:fldChar w:fldCharType="end"/>
            </w:r>
          </w:hyperlink>
        </w:p>
        <w:p w:rsidR="00E81592" w:rsidRDefault="00E81592">
          <w:pPr>
            <w:pStyle w:val="Obsah3"/>
            <w:tabs>
              <w:tab w:val="left" w:pos="1320"/>
              <w:tab w:val="right" w:leader="dot" w:pos="9061"/>
            </w:tabs>
            <w:rPr>
              <w:rFonts w:eastAsiaTheme="minorEastAsia"/>
              <w:noProof/>
              <w:lang w:eastAsia="cs-CZ"/>
            </w:rPr>
          </w:pPr>
          <w:hyperlink w:anchor="_Toc36031959" w:history="1">
            <w:r w:rsidRPr="00C96849">
              <w:rPr>
                <w:rStyle w:val="Hypertextovodkaz"/>
                <w:noProof/>
              </w:rPr>
              <w:t>6.2.2</w:t>
            </w:r>
            <w:r>
              <w:rPr>
                <w:rFonts w:eastAsiaTheme="minorEastAsia"/>
                <w:noProof/>
                <w:lang w:eastAsia="cs-CZ"/>
              </w:rPr>
              <w:tab/>
            </w:r>
            <w:r w:rsidRPr="00C96849">
              <w:rPr>
                <w:rStyle w:val="Hypertextovodkaz"/>
                <w:noProof/>
              </w:rPr>
              <w:t>Úřednický proces</w:t>
            </w:r>
            <w:r>
              <w:rPr>
                <w:noProof/>
                <w:webHidden/>
              </w:rPr>
              <w:tab/>
            </w:r>
            <w:r>
              <w:rPr>
                <w:noProof/>
                <w:webHidden/>
              </w:rPr>
              <w:fldChar w:fldCharType="begin"/>
            </w:r>
            <w:r>
              <w:rPr>
                <w:noProof/>
                <w:webHidden/>
              </w:rPr>
              <w:instrText xml:space="preserve"> PAGEREF _Toc36031959 \h </w:instrText>
            </w:r>
            <w:r>
              <w:rPr>
                <w:noProof/>
                <w:webHidden/>
              </w:rPr>
            </w:r>
            <w:r>
              <w:rPr>
                <w:noProof/>
                <w:webHidden/>
              </w:rPr>
              <w:fldChar w:fldCharType="separate"/>
            </w:r>
            <w:r>
              <w:rPr>
                <w:noProof/>
                <w:webHidden/>
              </w:rPr>
              <w:t>38</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60" w:history="1">
            <w:r w:rsidRPr="00C96849">
              <w:rPr>
                <w:rStyle w:val="Hypertextovodkaz"/>
                <w:noProof/>
              </w:rPr>
              <w:t>6.3</w:t>
            </w:r>
            <w:r>
              <w:rPr>
                <w:rFonts w:eastAsiaTheme="minorEastAsia"/>
                <w:noProof/>
                <w:lang w:eastAsia="cs-CZ"/>
              </w:rPr>
              <w:tab/>
            </w:r>
            <w:r w:rsidRPr="00C96849">
              <w:rPr>
                <w:rStyle w:val="Hypertextovodkaz"/>
                <w:noProof/>
              </w:rPr>
              <w:t>Současná právní úprava výkonu rozhodnutí</w:t>
            </w:r>
            <w:r>
              <w:rPr>
                <w:noProof/>
                <w:webHidden/>
              </w:rPr>
              <w:tab/>
            </w:r>
            <w:r>
              <w:rPr>
                <w:noProof/>
                <w:webHidden/>
              </w:rPr>
              <w:fldChar w:fldCharType="begin"/>
            </w:r>
            <w:r>
              <w:rPr>
                <w:noProof/>
                <w:webHidden/>
              </w:rPr>
              <w:instrText xml:space="preserve"> PAGEREF _Toc36031960 \h </w:instrText>
            </w:r>
            <w:r>
              <w:rPr>
                <w:noProof/>
                <w:webHidden/>
              </w:rPr>
            </w:r>
            <w:r>
              <w:rPr>
                <w:noProof/>
                <w:webHidden/>
              </w:rPr>
              <w:fldChar w:fldCharType="separate"/>
            </w:r>
            <w:r>
              <w:rPr>
                <w:noProof/>
                <w:webHidden/>
              </w:rPr>
              <w:t>39</w:t>
            </w:r>
            <w:r>
              <w:rPr>
                <w:noProof/>
                <w:webHidden/>
              </w:rPr>
              <w:fldChar w:fldCharType="end"/>
            </w:r>
          </w:hyperlink>
        </w:p>
        <w:p w:rsidR="00E81592" w:rsidRDefault="00E81592">
          <w:pPr>
            <w:pStyle w:val="Obsah1"/>
            <w:rPr>
              <w:rFonts w:eastAsiaTheme="minorEastAsia"/>
              <w:noProof/>
              <w:lang w:eastAsia="cs-CZ"/>
            </w:rPr>
          </w:pPr>
          <w:hyperlink w:anchor="_Toc36031961" w:history="1">
            <w:r w:rsidRPr="00C96849">
              <w:rPr>
                <w:rStyle w:val="Hypertextovodkaz"/>
                <w:noProof/>
              </w:rPr>
              <w:t>7</w:t>
            </w:r>
            <w:r>
              <w:rPr>
                <w:rFonts w:eastAsiaTheme="minorEastAsia"/>
                <w:noProof/>
                <w:lang w:eastAsia="cs-CZ"/>
              </w:rPr>
              <w:tab/>
            </w:r>
            <w:r w:rsidRPr="00C96849">
              <w:rPr>
                <w:rStyle w:val="Hypertextovodkaz"/>
                <w:noProof/>
              </w:rPr>
              <w:t>Konkurence s jinými žalobami</w:t>
            </w:r>
            <w:r>
              <w:rPr>
                <w:noProof/>
                <w:webHidden/>
              </w:rPr>
              <w:tab/>
            </w:r>
            <w:r>
              <w:rPr>
                <w:noProof/>
                <w:webHidden/>
              </w:rPr>
              <w:fldChar w:fldCharType="begin"/>
            </w:r>
            <w:r>
              <w:rPr>
                <w:noProof/>
                <w:webHidden/>
              </w:rPr>
              <w:instrText xml:space="preserve"> PAGEREF _Toc36031961 \h </w:instrText>
            </w:r>
            <w:r>
              <w:rPr>
                <w:noProof/>
                <w:webHidden/>
              </w:rPr>
            </w:r>
            <w:r>
              <w:rPr>
                <w:noProof/>
                <w:webHidden/>
              </w:rPr>
              <w:fldChar w:fldCharType="separate"/>
            </w:r>
            <w:r>
              <w:rPr>
                <w:noProof/>
                <w:webHidden/>
              </w:rPr>
              <w:t>41</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62" w:history="1">
            <w:r w:rsidRPr="00C96849">
              <w:rPr>
                <w:rStyle w:val="Hypertextovodkaz"/>
                <w:noProof/>
              </w:rPr>
              <w:t>7.1</w:t>
            </w:r>
            <w:r>
              <w:rPr>
                <w:rFonts w:eastAsiaTheme="minorEastAsia"/>
                <w:noProof/>
                <w:lang w:eastAsia="cs-CZ"/>
              </w:rPr>
              <w:tab/>
            </w:r>
            <w:r w:rsidRPr="00C96849">
              <w:rPr>
                <w:rStyle w:val="Hypertextovodkaz"/>
                <w:noProof/>
              </w:rPr>
              <w:t>Akvilská žaloba</w:t>
            </w:r>
            <w:r>
              <w:rPr>
                <w:noProof/>
                <w:webHidden/>
              </w:rPr>
              <w:tab/>
            </w:r>
            <w:r>
              <w:rPr>
                <w:noProof/>
                <w:webHidden/>
              </w:rPr>
              <w:fldChar w:fldCharType="begin"/>
            </w:r>
            <w:r>
              <w:rPr>
                <w:noProof/>
                <w:webHidden/>
              </w:rPr>
              <w:instrText xml:space="preserve"> PAGEREF _Toc36031962 \h </w:instrText>
            </w:r>
            <w:r>
              <w:rPr>
                <w:noProof/>
                <w:webHidden/>
              </w:rPr>
            </w:r>
            <w:r>
              <w:rPr>
                <w:noProof/>
                <w:webHidden/>
              </w:rPr>
              <w:fldChar w:fldCharType="separate"/>
            </w:r>
            <w:r>
              <w:rPr>
                <w:noProof/>
                <w:webHidden/>
              </w:rPr>
              <w:t>41</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63" w:history="1">
            <w:r w:rsidRPr="00C96849">
              <w:rPr>
                <w:rStyle w:val="Hypertextovodkaz"/>
                <w:noProof/>
              </w:rPr>
              <w:t>7.2</w:t>
            </w:r>
            <w:r>
              <w:rPr>
                <w:rFonts w:eastAsiaTheme="minorEastAsia"/>
                <w:noProof/>
                <w:lang w:eastAsia="cs-CZ"/>
              </w:rPr>
              <w:tab/>
            </w:r>
            <w:r w:rsidRPr="00C96849">
              <w:rPr>
                <w:rStyle w:val="Hypertextovodkaz"/>
                <w:noProof/>
              </w:rPr>
              <w:t>Žaloba z krádeže</w:t>
            </w:r>
            <w:r>
              <w:rPr>
                <w:noProof/>
                <w:webHidden/>
              </w:rPr>
              <w:tab/>
            </w:r>
            <w:r>
              <w:rPr>
                <w:noProof/>
                <w:webHidden/>
              </w:rPr>
              <w:fldChar w:fldCharType="begin"/>
            </w:r>
            <w:r>
              <w:rPr>
                <w:noProof/>
                <w:webHidden/>
              </w:rPr>
              <w:instrText xml:space="preserve"> PAGEREF _Toc36031963 \h </w:instrText>
            </w:r>
            <w:r>
              <w:rPr>
                <w:noProof/>
                <w:webHidden/>
              </w:rPr>
            </w:r>
            <w:r>
              <w:rPr>
                <w:noProof/>
                <w:webHidden/>
              </w:rPr>
              <w:fldChar w:fldCharType="separate"/>
            </w:r>
            <w:r>
              <w:rPr>
                <w:noProof/>
                <w:webHidden/>
              </w:rPr>
              <w:t>42</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64" w:history="1">
            <w:r w:rsidRPr="00C96849">
              <w:rPr>
                <w:rStyle w:val="Hypertextovodkaz"/>
                <w:noProof/>
              </w:rPr>
              <w:t>7.3</w:t>
            </w:r>
            <w:r>
              <w:rPr>
                <w:rFonts w:eastAsiaTheme="minorEastAsia"/>
                <w:noProof/>
                <w:lang w:eastAsia="cs-CZ"/>
              </w:rPr>
              <w:tab/>
            </w:r>
            <w:r w:rsidRPr="00C96849">
              <w:rPr>
                <w:rStyle w:val="Hypertextovodkaz"/>
                <w:noProof/>
              </w:rPr>
              <w:t>Žaloba z urážky</w:t>
            </w:r>
            <w:r>
              <w:rPr>
                <w:noProof/>
                <w:webHidden/>
              </w:rPr>
              <w:tab/>
            </w:r>
            <w:r>
              <w:rPr>
                <w:noProof/>
                <w:webHidden/>
              </w:rPr>
              <w:fldChar w:fldCharType="begin"/>
            </w:r>
            <w:r>
              <w:rPr>
                <w:noProof/>
                <w:webHidden/>
              </w:rPr>
              <w:instrText xml:space="preserve"> PAGEREF _Toc36031964 \h </w:instrText>
            </w:r>
            <w:r>
              <w:rPr>
                <w:noProof/>
                <w:webHidden/>
              </w:rPr>
            </w:r>
            <w:r>
              <w:rPr>
                <w:noProof/>
                <w:webHidden/>
              </w:rPr>
              <w:fldChar w:fldCharType="separate"/>
            </w:r>
            <w:r>
              <w:rPr>
                <w:noProof/>
                <w:webHidden/>
              </w:rPr>
              <w:t>42</w:t>
            </w:r>
            <w:r>
              <w:rPr>
                <w:noProof/>
                <w:webHidden/>
              </w:rPr>
              <w:fldChar w:fldCharType="end"/>
            </w:r>
          </w:hyperlink>
        </w:p>
        <w:p w:rsidR="00E81592" w:rsidRDefault="00E81592">
          <w:pPr>
            <w:pStyle w:val="Obsah2"/>
            <w:tabs>
              <w:tab w:val="left" w:pos="880"/>
              <w:tab w:val="right" w:leader="dot" w:pos="9061"/>
            </w:tabs>
            <w:rPr>
              <w:rFonts w:eastAsiaTheme="minorEastAsia"/>
              <w:noProof/>
              <w:lang w:eastAsia="cs-CZ"/>
            </w:rPr>
          </w:pPr>
          <w:hyperlink w:anchor="_Toc36031965" w:history="1">
            <w:r w:rsidRPr="00C96849">
              <w:rPr>
                <w:rStyle w:val="Hypertextovodkaz"/>
                <w:noProof/>
              </w:rPr>
              <w:t>7.4</w:t>
            </w:r>
            <w:r>
              <w:rPr>
                <w:rFonts w:eastAsiaTheme="minorEastAsia"/>
                <w:noProof/>
                <w:lang w:eastAsia="cs-CZ"/>
              </w:rPr>
              <w:tab/>
            </w:r>
            <w:r w:rsidRPr="00C96849">
              <w:rPr>
                <w:rStyle w:val="Hypertextovodkaz"/>
                <w:noProof/>
              </w:rPr>
              <w:t>Žaloba na rozdělení spoluvlastnictví</w:t>
            </w:r>
            <w:r>
              <w:rPr>
                <w:noProof/>
                <w:webHidden/>
              </w:rPr>
              <w:tab/>
            </w:r>
            <w:r>
              <w:rPr>
                <w:noProof/>
                <w:webHidden/>
              </w:rPr>
              <w:fldChar w:fldCharType="begin"/>
            </w:r>
            <w:r>
              <w:rPr>
                <w:noProof/>
                <w:webHidden/>
              </w:rPr>
              <w:instrText xml:space="preserve"> PAGEREF _Toc36031965 \h </w:instrText>
            </w:r>
            <w:r>
              <w:rPr>
                <w:noProof/>
                <w:webHidden/>
              </w:rPr>
            </w:r>
            <w:r>
              <w:rPr>
                <w:noProof/>
                <w:webHidden/>
              </w:rPr>
              <w:fldChar w:fldCharType="separate"/>
            </w:r>
            <w:r>
              <w:rPr>
                <w:noProof/>
                <w:webHidden/>
              </w:rPr>
              <w:t>42</w:t>
            </w:r>
            <w:r>
              <w:rPr>
                <w:noProof/>
                <w:webHidden/>
              </w:rPr>
              <w:fldChar w:fldCharType="end"/>
            </w:r>
          </w:hyperlink>
        </w:p>
        <w:p w:rsidR="00E81592" w:rsidRDefault="00E81592">
          <w:pPr>
            <w:pStyle w:val="Obsah1"/>
            <w:rPr>
              <w:rFonts w:eastAsiaTheme="minorEastAsia"/>
              <w:noProof/>
              <w:lang w:eastAsia="cs-CZ"/>
            </w:rPr>
          </w:pPr>
          <w:hyperlink w:anchor="_Toc36031966" w:history="1">
            <w:r w:rsidRPr="00C96849">
              <w:rPr>
                <w:rStyle w:val="Hypertextovodkaz"/>
                <w:noProof/>
              </w:rPr>
              <w:t>Závěr</w:t>
            </w:r>
            <w:r>
              <w:rPr>
                <w:noProof/>
                <w:webHidden/>
              </w:rPr>
              <w:tab/>
            </w:r>
            <w:r>
              <w:rPr>
                <w:noProof/>
                <w:webHidden/>
              </w:rPr>
              <w:fldChar w:fldCharType="begin"/>
            </w:r>
            <w:r>
              <w:rPr>
                <w:noProof/>
                <w:webHidden/>
              </w:rPr>
              <w:instrText xml:space="preserve"> PAGEREF _Toc36031966 \h </w:instrText>
            </w:r>
            <w:r>
              <w:rPr>
                <w:noProof/>
                <w:webHidden/>
              </w:rPr>
            </w:r>
            <w:r>
              <w:rPr>
                <w:noProof/>
                <w:webHidden/>
              </w:rPr>
              <w:fldChar w:fldCharType="separate"/>
            </w:r>
            <w:r>
              <w:rPr>
                <w:noProof/>
                <w:webHidden/>
              </w:rPr>
              <w:t>44</w:t>
            </w:r>
            <w:r>
              <w:rPr>
                <w:noProof/>
                <w:webHidden/>
              </w:rPr>
              <w:fldChar w:fldCharType="end"/>
            </w:r>
          </w:hyperlink>
        </w:p>
        <w:p w:rsidR="00E81592" w:rsidRDefault="00E81592">
          <w:pPr>
            <w:pStyle w:val="Obsah1"/>
            <w:rPr>
              <w:rFonts w:eastAsiaTheme="minorEastAsia"/>
              <w:noProof/>
              <w:lang w:eastAsia="cs-CZ"/>
            </w:rPr>
          </w:pPr>
          <w:hyperlink w:anchor="_Toc36031967" w:history="1">
            <w:r w:rsidRPr="00C96849">
              <w:rPr>
                <w:rStyle w:val="Hypertextovodkaz"/>
                <w:noProof/>
              </w:rPr>
              <w:t>Seznam použitých zdrojů</w:t>
            </w:r>
            <w:r>
              <w:rPr>
                <w:noProof/>
                <w:webHidden/>
              </w:rPr>
              <w:tab/>
            </w:r>
            <w:r>
              <w:rPr>
                <w:noProof/>
                <w:webHidden/>
              </w:rPr>
              <w:fldChar w:fldCharType="begin"/>
            </w:r>
            <w:r>
              <w:rPr>
                <w:noProof/>
                <w:webHidden/>
              </w:rPr>
              <w:instrText xml:space="preserve"> PAGEREF _Toc36031967 \h </w:instrText>
            </w:r>
            <w:r>
              <w:rPr>
                <w:noProof/>
                <w:webHidden/>
              </w:rPr>
            </w:r>
            <w:r>
              <w:rPr>
                <w:noProof/>
                <w:webHidden/>
              </w:rPr>
              <w:fldChar w:fldCharType="separate"/>
            </w:r>
            <w:r>
              <w:rPr>
                <w:noProof/>
                <w:webHidden/>
              </w:rPr>
              <w:t>45</w:t>
            </w:r>
            <w:r>
              <w:rPr>
                <w:noProof/>
                <w:webHidden/>
              </w:rPr>
              <w:fldChar w:fldCharType="end"/>
            </w:r>
          </w:hyperlink>
        </w:p>
        <w:p w:rsidR="00E81592" w:rsidRDefault="00E81592">
          <w:pPr>
            <w:pStyle w:val="Obsah1"/>
            <w:rPr>
              <w:rFonts w:eastAsiaTheme="minorEastAsia"/>
              <w:noProof/>
              <w:lang w:eastAsia="cs-CZ"/>
            </w:rPr>
          </w:pPr>
          <w:hyperlink w:anchor="_Toc36031968" w:history="1">
            <w:r w:rsidRPr="00C96849">
              <w:rPr>
                <w:rStyle w:val="Hypertextovodkaz"/>
                <w:noProof/>
              </w:rPr>
              <w:t>Shrnutí</w:t>
            </w:r>
            <w:r>
              <w:rPr>
                <w:noProof/>
                <w:webHidden/>
              </w:rPr>
              <w:tab/>
            </w:r>
            <w:r>
              <w:rPr>
                <w:noProof/>
                <w:webHidden/>
              </w:rPr>
              <w:fldChar w:fldCharType="begin"/>
            </w:r>
            <w:r>
              <w:rPr>
                <w:noProof/>
                <w:webHidden/>
              </w:rPr>
              <w:instrText xml:space="preserve"> PAGEREF _Toc36031968 \h </w:instrText>
            </w:r>
            <w:r>
              <w:rPr>
                <w:noProof/>
                <w:webHidden/>
              </w:rPr>
            </w:r>
            <w:r>
              <w:rPr>
                <w:noProof/>
                <w:webHidden/>
              </w:rPr>
              <w:fldChar w:fldCharType="separate"/>
            </w:r>
            <w:r>
              <w:rPr>
                <w:noProof/>
                <w:webHidden/>
              </w:rPr>
              <w:t>47</w:t>
            </w:r>
            <w:r>
              <w:rPr>
                <w:noProof/>
                <w:webHidden/>
              </w:rPr>
              <w:fldChar w:fldCharType="end"/>
            </w:r>
          </w:hyperlink>
        </w:p>
        <w:p w:rsidR="00E81592" w:rsidRDefault="00E81592">
          <w:pPr>
            <w:pStyle w:val="Obsah1"/>
            <w:rPr>
              <w:rFonts w:eastAsiaTheme="minorEastAsia"/>
              <w:noProof/>
              <w:lang w:eastAsia="cs-CZ"/>
            </w:rPr>
          </w:pPr>
          <w:hyperlink w:anchor="_Toc36031969" w:history="1">
            <w:r w:rsidRPr="00C96849">
              <w:rPr>
                <w:rStyle w:val="Hypertextovodkaz"/>
                <w:noProof/>
              </w:rPr>
              <w:t>Klíčová slova</w:t>
            </w:r>
            <w:r>
              <w:rPr>
                <w:noProof/>
                <w:webHidden/>
              </w:rPr>
              <w:tab/>
            </w:r>
            <w:r>
              <w:rPr>
                <w:noProof/>
                <w:webHidden/>
              </w:rPr>
              <w:fldChar w:fldCharType="begin"/>
            </w:r>
            <w:r>
              <w:rPr>
                <w:noProof/>
                <w:webHidden/>
              </w:rPr>
              <w:instrText xml:space="preserve"> PAGEREF _Toc36031969 \h </w:instrText>
            </w:r>
            <w:r>
              <w:rPr>
                <w:noProof/>
                <w:webHidden/>
              </w:rPr>
            </w:r>
            <w:r>
              <w:rPr>
                <w:noProof/>
                <w:webHidden/>
              </w:rPr>
              <w:fldChar w:fldCharType="separate"/>
            </w:r>
            <w:r>
              <w:rPr>
                <w:noProof/>
                <w:webHidden/>
              </w:rPr>
              <w:t>47</w:t>
            </w:r>
            <w:r>
              <w:rPr>
                <w:noProof/>
                <w:webHidden/>
              </w:rPr>
              <w:fldChar w:fldCharType="end"/>
            </w:r>
          </w:hyperlink>
        </w:p>
        <w:p w:rsidR="00E81592" w:rsidRDefault="00E81592">
          <w:pPr>
            <w:pStyle w:val="Obsah1"/>
            <w:rPr>
              <w:rFonts w:eastAsiaTheme="minorEastAsia"/>
              <w:noProof/>
              <w:lang w:eastAsia="cs-CZ"/>
            </w:rPr>
          </w:pPr>
          <w:hyperlink w:anchor="_Toc36031970" w:history="1">
            <w:r w:rsidRPr="00C96849">
              <w:rPr>
                <w:rStyle w:val="Hypertextovodkaz"/>
                <w:noProof/>
                <w:lang w:val="en-GB"/>
              </w:rPr>
              <w:t>Summary</w:t>
            </w:r>
            <w:r>
              <w:rPr>
                <w:noProof/>
                <w:webHidden/>
              </w:rPr>
              <w:tab/>
            </w:r>
            <w:r>
              <w:rPr>
                <w:noProof/>
                <w:webHidden/>
              </w:rPr>
              <w:fldChar w:fldCharType="begin"/>
            </w:r>
            <w:r>
              <w:rPr>
                <w:noProof/>
                <w:webHidden/>
              </w:rPr>
              <w:instrText xml:space="preserve"> PAGEREF _Toc36031970 \h </w:instrText>
            </w:r>
            <w:r>
              <w:rPr>
                <w:noProof/>
                <w:webHidden/>
              </w:rPr>
            </w:r>
            <w:r>
              <w:rPr>
                <w:noProof/>
                <w:webHidden/>
              </w:rPr>
              <w:fldChar w:fldCharType="separate"/>
            </w:r>
            <w:r>
              <w:rPr>
                <w:noProof/>
                <w:webHidden/>
              </w:rPr>
              <w:t>48</w:t>
            </w:r>
            <w:r>
              <w:rPr>
                <w:noProof/>
                <w:webHidden/>
              </w:rPr>
              <w:fldChar w:fldCharType="end"/>
            </w:r>
          </w:hyperlink>
        </w:p>
        <w:p w:rsidR="00E81592" w:rsidRDefault="00E81592">
          <w:pPr>
            <w:pStyle w:val="Obsah1"/>
            <w:rPr>
              <w:rFonts w:eastAsiaTheme="minorEastAsia"/>
              <w:noProof/>
              <w:lang w:eastAsia="cs-CZ"/>
            </w:rPr>
          </w:pPr>
          <w:hyperlink w:anchor="_Toc36031971" w:history="1">
            <w:r w:rsidRPr="00C96849">
              <w:rPr>
                <w:rStyle w:val="Hypertextovodkaz"/>
                <w:noProof/>
              </w:rPr>
              <w:t>Keywords</w:t>
            </w:r>
            <w:r>
              <w:rPr>
                <w:noProof/>
                <w:webHidden/>
              </w:rPr>
              <w:tab/>
            </w:r>
            <w:r>
              <w:rPr>
                <w:noProof/>
                <w:webHidden/>
              </w:rPr>
              <w:fldChar w:fldCharType="begin"/>
            </w:r>
            <w:r>
              <w:rPr>
                <w:noProof/>
                <w:webHidden/>
              </w:rPr>
              <w:instrText xml:space="preserve"> PAGEREF _Toc36031971 \h </w:instrText>
            </w:r>
            <w:r>
              <w:rPr>
                <w:noProof/>
                <w:webHidden/>
              </w:rPr>
            </w:r>
            <w:r>
              <w:rPr>
                <w:noProof/>
                <w:webHidden/>
              </w:rPr>
              <w:fldChar w:fldCharType="separate"/>
            </w:r>
            <w:r>
              <w:rPr>
                <w:noProof/>
                <w:webHidden/>
              </w:rPr>
              <w:t>48</w:t>
            </w:r>
            <w:r>
              <w:rPr>
                <w:noProof/>
                <w:webHidden/>
              </w:rPr>
              <w:fldChar w:fldCharType="end"/>
            </w:r>
          </w:hyperlink>
        </w:p>
        <w:p w:rsidR="00DA196C" w:rsidRPr="00DA196C" w:rsidRDefault="00DA196C" w:rsidP="00FA1FF7">
          <w:pPr>
            <w:spacing w:line="360" w:lineRule="auto"/>
            <w:contextualSpacing/>
            <w:jc w:val="both"/>
            <w:rPr>
              <w:rFonts w:ascii="Garamond" w:hAnsi="Garamond"/>
            </w:rPr>
          </w:pPr>
          <w:r w:rsidRPr="00DA196C">
            <w:rPr>
              <w:rFonts w:ascii="Garamond" w:hAnsi="Garamond"/>
            </w:rPr>
            <w:fldChar w:fldCharType="end"/>
          </w:r>
        </w:p>
      </w:sdtContent>
    </w:sdt>
    <w:p w:rsidR="008C2A1D" w:rsidRDefault="00DA196C" w:rsidP="00FA1FF7">
      <w:pPr>
        <w:spacing w:line="360" w:lineRule="auto"/>
        <w:contextualSpacing/>
        <w:jc w:val="both"/>
        <w:rPr>
          <w:rFonts w:ascii="Garamond" w:hAnsi="Garamond"/>
          <w:sz w:val="24"/>
          <w:szCs w:val="24"/>
        </w:rPr>
      </w:pPr>
      <w:r w:rsidRPr="00DA196C">
        <w:rPr>
          <w:rFonts w:ascii="Garamond" w:hAnsi="Garamond"/>
          <w:sz w:val="24"/>
          <w:szCs w:val="24"/>
        </w:rPr>
        <w:br w:type="page"/>
      </w:r>
    </w:p>
    <w:p w:rsidR="0016608E" w:rsidRPr="00530BAF" w:rsidRDefault="008C2A1D" w:rsidP="00FA1FF7">
      <w:pPr>
        <w:pStyle w:val="Nadpis1"/>
        <w:numPr>
          <w:ilvl w:val="0"/>
          <w:numId w:val="0"/>
        </w:numPr>
        <w:contextualSpacing/>
      </w:pPr>
      <w:bookmarkStart w:id="0" w:name="_Toc36031929"/>
      <w:r w:rsidRPr="00530BAF">
        <w:lastRenderedPageBreak/>
        <w:t>Úvod</w:t>
      </w:r>
      <w:bookmarkEnd w:id="0"/>
    </w:p>
    <w:p w:rsidR="00565423" w:rsidRPr="00530BAF" w:rsidRDefault="00565423" w:rsidP="00FA1FF7">
      <w:pPr>
        <w:spacing w:line="360" w:lineRule="auto"/>
        <w:ind w:firstLine="708"/>
        <w:contextualSpacing/>
        <w:jc w:val="both"/>
        <w:rPr>
          <w:rFonts w:ascii="Garamond" w:hAnsi="Garamond"/>
          <w:sz w:val="24"/>
          <w:szCs w:val="24"/>
        </w:rPr>
      </w:pPr>
      <w:r w:rsidRPr="00530BAF">
        <w:rPr>
          <w:rFonts w:ascii="Garamond" w:hAnsi="Garamond"/>
          <w:sz w:val="24"/>
          <w:szCs w:val="24"/>
        </w:rPr>
        <w:t xml:space="preserve">Jako téma diplomové práce jsem si zvolila </w:t>
      </w:r>
      <w:proofErr w:type="spellStart"/>
      <w:r w:rsidRPr="00530BAF">
        <w:rPr>
          <w:rFonts w:ascii="Garamond" w:hAnsi="Garamond"/>
          <w:sz w:val="24"/>
          <w:szCs w:val="24"/>
        </w:rPr>
        <w:t>reivindikaci</w:t>
      </w:r>
      <w:proofErr w:type="spellEnd"/>
      <w:r w:rsidRPr="00530BAF">
        <w:rPr>
          <w:rFonts w:ascii="Garamond" w:hAnsi="Garamond"/>
          <w:sz w:val="24"/>
          <w:szCs w:val="24"/>
        </w:rPr>
        <w:t xml:space="preserve"> v římském právu se zaměřením na civilní proces. </w:t>
      </w:r>
      <w:r w:rsidR="001B0A4C" w:rsidRPr="00530BAF">
        <w:rPr>
          <w:rFonts w:ascii="Garamond" w:hAnsi="Garamond"/>
          <w:sz w:val="24"/>
          <w:szCs w:val="24"/>
        </w:rPr>
        <w:t>Toto téma jsem zvolila především proto, že otázka ochrany vlastnického práva je velmi významnou součástí nejen dnešního soukromého práva, ale nepochybně byla významnou součástí i práva římského, ze kterého dnešní právní úprava ve velk</w:t>
      </w:r>
      <w:r w:rsidR="00A46C41" w:rsidRPr="00530BAF">
        <w:rPr>
          <w:rFonts w:ascii="Garamond" w:hAnsi="Garamond"/>
          <w:sz w:val="24"/>
          <w:szCs w:val="24"/>
        </w:rPr>
        <w:t xml:space="preserve">é míře vychází. V práci se tedy </w:t>
      </w:r>
      <w:r w:rsidR="00530BAF">
        <w:rPr>
          <w:rFonts w:ascii="Garamond" w:hAnsi="Garamond"/>
          <w:sz w:val="24"/>
          <w:szCs w:val="24"/>
        </w:rPr>
        <w:t>zabývám problematikou</w:t>
      </w:r>
      <w:r w:rsidRPr="00530BAF">
        <w:rPr>
          <w:rFonts w:ascii="Garamond" w:hAnsi="Garamond"/>
          <w:sz w:val="24"/>
          <w:szCs w:val="24"/>
        </w:rPr>
        <w:t xml:space="preserve"> </w:t>
      </w:r>
      <w:proofErr w:type="spellStart"/>
      <w:r w:rsidR="001B0A4C" w:rsidRPr="00530BAF">
        <w:rPr>
          <w:rFonts w:ascii="Garamond" w:hAnsi="Garamond"/>
          <w:sz w:val="24"/>
          <w:szCs w:val="24"/>
        </w:rPr>
        <w:t>reivindikační</w:t>
      </w:r>
      <w:proofErr w:type="spellEnd"/>
      <w:r w:rsidR="001B0A4C" w:rsidRPr="00530BAF">
        <w:rPr>
          <w:rFonts w:ascii="Garamond" w:hAnsi="Garamond"/>
          <w:sz w:val="24"/>
          <w:szCs w:val="24"/>
        </w:rPr>
        <w:t xml:space="preserve"> žaloby v římském právu</w:t>
      </w:r>
      <w:r w:rsidR="00A46C41" w:rsidRPr="00530BAF">
        <w:rPr>
          <w:rFonts w:ascii="Garamond" w:hAnsi="Garamond"/>
          <w:sz w:val="24"/>
          <w:szCs w:val="24"/>
        </w:rPr>
        <w:t xml:space="preserve">, kdy se zaměřuji především na procesní aspekty </w:t>
      </w:r>
      <w:proofErr w:type="spellStart"/>
      <w:r w:rsidR="00A46C41" w:rsidRPr="00530BAF">
        <w:rPr>
          <w:rFonts w:ascii="Garamond" w:hAnsi="Garamond"/>
          <w:sz w:val="24"/>
          <w:szCs w:val="24"/>
        </w:rPr>
        <w:t>reivindikace</w:t>
      </w:r>
      <w:proofErr w:type="spellEnd"/>
      <w:r w:rsidR="00A46C41" w:rsidRPr="00530BAF">
        <w:rPr>
          <w:rFonts w:ascii="Garamond" w:hAnsi="Garamond"/>
          <w:sz w:val="24"/>
          <w:szCs w:val="24"/>
        </w:rPr>
        <w:t xml:space="preserve"> a provádím též srovnání se současnou českou právní úpravou.</w:t>
      </w:r>
      <w:r w:rsidR="009C1D64">
        <w:rPr>
          <w:rFonts w:ascii="Garamond" w:hAnsi="Garamond"/>
          <w:sz w:val="24"/>
          <w:szCs w:val="24"/>
        </w:rPr>
        <w:t xml:space="preserve"> Co se zaměření práce na </w:t>
      </w:r>
      <w:proofErr w:type="spellStart"/>
      <w:r w:rsidR="009C1D64">
        <w:rPr>
          <w:rFonts w:ascii="Garamond" w:hAnsi="Garamond"/>
          <w:sz w:val="24"/>
          <w:szCs w:val="24"/>
        </w:rPr>
        <w:t>procesněprávní</w:t>
      </w:r>
      <w:proofErr w:type="spellEnd"/>
      <w:r w:rsidR="009C1D64">
        <w:rPr>
          <w:rFonts w:ascii="Garamond" w:hAnsi="Garamond"/>
          <w:sz w:val="24"/>
          <w:szCs w:val="24"/>
        </w:rPr>
        <w:t xml:space="preserve"> úpravu jak v římském, tak v současném právu týče, je zde třeba podotknout, že se nelze zcela oprostit od hmotného práva, jelikož procesní a hmotné právo spolu neodmyslitelně souvisí a do určité míry se prolínají. Tím spíše to pak platí pro římské právo, kde byla hranice mezi hmotným a procesním právem ještě méně ostrá.  </w:t>
      </w:r>
    </w:p>
    <w:p w:rsidR="00530BAF" w:rsidRDefault="00BA4B52" w:rsidP="00FA1FF7">
      <w:pPr>
        <w:spacing w:line="360" w:lineRule="auto"/>
        <w:ind w:firstLine="708"/>
        <w:contextualSpacing/>
        <w:jc w:val="both"/>
        <w:rPr>
          <w:rFonts w:ascii="Garamond" w:hAnsi="Garamond"/>
          <w:sz w:val="24"/>
          <w:szCs w:val="24"/>
        </w:rPr>
      </w:pPr>
      <w:r w:rsidRPr="00530BAF">
        <w:rPr>
          <w:rFonts w:ascii="Garamond" w:hAnsi="Garamond"/>
          <w:sz w:val="24"/>
          <w:szCs w:val="24"/>
        </w:rPr>
        <w:t xml:space="preserve">Cílem mé práce je </w:t>
      </w:r>
      <w:r w:rsidR="00400736" w:rsidRPr="00530BAF">
        <w:rPr>
          <w:rFonts w:ascii="Garamond" w:hAnsi="Garamond"/>
          <w:sz w:val="24"/>
          <w:szCs w:val="24"/>
        </w:rPr>
        <w:t xml:space="preserve">vytvořit </w:t>
      </w:r>
      <w:r w:rsidR="00530BAF" w:rsidRPr="00530BAF">
        <w:rPr>
          <w:rFonts w:ascii="Garamond" w:hAnsi="Garamond"/>
          <w:sz w:val="24"/>
          <w:szCs w:val="24"/>
        </w:rPr>
        <w:t xml:space="preserve">pomocí deskriptivní a komparativní </w:t>
      </w:r>
      <w:r w:rsidR="009D5D74" w:rsidRPr="00530BAF">
        <w:rPr>
          <w:rFonts w:ascii="Garamond" w:hAnsi="Garamond"/>
          <w:sz w:val="24"/>
          <w:szCs w:val="24"/>
        </w:rPr>
        <w:t xml:space="preserve">metody </w:t>
      </w:r>
      <w:r w:rsidR="00400736" w:rsidRPr="00530BAF">
        <w:rPr>
          <w:rFonts w:ascii="Garamond" w:hAnsi="Garamond"/>
          <w:sz w:val="24"/>
          <w:szCs w:val="24"/>
        </w:rPr>
        <w:t xml:space="preserve">ucelený obrázek o tom, jak vypadal v římském právu civilní proces v případě </w:t>
      </w:r>
      <w:proofErr w:type="spellStart"/>
      <w:r w:rsidR="00400736" w:rsidRPr="00530BAF">
        <w:rPr>
          <w:rFonts w:ascii="Garamond" w:hAnsi="Garamond"/>
          <w:sz w:val="24"/>
          <w:szCs w:val="24"/>
        </w:rPr>
        <w:t>reivindikační</w:t>
      </w:r>
      <w:proofErr w:type="spellEnd"/>
      <w:r w:rsidR="00400736" w:rsidRPr="00530BAF">
        <w:rPr>
          <w:rFonts w:ascii="Garamond" w:hAnsi="Garamond"/>
          <w:sz w:val="24"/>
          <w:szCs w:val="24"/>
        </w:rPr>
        <w:t xml:space="preserve"> žaloby a poukázat na shody či případné odlišnosti v současné české právní úpravě </w:t>
      </w:r>
      <w:r w:rsidR="00530BAF" w:rsidRPr="00530BAF">
        <w:rPr>
          <w:rFonts w:ascii="Garamond" w:hAnsi="Garamond"/>
          <w:sz w:val="24"/>
          <w:szCs w:val="24"/>
        </w:rPr>
        <w:t xml:space="preserve">týkající se </w:t>
      </w:r>
      <w:r w:rsidR="00400736" w:rsidRPr="00530BAF">
        <w:rPr>
          <w:rFonts w:ascii="Garamond" w:hAnsi="Garamond"/>
          <w:sz w:val="24"/>
          <w:szCs w:val="24"/>
        </w:rPr>
        <w:t xml:space="preserve">této žaloby. </w:t>
      </w:r>
    </w:p>
    <w:p w:rsidR="00BA4B52" w:rsidRPr="00530BAF" w:rsidRDefault="007F62CE" w:rsidP="00FA1FF7">
      <w:pPr>
        <w:spacing w:line="360" w:lineRule="auto"/>
        <w:ind w:firstLine="708"/>
        <w:contextualSpacing/>
        <w:jc w:val="both"/>
        <w:rPr>
          <w:rFonts w:ascii="Garamond" w:hAnsi="Garamond"/>
          <w:sz w:val="24"/>
          <w:szCs w:val="24"/>
        </w:rPr>
      </w:pPr>
      <w:r w:rsidRPr="00530BAF">
        <w:rPr>
          <w:rFonts w:ascii="Garamond" w:hAnsi="Garamond"/>
          <w:sz w:val="24"/>
          <w:szCs w:val="24"/>
        </w:rPr>
        <w:t xml:space="preserve">Pro zpracování části práce zabývající se </w:t>
      </w:r>
      <w:proofErr w:type="spellStart"/>
      <w:r w:rsidRPr="00530BAF">
        <w:rPr>
          <w:rFonts w:ascii="Garamond" w:hAnsi="Garamond"/>
          <w:sz w:val="24"/>
          <w:szCs w:val="24"/>
        </w:rPr>
        <w:t>reivindikací</w:t>
      </w:r>
      <w:proofErr w:type="spellEnd"/>
      <w:r w:rsidRPr="00530BAF">
        <w:rPr>
          <w:rFonts w:ascii="Garamond" w:hAnsi="Garamond"/>
          <w:sz w:val="24"/>
          <w:szCs w:val="24"/>
        </w:rPr>
        <w:t xml:space="preserve"> v římském právu jsem využila </w:t>
      </w:r>
      <w:r w:rsidR="00B12359">
        <w:rPr>
          <w:rFonts w:ascii="Garamond" w:hAnsi="Garamond"/>
          <w:sz w:val="24"/>
          <w:szCs w:val="24"/>
        </w:rPr>
        <w:t>původní</w:t>
      </w:r>
      <w:r w:rsidRPr="00530BAF">
        <w:rPr>
          <w:rFonts w:ascii="Garamond" w:hAnsi="Garamond"/>
          <w:sz w:val="24"/>
          <w:szCs w:val="24"/>
        </w:rPr>
        <w:t xml:space="preserve"> prameny, jako </w:t>
      </w:r>
      <w:r w:rsidR="00530BAF">
        <w:rPr>
          <w:rFonts w:ascii="Garamond" w:hAnsi="Garamond"/>
          <w:sz w:val="24"/>
          <w:szCs w:val="24"/>
        </w:rPr>
        <w:t xml:space="preserve">zákon XII desek, Corpus </w:t>
      </w:r>
      <w:proofErr w:type="spellStart"/>
      <w:r w:rsidR="00530BAF">
        <w:rPr>
          <w:rFonts w:ascii="Garamond" w:hAnsi="Garamond"/>
          <w:sz w:val="24"/>
          <w:szCs w:val="24"/>
        </w:rPr>
        <w:t>Iuris</w:t>
      </w:r>
      <w:proofErr w:type="spellEnd"/>
      <w:r w:rsidR="00530BAF">
        <w:rPr>
          <w:rFonts w:ascii="Garamond" w:hAnsi="Garamond"/>
          <w:sz w:val="24"/>
          <w:szCs w:val="24"/>
        </w:rPr>
        <w:t xml:space="preserve"> </w:t>
      </w:r>
      <w:proofErr w:type="spellStart"/>
      <w:r w:rsidR="00530BAF">
        <w:rPr>
          <w:rFonts w:ascii="Garamond" w:hAnsi="Garamond"/>
          <w:sz w:val="24"/>
          <w:szCs w:val="24"/>
        </w:rPr>
        <w:t>Civilis</w:t>
      </w:r>
      <w:proofErr w:type="spellEnd"/>
      <w:r w:rsidR="00B12359">
        <w:rPr>
          <w:rFonts w:ascii="Garamond" w:hAnsi="Garamond"/>
          <w:sz w:val="24"/>
          <w:szCs w:val="24"/>
        </w:rPr>
        <w:t xml:space="preserve"> </w:t>
      </w:r>
      <w:r w:rsidR="00530BAF">
        <w:rPr>
          <w:rFonts w:ascii="Garamond" w:hAnsi="Garamond"/>
          <w:sz w:val="24"/>
          <w:szCs w:val="24"/>
        </w:rPr>
        <w:t xml:space="preserve">(především </w:t>
      </w:r>
      <w:proofErr w:type="spellStart"/>
      <w:r w:rsidR="00530BAF">
        <w:rPr>
          <w:rFonts w:ascii="Garamond" w:hAnsi="Garamond"/>
          <w:sz w:val="24"/>
          <w:szCs w:val="24"/>
        </w:rPr>
        <w:t>Digesta</w:t>
      </w:r>
      <w:proofErr w:type="spellEnd"/>
      <w:r w:rsidR="00530BAF">
        <w:rPr>
          <w:rFonts w:ascii="Garamond" w:hAnsi="Garamond"/>
          <w:sz w:val="24"/>
          <w:szCs w:val="24"/>
        </w:rPr>
        <w:t xml:space="preserve"> </w:t>
      </w:r>
      <w:proofErr w:type="spellStart"/>
      <w:r w:rsidR="00530BAF">
        <w:rPr>
          <w:rFonts w:ascii="Garamond" w:hAnsi="Garamond"/>
          <w:sz w:val="24"/>
          <w:szCs w:val="24"/>
        </w:rPr>
        <w:t>seu</w:t>
      </w:r>
      <w:proofErr w:type="spellEnd"/>
      <w:r w:rsidR="00530BAF">
        <w:rPr>
          <w:rFonts w:ascii="Garamond" w:hAnsi="Garamond"/>
          <w:sz w:val="24"/>
          <w:szCs w:val="24"/>
        </w:rPr>
        <w:t xml:space="preserve"> </w:t>
      </w:r>
      <w:proofErr w:type="spellStart"/>
      <w:r w:rsidR="00530BAF">
        <w:rPr>
          <w:rFonts w:ascii="Garamond" w:hAnsi="Garamond"/>
          <w:sz w:val="24"/>
          <w:szCs w:val="24"/>
        </w:rPr>
        <w:t>Pandectae</w:t>
      </w:r>
      <w:proofErr w:type="spellEnd"/>
      <w:r w:rsidR="00530BAF">
        <w:rPr>
          <w:rFonts w:ascii="Garamond" w:hAnsi="Garamond"/>
          <w:sz w:val="24"/>
          <w:szCs w:val="24"/>
        </w:rPr>
        <w:t>)</w:t>
      </w:r>
      <w:r w:rsidRPr="00530BAF">
        <w:rPr>
          <w:rFonts w:ascii="Garamond" w:hAnsi="Garamond"/>
          <w:sz w:val="24"/>
          <w:szCs w:val="24"/>
        </w:rPr>
        <w:t xml:space="preserve">, a též jejich anglické a české překlady. </w:t>
      </w:r>
      <w:r w:rsidR="00400736" w:rsidRPr="00530BAF">
        <w:rPr>
          <w:rFonts w:ascii="Garamond" w:hAnsi="Garamond"/>
          <w:sz w:val="24"/>
          <w:szCs w:val="24"/>
        </w:rPr>
        <w:t xml:space="preserve">Dále jsem též hojně využívala novějších materiálů, především </w:t>
      </w:r>
      <w:r w:rsidR="00B12359">
        <w:rPr>
          <w:rFonts w:ascii="Garamond" w:hAnsi="Garamond"/>
          <w:sz w:val="24"/>
          <w:szCs w:val="24"/>
        </w:rPr>
        <w:t>učebnice římského práva, encyklopedie a další odborné monografie a články zabývající se problematikou římského práva</w:t>
      </w:r>
      <w:r w:rsidR="009D5D74">
        <w:rPr>
          <w:rFonts w:ascii="Garamond" w:hAnsi="Garamond"/>
          <w:sz w:val="24"/>
          <w:szCs w:val="24"/>
        </w:rPr>
        <w:t xml:space="preserve">. Část </w:t>
      </w:r>
      <w:r w:rsidR="00400736" w:rsidRPr="00530BAF">
        <w:rPr>
          <w:rFonts w:ascii="Garamond" w:hAnsi="Garamond"/>
          <w:sz w:val="24"/>
          <w:szCs w:val="24"/>
        </w:rPr>
        <w:t xml:space="preserve">práce zabývající se současnou právní úpravou jsem </w:t>
      </w:r>
      <w:r w:rsidR="00530BAF" w:rsidRPr="00530BAF">
        <w:rPr>
          <w:rFonts w:ascii="Garamond" w:hAnsi="Garamond"/>
          <w:sz w:val="24"/>
          <w:szCs w:val="24"/>
        </w:rPr>
        <w:t xml:space="preserve">zpracovala na základě aktuálně platných a účinných právních předpisů a dále též na základě judikatury a komentářové literatury. </w:t>
      </w:r>
    </w:p>
    <w:p w:rsidR="00D708E4" w:rsidRPr="009C1D64" w:rsidRDefault="00A46C41" w:rsidP="00FA1FF7">
      <w:pPr>
        <w:spacing w:line="360" w:lineRule="auto"/>
        <w:ind w:firstLine="708"/>
        <w:contextualSpacing/>
        <w:jc w:val="both"/>
        <w:rPr>
          <w:rFonts w:ascii="Garamond" w:hAnsi="Garamond"/>
          <w:sz w:val="24"/>
          <w:szCs w:val="24"/>
        </w:rPr>
      </w:pPr>
      <w:r w:rsidRPr="00530BAF">
        <w:rPr>
          <w:rFonts w:ascii="Garamond" w:hAnsi="Garamond"/>
          <w:sz w:val="24"/>
          <w:szCs w:val="24"/>
        </w:rPr>
        <w:t xml:space="preserve">Diplomová práce je rozčleněna do 7 kapitol. V první kapitole se zabývám </w:t>
      </w:r>
      <w:proofErr w:type="spellStart"/>
      <w:r w:rsidRPr="00530BAF">
        <w:rPr>
          <w:rFonts w:ascii="Garamond" w:hAnsi="Garamond"/>
          <w:sz w:val="24"/>
          <w:szCs w:val="24"/>
        </w:rPr>
        <w:t>reivindikační</w:t>
      </w:r>
      <w:proofErr w:type="spellEnd"/>
      <w:r w:rsidRPr="00530BAF">
        <w:rPr>
          <w:rFonts w:ascii="Garamond" w:hAnsi="Garamond"/>
          <w:sz w:val="24"/>
          <w:szCs w:val="24"/>
        </w:rPr>
        <w:t xml:space="preserve"> žalobou obecně. Nejprve se zaměřuji na to, co to vlastně byla </w:t>
      </w:r>
      <w:proofErr w:type="spellStart"/>
      <w:r w:rsidRPr="00530BAF">
        <w:rPr>
          <w:rFonts w:ascii="Garamond" w:hAnsi="Garamond"/>
          <w:sz w:val="24"/>
          <w:szCs w:val="24"/>
        </w:rPr>
        <w:t>reivindikační</w:t>
      </w:r>
      <w:proofErr w:type="spellEnd"/>
      <w:r w:rsidRPr="00530BAF">
        <w:rPr>
          <w:rFonts w:ascii="Garamond" w:hAnsi="Garamond"/>
          <w:sz w:val="24"/>
          <w:szCs w:val="24"/>
        </w:rPr>
        <w:t xml:space="preserve"> žaloba, k čemu sloužila a jaký měla v římském právu význam. Následně se věnuji předmětu </w:t>
      </w:r>
      <w:proofErr w:type="spellStart"/>
      <w:r w:rsidRPr="00530BAF">
        <w:rPr>
          <w:rFonts w:ascii="Garamond" w:hAnsi="Garamond"/>
          <w:sz w:val="24"/>
          <w:szCs w:val="24"/>
        </w:rPr>
        <w:t>reivindikace</w:t>
      </w:r>
      <w:proofErr w:type="spellEnd"/>
      <w:r w:rsidRPr="00530BAF">
        <w:rPr>
          <w:rFonts w:ascii="Garamond" w:hAnsi="Garamond"/>
          <w:sz w:val="24"/>
          <w:szCs w:val="24"/>
        </w:rPr>
        <w:t xml:space="preserve">. Dále rozebírám, jak se </w:t>
      </w:r>
      <w:proofErr w:type="spellStart"/>
      <w:r w:rsidRPr="00530BAF">
        <w:rPr>
          <w:rFonts w:ascii="Garamond" w:hAnsi="Garamond"/>
          <w:sz w:val="24"/>
          <w:szCs w:val="24"/>
        </w:rPr>
        <w:t>reivindikační</w:t>
      </w:r>
      <w:proofErr w:type="spellEnd"/>
      <w:r w:rsidRPr="00530BAF">
        <w:rPr>
          <w:rFonts w:ascii="Garamond" w:hAnsi="Garamond"/>
          <w:sz w:val="24"/>
          <w:szCs w:val="24"/>
        </w:rPr>
        <w:t xml:space="preserve"> žaloba v průběhu času </w:t>
      </w:r>
      <w:r w:rsidR="00BA4B52" w:rsidRPr="00530BAF">
        <w:rPr>
          <w:rFonts w:ascii="Garamond" w:hAnsi="Garamond"/>
          <w:sz w:val="24"/>
          <w:szCs w:val="24"/>
        </w:rPr>
        <w:t xml:space="preserve">společně s celým civilním procesem </w:t>
      </w:r>
      <w:r w:rsidRPr="00530BAF">
        <w:rPr>
          <w:rFonts w:ascii="Garamond" w:hAnsi="Garamond"/>
          <w:sz w:val="24"/>
          <w:szCs w:val="24"/>
        </w:rPr>
        <w:t xml:space="preserve">v římském právu vyvíjela. Poslední podkapitolu věnuji srovnání se současnou právní úpravou, tedy zaměřuji se na to, jaký účel a význam má </w:t>
      </w:r>
      <w:proofErr w:type="spellStart"/>
      <w:r w:rsidRPr="00530BAF">
        <w:rPr>
          <w:rFonts w:ascii="Garamond" w:hAnsi="Garamond"/>
          <w:sz w:val="24"/>
          <w:szCs w:val="24"/>
        </w:rPr>
        <w:t>reivindikační</w:t>
      </w:r>
      <w:proofErr w:type="spellEnd"/>
      <w:r w:rsidRPr="00530BAF">
        <w:rPr>
          <w:rFonts w:ascii="Garamond" w:hAnsi="Garamond"/>
          <w:sz w:val="24"/>
          <w:szCs w:val="24"/>
        </w:rPr>
        <w:t xml:space="preserve"> žaloba v současné právní úpravě a co je předmětem dnešní </w:t>
      </w:r>
      <w:proofErr w:type="spellStart"/>
      <w:r w:rsidRPr="00530BAF">
        <w:rPr>
          <w:rFonts w:ascii="Garamond" w:hAnsi="Garamond"/>
          <w:sz w:val="24"/>
          <w:szCs w:val="24"/>
        </w:rPr>
        <w:t>reivindikace</w:t>
      </w:r>
      <w:proofErr w:type="spellEnd"/>
      <w:r w:rsidRPr="00530BAF">
        <w:rPr>
          <w:rFonts w:ascii="Garamond" w:hAnsi="Garamond"/>
          <w:sz w:val="24"/>
          <w:szCs w:val="24"/>
        </w:rPr>
        <w:t>.</w:t>
      </w:r>
      <w:r w:rsidR="00BA4B52" w:rsidRPr="00530BAF">
        <w:rPr>
          <w:rFonts w:ascii="Garamond" w:hAnsi="Garamond"/>
          <w:sz w:val="24"/>
          <w:szCs w:val="24"/>
        </w:rPr>
        <w:t xml:space="preserve"> </w:t>
      </w:r>
      <w:r w:rsidRPr="00530BAF">
        <w:rPr>
          <w:rFonts w:ascii="Garamond" w:hAnsi="Garamond"/>
          <w:sz w:val="24"/>
          <w:szCs w:val="24"/>
        </w:rPr>
        <w:t>Druhou kapitolu věnuji problematice aktivní legitimace</w:t>
      </w:r>
      <w:r w:rsidR="00BA4B52" w:rsidRPr="00530BAF">
        <w:rPr>
          <w:rFonts w:ascii="Garamond" w:hAnsi="Garamond"/>
          <w:sz w:val="24"/>
          <w:szCs w:val="24"/>
        </w:rPr>
        <w:t xml:space="preserve"> v římském právu a v současné právní úpravě. </w:t>
      </w:r>
      <w:r w:rsidRPr="00530BAF">
        <w:rPr>
          <w:rFonts w:ascii="Garamond" w:hAnsi="Garamond"/>
          <w:sz w:val="24"/>
          <w:szCs w:val="24"/>
        </w:rPr>
        <w:t xml:space="preserve">V třetí kapitole se </w:t>
      </w:r>
      <w:r w:rsidR="00BA4B52" w:rsidRPr="00530BAF">
        <w:rPr>
          <w:rFonts w:ascii="Garamond" w:hAnsi="Garamond"/>
          <w:sz w:val="24"/>
          <w:szCs w:val="24"/>
        </w:rPr>
        <w:t>zabývám</w:t>
      </w:r>
      <w:r w:rsidRPr="00530BAF">
        <w:rPr>
          <w:rFonts w:ascii="Garamond" w:hAnsi="Garamond"/>
          <w:sz w:val="24"/>
          <w:szCs w:val="24"/>
        </w:rPr>
        <w:t xml:space="preserve"> problematikou pasivní legitimace</w:t>
      </w:r>
      <w:r w:rsidR="00BA4B52" w:rsidRPr="00530BAF">
        <w:rPr>
          <w:rFonts w:ascii="Garamond" w:hAnsi="Garamond"/>
          <w:sz w:val="24"/>
          <w:szCs w:val="24"/>
        </w:rPr>
        <w:t xml:space="preserve">, opět v římském právu a v současné právní úpravě. </w:t>
      </w:r>
      <w:r w:rsidRPr="00530BAF">
        <w:rPr>
          <w:rFonts w:ascii="Garamond" w:hAnsi="Garamond"/>
          <w:sz w:val="24"/>
          <w:szCs w:val="24"/>
        </w:rPr>
        <w:t xml:space="preserve">Čtvrtá kapitola </w:t>
      </w:r>
      <w:r w:rsidR="00BA4B52" w:rsidRPr="00530BAF">
        <w:rPr>
          <w:rFonts w:ascii="Garamond" w:hAnsi="Garamond"/>
          <w:sz w:val="24"/>
          <w:szCs w:val="24"/>
        </w:rPr>
        <w:t>je věnována dokazování, konkrétně důkazním prostředkům v římském právu, problematice</w:t>
      </w:r>
      <w:r w:rsidRPr="00530BAF">
        <w:rPr>
          <w:rFonts w:ascii="Garamond" w:hAnsi="Garamond"/>
          <w:sz w:val="24"/>
          <w:szCs w:val="24"/>
        </w:rPr>
        <w:t xml:space="preserve"> důkazního břemene a nakonec opět </w:t>
      </w:r>
      <w:r w:rsidR="00BA4B52" w:rsidRPr="00530BAF">
        <w:rPr>
          <w:rFonts w:ascii="Garamond" w:hAnsi="Garamond"/>
          <w:sz w:val="24"/>
          <w:szCs w:val="24"/>
        </w:rPr>
        <w:t xml:space="preserve">porovnání se současnou právní úpravou. </w:t>
      </w:r>
      <w:r w:rsidRPr="00530BAF">
        <w:rPr>
          <w:rFonts w:ascii="Garamond" w:hAnsi="Garamond"/>
          <w:sz w:val="24"/>
          <w:szCs w:val="24"/>
        </w:rPr>
        <w:t xml:space="preserve">Pátá kapitola </w:t>
      </w:r>
      <w:r w:rsidR="00BA4B52" w:rsidRPr="00530BAF">
        <w:rPr>
          <w:rFonts w:ascii="Garamond" w:hAnsi="Garamond"/>
          <w:sz w:val="24"/>
          <w:szCs w:val="24"/>
        </w:rPr>
        <w:t>se zaměřuje</w:t>
      </w:r>
      <w:r w:rsidRPr="00530BAF">
        <w:rPr>
          <w:rFonts w:ascii="Garamond" w:hAnsi="Garamond"/>
          <w:sz w:val="24"/>
          <w:szCs w:val="24"/>
        </w:rPr>
        <w:t xml:space="preserve"> na problematiku nákladů řízení</w:t>
      </w:r>
      <w:r w:rsidR="00BA4B52" w:rsidRPr="00530BAF">
        <w:rPr>
          <w:rFonts w:ascii="Garamond" w:hAnsi="Garamond"/>
          <w:sz w:val="24"/>
          <w:szCs w:val="24"/>
        </w:rPr>
        <w:t xml:space="preserve"> v římském právu a v současné právní úpravě. </w:t>
      </w:r>
      <w:r w:rsidRPr="00530BAF">
        <w:rPr>
          <w:rFonts w:ascii="Garamond" w:hAnsi="Garamond"/>
          <w:sz w:val="24"/>
          <w:szCs w:val="24"/>
        </w:rPr>
        <w:t xml:space="preserve">Šestá kapitola </w:t>
      </w:r>
      <w:r w:rsidR="00BA4B52" w:rsidRPr="00530BAF">
        <w:rPr>
          <w:rFonts w:ascii="Garamond" w:hAnsi="Garamond"/>
          <w:sz w:val="24"/>
          <w:szCs w:val="24"/>
        </w:rPr>
        <w:t>je zaměřena</w:t>
      </w:r>
      <w:r w:rsidRPr="00530BAF">
        <w:rPr>
          <w:rFonts w:ascii="Garamond" w:hAnsi="Garamond"/>
          <w:sz w:val="24"/>
          <w:szCs w:val="24"/>
        </w:rPr>
        <w:t xml:space="preserve"> na výkon rozhodnutí. </w:t>
      </w:r>
      <w:r w:rsidR="00BA4B52" w:rsidRPr="00530BAF">
        <w:rPr>
          <w:rFonts w:ascii="Garamond" w:hAnsi="Garamond"/>
          <w:sz w:val="24"/>
          <w:szCs w:val="24"/>
        </w:rPr>
        <w:t>Zabývám se</w:t>
      </w:r>
      <w:r w:rsidRPr="00530BAF">
        <w:rPr>
          <w:rFonts w:ascii="Garamond" w:hAnsi="Garamond"/>
          <w:sz w:val="24"/>
          <w:szCs w:val="24"/>
        </w:rPr>
        <w:t xml:space="preserve"> tím, jaké byly předpoklady pro výkon rozhodnutí a </w:t>
      </w:r>
      <w:r w:rsidRPr="00530BAF">
        <w:rPr>
          <w:rFonts w:ascii="Garamond" w:hAnsi="Garamond"/>
          <w:sz w:val="24"/>
          <w:szCs w:val="24"/>
        </w:rPr>
        <w:lastRenderedPageBreak/>
        <w:t>jakým způsobem byl výkon rozhodnutí v římském právu prováděn</w:t>
      </w:r>
      <w:r w:rsidR="00BA4B52" w:rsidRPr="00530BAF">
        <w:rPr>
          <w:rFonts w:ascii="Garamond" w:hAnsi="Garamond"/>
          <w:sz w:val="24"/>
          <w:szCs w:val="24"/>
        </w:rPr>
        <w:t xml:space="preserve">, poté opět následuje srovnání se současnou právní úpravou. </w:t>
      </w:r>
      <w:r w:rsidRPr="00530BAF">
        <w:rPr>
          <w:rFonts w:ascii="Garamond" w:hAnsi="Garamond"/>
          <w:sz w:val="24"/>
          <w:szCs w:val="24"/>
        </w:rPr>
        <w:t xml:space="preserve">V sedmé kapitole se </w:t>
      </w:r>
      <w:r w:rsidR="00BA4B52" w:rsidRPr="00530BAF">
        <w:rPr>
          <w:rFonts w:ascii="Garamond" w:hAnsi="Garamond"/>
          <w:sz w:val="24"/>
          <w:szCs w:val="24"/>
        </w:rPr>
        <w:t>zabývám</w:t>
      </w:r>
      <w:r w:rsidRPr="00530BAF">
        <w:rPr>
          <w:rFonts w:ascii="Garamond" w:hAnsi="Garamond"/>
          <w:sz w:val="24"/>
          <w:szCs w:val="24"/>
        </w:rPr>
        <w:t xml:space="preserve"> konkurencí </w:t>
      </w:r>
      <w:proofErr w:type="spellStart"/>
      <w:r w:rsidRPr="00530BAF">
        <w:rPr>
          <w:rFonts w:ascii="Garamond" w:hAnsi="Garamond"/>
          <w:sz w:val="24"/>
          <w:szCs w:val="24"/>
        </w:rPr>
        <w:t>reivindikační</w:t>
      </w:r>
      <w:proofErr w:type="spellEnd"/>
      <w:r w:rsidRPr="00530BAF">
        <w:rPr>
          <w:rFonts w:ascii="Garamond" w:hAnsi="Garamond"/>
          <w:sz w:val="24"/>
          <w:szCs w:val="24"/>
        </w:rPr>
        <w:t xml:space="preserve"> žaloby </w:t>
      </w:r>
      <w:r w:rsidR="00BA4B52" w:rsidRPr="00530BAF">
        <w:rPr>
          <w:rFonts w:ascii="Garamond" w:hAnsi="Garamond"/>
          <w:sz w:val="24"/>
          <w:szCs w:val="24"/>
        </w:rPr>
        <w:t>s </w:t>
      </w:r>
      <w:proofErr w:type="spellStart"/>
      <w:r w:rsidR="00BA4B52" w:rsidRPr="00530BAF">
        <w:rPr>
          <w:rFonts w:ascii="Garamond" w:hAnsi="Garamond"/>
          <w:sz w:val="24"/>
          <w:szCs w:val="24"/>
        </w:rPr>
        <w:t>Akvilskou</w:t>
      </w:r>
      <w:proofErr w:type="spellEnd"/>
      <w:r w:rsidR="00BA4B52" w:rsidRPr="00530BAF">
        <w:rPr>
          <w:rFonts w:ascii="Garamond" w:hAnsi="Garamond"/>
          <w:sz w:val="24"/>
          <w:szCs w:val="24"/>
        </w:rPr>
        <w:t xml:space="preserve"> žalobou, žalobou</w:t>
      </w:r>
      <w:r w:rsidRPr="00530BAF">
        <w:rPr>
          <w:rFonts w:ascii="Garamond" w:hAnsi="Garamond"/>
          <w:sz w:val="24"/>
          <w:szCs w:val="24"/>
        </w:rPr>
        <w:t xml:space="preserve"> z krád</w:t>
      </w:r>
      <w:r w:rsidR="00BA4B52" w:rsidRPr="00530BAF">
        <w:rPr>
          <w:rFonts w:ascii="Garamond" w:hAnsi="Garamond"/>
          <w:sz w:val="24"/>
          <w:szCs w:val="24"/>
        </w:rPr>
        <w:t>eže, žalobou</w:t>
      </w:r>
      <w:r w:rsidRPr="00530BAF">
        <w:rPr>
          <w:rFonts w:ascii="Garamond" w:hAnsi="Garamond"/>
          <w:sz w:val="24"/>
          <w:szCs w:val="24"/>
        </w:rPr>
        <w:t xml:space="preserve"> z</w:t>
      </w:r>
      <w:r w:rsidR="00BA4B52" w:rsidRPr="00530BAF">
        <w:rPr>
          <w:rFonts w:ascii="Garamond" w:hAnsi="Garamond"/>
          <w:sz w:val="24"/>
          <w:szCs w:val="24"/>
        </w:rPr>
        <w:t> urážky a žalobou</w:t>
      </w:r>
      <w:r w:rsidRPr="00530BAF">
        <w:rPr>
          <w:rFonts w:ascii="Garamond" w:hAnsi="Garamond"/>
          <w:sz w:val="24"/>
          <w:szCs w:val="24"/>
        </w:rPr>
        <w:t xml:space="preserve"> na rozdělení spoluvlastnictví.</w:t>
      </w:r>
    </w:p>
    <w:p w:rsidR="009D5D74" w:rsidRDefault="009D5D74" w:rsidP="00FA1FF7">
      <w:pPr>
        <w:spacing w:line="360" w:lineRule="auto"/>
        <w:contextualSpacing/>
        <w:jc w:val="both"/>
        <w:rPr>
          <w:rFonts w:ascii="Garamond" w:eastAsiaTheme="majorEastAsia" w:hAnsi="Garamond" w:cstheme="majorBidi"/>
          <w:b/>
          <w:bCs/>
          <w:sz w:val="32"/>
          <w:szCs w:val="28"/>
        </w:rPr>
      </w:pPr>
      <w:r>
        <w:br w:type="page"/>
      </w:r>
    </w:p>
    <w:p w:rsidR="005E348A" w:rsidRPr="00DA196C" w:rsidRDefault="005E348A" w:rsidP="00FA1FF7">
      <w:pPr>
        <w:pStyle w:val="Nadpis1"/>
        <w:contextualSpacing/>
      </w:pPr>
      <w:bookmarkStart w:id="1" w:name="_Toc36031930"/>
      <w:r w:rsidRPr="00DA196C">
        <w:lastRenderedPageBreak/>
        <w:t xml:space="preserve">O </w:t>
      </w:r>
      <w:proofErr w:type="spellStart"/>
      <w:r w:rsidRPr="00DA196C">
        <w:t>reivindikační</w:t>
      </w:r>
      <w:proofErr w:type="spellEnd"/>
      <w:r w:rsidRPr="00DA196C">
        <w:t xml:space="preserve"> žalobě obecně</w:t>
      </w:r>
      <w:bookmarkEnd w:id="1"/>
    </w:p>
    <w:p w:rsidR="005E348A" w:rsidRPr="00DA196C" w:rsidRDefault="005E348A" w:rsidP="00FA1FF7">
      <w:pPr>
        <w:pStyle w:val="Nadpis2"/>
        <w:contextualSpacing/>
      </w:pPr>
      <w:bookmarkStart w:id="2" w:name="_Toc36031931"/>
      <w:r w:rsidRPr="00DA196C">
        <w:t xml:space="preserve">Pojem </w:t>
      </w:r>
      <w:proofErr w:type="spellStart"/>
      <w:r w:rsidRPr="00DA196C">
        <w:t>rei</w:t>
      </w:r>
      <w:proofErr w:type="spellEnd"/>
      <w:r w:rsidRPr="00DA196C">
        <w:t xml:space="preserve"> </w:t>
      </w:r>
      <w:proofErr w:type="spellStart"/>
      <w:r w:rsidRPr="00DA196C">
        <w:t>vindicatio</w:t>
      </w:r>
      <w:bookmarkEnd w:id="2"/>
      <w:proofErr w:type="spellEnd"/>
    </w:p>
    <w:p w:rsidR="0053495D" w:rsidRPr="00DA196C" w:rsidRDefault="00C07549"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Pojem </w:t>
      </w:r>
      <w:proofErr w:type="spellStart"/>
      <w:r w:rsidRPr="00083A23">
        <w:rPr>
          <w:rFonts w:ascii="Garamond" w:hAnsi="Garamond"/>
          <w:i/>
          <w:sz w:val="24"/>
          <w:szCs w:val="24"/>
        </w:rPr>
        <w:t>rei</w:t>
      </w:r>
      <w:proofErr w:type="spellEnd"/>
      <w:r w:rsidRPr="00083A23">
        <w:rPr>
          <w:rFonts w:ascii="Garamond" w:hAnsi="Garamond"/>
          <w:i/>
          <w:sz w:val="24"/>
          <w:szCs w:val="24"/>
        </w:rPr>
        <w:t xml:space="preserve"> </w:t>
      </w:r>
      <w:proofErr w:type="spellStart"/>
      <w:r w:rsidRPr="00083A23">
        <w:rPr>
          <w:rFonts w:ascii="Garamond" w:hAnsi="Garamond"/>
          <w:i/>
          <w:sz w:val="24"/>
          <w:szCs w:val="24"/>
        </w:rPr>
        <w:t>vindicatio</w:t>
      </w:r>
      <w:proofErr w:type="spellEnd"/>
      <w:r w:rsidRPr="00DA196C">
        <w:rPr>
          <w:rFonts w:ascii="Garamond" w:hAnsi="Garamond"/>
          <w:sz w:val="24"/>
          <w:szCs w:val="24"/>
        </w:rPr>
        <w:t xml:space="preserve"> označuje civilní žalobu </w:t>
      </w:r>
      <w:r w:rsidRPr="00083A23">
        <w:rPr>
          <w:rFonts w:ascii="Garamond" w:hAnsi="Garamond"/>
          <w:i/>
          <w:sz w:val="24"/>
          <w:szCs w:val="24"/>
        </w:rPr>
        <w:t xml:space="preserve">in </w:t>
      </w:r>
      <w:proofErr w:type="spellStart"/>
      <w:r w:rsidRPr="00083A23">
        <w:rPr>
          <w:rFonts w:ascii="Garamond" w:hAnsi="Garamond"/>
          <w:i/>
          <w:sz w:val="24"/>
          <w:szCs w:val="24"/>
        </w:rPr>
        <w:t>rem</w:t>
      </w:r>
      <w:proofErr w:type="spellEnd"/>
      <w:r w:rsidR="00340DED">
        <w:rPr>
          <w:rFonts w:ascii="Garamond" w:hAnsi="Garamond"/>
          <w:i/>
          <w:sz w:val="24"/>
          <w:szCs w:val="24"/>
        </w:rPr>
        <w:t>.</w:t>
      </w:r>
      <w:r w:rsidRPr="00DA196C">
        <w:rPr>
          <w:rStyle w:val="Znakapoznpodarou"/>
          <w:rFonts w:ascii="Garamond" w:hAnsi="Garamond"/>
          <w:sz w:val="24"/>
          <w:szCs w:val="24"/>
        </w:rPr>
        <w:footnoteReference w:id="1"/>
      </w:r>
      <w:r w:rsidR="00340DED">
        <w:rPr>
          <w:rFonts w:ascii="Garamond" w:hAnsi="Garamond"/>
          <w:i/>
          <w:sz w:val="24"/>
          <w:szCs w:val="24"/>
        </w:rPr>
        <w:t xml:space="preserve"> </w:t>
      </w:r>
      <w:proofErr w:type="spellStart"/>
      <w:r w:rsidR="0053495D" w:rsidRPr="00340DED">
        <w:rPr>
          <w:rFonts w:ascii="Garamond" w:hAnsi="Garamond"/>
          <w:i/>
          <w:sz w:val="24"/>
          <w:szCs w:val="24"/>
        </w:rPr>
        <w:t>Actiones</w:t>
      </w:r>
      <w:proofErr w:type="spellEnd"/>
      <w:r w:rsidR="0053495D" w:rsidRPr="00340DED">
        <w:rPr>
          <w:rFonts w:ascii="Garamond" w:hAnsi="Garamond"/>
          <w:i/>
          <w:sz w:val="24"/>
          <w:szCs w:val="24"/>
        </w:rPr>
        <w:t xml:space="preserve"> in </w:t>
      </w:r>
      <w:proofErr w:type="spellStart"/>
      <w:r w:rsidR="0053495D" w:rsidRPr="00340DED">
        <w:rPr>
          <w:rFonts w:ascii="Garamond" w:hAnsi="Garamond"/>
          <w:i/>
          <w:sz w:val="24"/>
          <w:szCs w:val="24"/>
        </w:rPr>
        <w:t>rem</w:t>
      </w:r>
      <w:proofErr w:type="spellEnd"/>
      <w:r w:rsidR="0053495D" w:rsidRPr="00DA196C">
        <w:rPr>
          <w:rFonts w:ascii="Garamond" w:hAnsi="Garamond"/>
          <w:sz w:val="24"/>
          <w:szCs w:val="24"/>
        </w:rPr>
        <w:t xml:space="preserve"> jsou věcné žaloby, tedy žaloby směřující k ochraně věcných práv, předně k ochraně práva vlastnického jako je tomu i u reivindikace. Věcné žaloby chrání nositele absolutního práva proti zásahům do tohoto jeho práva a působí proti všem.</w:t>
      </w:r>
    </w:p>
    <w:p w:rsidR="008076F0" w:rsidRPr="00DA196C" w:rsidRDefault="0053495D" w:rsidP="00FA1FF7">
      <w:pPr>
        <w:spacing w:after="0" w:line="360" w:lineRule="auto"/>
        <w:ind w:firstLine="708"/>
        <w:contextualSpacing/>
        <w:jc w:val="both"/>
        <w:rPr>
          <w:rFonts w:ascii="Garamond" w:hAnsi="Garamond"/>
          <w:sz w:val="24"/>
          <w:szCs w:val="24"/>
        </w:rPr>
      </w:pP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žaloba</w:t>
      </w:r>
      <w:r w:rsidR="00E84096" w:rsidRPr="00DA196C">
        <w:rPr>
          <w:rFonts w:ascii="Garamond" w:hAnsi="Garamond"/>
          <w:sz w:val="24"/>
          <w:szCs w:val="24"/>
        </w:rPr>
        <w:t xml:space="preserve"> příslušela</w:t>
      </w:r>
      <w:r w:rsidR="00EA5753" w:rsidRPr="00DA196C">
        <w:rPr>
          <w:rFonts w:ascii="Garamond" w:hAnsi="Garamond"/>
          <w:sz w:val="24"/>
          <w:szCs w:val="24"/>
        </w:rPr>
        <w:t xml:space="preserve"> vlastníkovi</w:t>
      </w:r>
      <w:r w:rsidR="00E84096" w:rsidRPr="00DA196C">
        <w:rPr>
          <w:rFonts w:ascii="Garamond" w:hAnsi="Garamond"/>
          <w:sz w:val="24"/>
          <w:szCs w:val="24"/>
        </w:rPr>
        <w:t xml:space="preserve"> věci</w:t>
      </w:r>
      <w:r w:rsidR="00EA5753" w:rsidRPr="00DA196C">
        <w:rPr>
          <w:rFonts w:ascii="Garamond" w:hAnsi="Garamond"/>
          <w:sz w:val="24"/>
          <w:szCs w:val="24"/>
        </w:rPr>
        <w:t xml:space="preserve"> proti neprávem držícímu nevlastníkovi. </w:t>
      </w:r>
      <w:r w:rsidR="00E84096" w:rsidRPr="00DA196C">
        <w:rPr>
          <w:rFonts w:ascii="Garamond" w:hAnsi="Garamond"/>
          <w:sz w:val="24"/>
          <w:szCs w:val="24"/>
        </w:rPr>
        <w:t>Touto žalobou se žalobce domáhal</w:t>
      </w:r>
      <w:r w:rsidR="00E50859" w:rsidRPr="00DA196C">
        <w:rPr>
          <w:rFonts w:ascii="Garamond" w:hAnsi="Garamond"/>
          <w:sz w:val="24"/>
          <w:szCs w:val="24"/>
        </w:rPr>
        <w:t xml:space="preserve"> uznání svého vlastnického práva a vydání věci, případně peněžité náhrady.</w:t>
      </w:r>
      <w:r w:rsidR="00470E27" w:rsidRPr="00DA196C">
        <w:rPr>
          <w:rStyle w:val="Znakapoznpodarou"/>
          <w:rFonts w:ascii="Garamond" w:hAnsi="Garamond"/>
          <w:sz w:val="24"/>
          <w:szCs w:val="24"/>
        </w:rPr>
        <w:footnoteReference w:id="2"/>
      </w:r>
      <w:r w:rsidR="008076F0" w:rsidRPr="00DA196C">
        <w:rPr>
          <w:rFonts w:ascii="Garamond" w:hAnsi="Garamond"/>
          <w:sz w:val="24"/>
          <w:szCs w:val="24"/>
        </w:rPr>
        <w:t xml:space="preserve"> Jednalo se o nejsilnější a vůbec nejúčinnější prostředek, kterého mohl vlastník věci k ochraně svého práva využít.</w:t>
      </w:r>
    </w:p>
    <w:p w:rsidR="008076F0" w:rsidRPr="00DA196C" w:rsidRDefault="008076F0"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Jestliže </w:t>
      </w:r>
      <w:r w:rsidR="00B3415E" w:rsidRPr="00DA196C">
        <w:rPr>
          <w:rFonts w:ascii="Garamond" w:hAnsi="Garamond"/>
          <w:sz w:val="24"/>
          <w:szCs w:val="24"/>
        </w:rPr>
        <w:t>bylo do vla</w:t>
      </w:r>
      <w:r w:rsidR="00340DED">
        <w:rPr>
          <w:rFonts w:ascii="Garamond" w:hAnsi="Garamond"/>
          <w:sz w:val="24"/>
          <w:szCs w:val="24"/>
        </w:rPr>
        <w:t>s</w:t>
      </w:r>
      <w:r w:rsidR="00B3415E" w:rsidRPr="00DA196C">
        <w:rPr>
          <w:rFonts w:ascii="Garamond" w:hAnsi="Garamond"/>
          <w:sz w:val="24"/>
          <w:szCs w:val="24"/>
        </w:rPr>
        <w:t>tnického práva vlastníka věci zasaženo jiným způsobem, nežli zadržováním předmětné věci, sloužila k</w:t>
      </w:r>
      <w:r w:rsidR="00D14407" w:rsidRPr="00DA196C">
        <w:rPr>
          <w:rFonts w:ascii="Garamond" w:hAnsi="Garamond"/>
          <w:sz w:val="24"/>
          <w:szCs w:val="24"/>
        </w:rPr>
        <w:t> </w:t>
      </w:r>
      <w:r w:rsidR="00B3415E" w:rsidRPr="00DA196C">
        <w:rPr>
          <w:rFonts w:ascii="Garamond" w:hAnsi="Garamond"/>
          <w:sz w:val="24"/>
          <w:szCs w:val="24"/>
        </w:rPr>
        <w:t>ochraně</w:t>
      </w:r>
      <w:r w:rsidR="00D14407" w:rsidRPr="00DA196C">
        <w:rPr>
          <w:rFonts w:ascii="Garamond" w:hAnsi="Garamond"/>
          <w:sz w:val="24"/>
          <w:szCs w:val="24"/>
        </w:rPr>
        <w:t xml:space="preserve"> jeho práv</w:t>
      </w:r>
      <w:r w:rsidR="00B3415E" w:rsidRPr="00DA196C">
        <w:rPr>
          <w:rFonts w:ascii="Garamond" w:hAnsi="Garamond"/>
          <w:sz w:val="24"/>
          <w:szCs w:val="24"/>
        </w:rPr>
        <w:t xml:space="preserve"> </w:t>
      </w:r>
      <w:r w:rsidR="00B3415E" w:rsidRPr="00340DED">
        <w:rPr>
          <w:rFonts w:ascii="Garamond" w:hAnsi="Garamond"/>
          <w:i/>
          <w:sz w:val="24"/>
          <w:szCs w:val="24"/>
        </w:rPr>
        <w:t>actio negatoria</w:t>
      </w:r>
      <w:r w:rsidR="00B3415E" w:rsidRPr="00DA196C">
        <w:rPr>
          <w:rFonts w:ascii="Garamond" w:hAnsi="Garamond"/>
          <w:sz w:val="24"/>
          <w:szCs w:val="24"/>
        </w:rPr>
        <w:t>.</w:t>
      </w:r>
    </w:p>
    <w:p w:rsidR="00D93F59" w:rsidRPr="00DA196C" w:rsidRDefault="00D93F59" w:rsidP="00FA1FF7">
      <w:pPr>
        <w:pStyle w:val="Nadpis2"/>
        <w:contextualSpacing/>
      </w:pPr>
      <w:bookmarkStart w:id="3" w:name="_Toc36031932"/>
      <w:r w:rsidRPr="00DA196C">
        <w:t>Vývoj reivindikační žaloby</w:t>
      </w:r>
      <w:bookmarkEnd w:id="3"/>
    </w:p>
    <w:p w:rsidR="00D14407" w:rsidRPr="00DA196C" w:rsidRDefault="00D14407" w:rsidP="00FA1FF7">
      <w:pPr>
        <w:pStyle w:val="Nadpis3"/>
        <w:spacing w:line="360" w:lineRule="auto"/>
        <w:contextualSpacing/>
      </w:pPr>
      <w:bookmarkStart w:id="4" w:name="_Toc36031933"/>
      <w:proofErr w:type="spellStart"/>
      <w:r w:rsidRPr="00DA196C">
        <w:t>Legisakční</w:t>
      </w:r>
      <w:proofErr w:type="spellEnd"/>
      <w:r w:rsidRPr="00DA196C">
        <w:t xml:space="preserve"> proces</w:t>
      </w:r>
      <w:bookmarkEnd w:id="4"/>
    </w:p>
    <w:p w:rsidR="00D56C44" w:rsidRPr="00DA196C" w:rsidRDefault="00D56C4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Nejstarším procesem byl proces legisakční, který byl založen výlučně na zákoně a starém obyčeji. Jednalo se </w:t>
      </w:r>
      <w:r w:rsidRPr="00DA196C">
        <w:rPr>
          <w:rFonts w:ascii="Garamond" w:hAnsi="Garamond"/>
          <w:i/>
          <w:sz w:val="24"/>
          <w:szCs w:val="24"/>
        </w:rPr>
        <w:t xml:space="preserve">per </w:t>
      </w:r>
      <w:proofErr w:type="spellStart"/>
      <w:r w:rsidRPr="00DA196C">
        <w:rPr>
          <w:rFonts w:ascii="Garamond" w:hAnsi="Garamond"/>
          <w:i/>
          <w:sz w:val="24"/>
          <w:szCs w:val="24"/>
        </w:rPr>
        <w:t>legis</w:t>
      </w:r>
      <w:proofErr w:type="spellEnd"/>
      <w:r w:rsidRPr="00DA196C">
        <w:rPr>
          <w:rFonts w:ascii="Garamond" w:hAnsi="Garamond"/>
          <w:i/>
          <w:sz w:val="24"/>
          <w:szCs w:val="24"/>
        </w:rPr>
        <w:t xml:space="preserve"> </w:t>
      </w:r>
      <w:proofErr w:type="spellStart"/>
      <w:r w:rsidRPr="00DA196C">
        <w:rPr>
          <w:rFonts w:ascii="Garamond" w:hAnsi="Garamond"/>
          <w:i/>
          <w:sz w:val="24"/>
          <w:szCs w:val="24"/>
        </w:rPr>
        <w:t>actiones</w:t>
      </w:r>
      <w:proofErr w:type="spellEnd"/>
      <w:r w:rsidR="00340DED">
        <w:rPr>
          <w:rFonts w:ascii="Garamond" w:hAnsi="Garamond"/>
          <w:i/>
          <w:sz w:val="24"/>
          <w:szCs w:val="24"/>
        </w:rPr>
        <w:t>.</w:t>
      </w:r>
      <w:r w:rsidRPr="00DA196C">
        <w:rPr>
          <w:rStyle w:val="Znakapoznpodarou"/>
          <w:rFonts w:ascii="Garamond" w:hAnsi="Garamond"/>
          <w:sz w:val="24"/>
        </w:rPr>
        <w:footnoteReference w:id="3"/>
      </w:r>
      <w:r w:rsidRPr="00DA196C">
        <w:rPr>
          <w:rFonts w:ascii="Garamond" w:hAnsi="Garamond"/>
          <w:sz w:val="24"/>
          <w:szCs w:val="24"/>
        </w:rPr>
        <w:t xml:space="preserve"> Toto </w:t>
      </w:r>
      <w:proofErr w:type="spellStart"/>
      <w:r w:rsidRPr="00DA196C">
        <w:rPr>
          <w:rFonts w:ascii="Garamond" w:hAnsi="Garamond"/>
          <w:sz w:val="24"/>
          <w:szCs w:val="24"/>
        </w:rPr>
        <w:t>procesněprávní</w:t>
      </w:r>
      <w:proofErr w:type="spellEnd"/>
      <w:r w:rsidRPr="00DA196C">
        <w:rPr>
          <w:rFonts w:ascii="Garamond" w:hAnsi="Garamond"/>
          <w:sz w:val="24"/>
          <w:szCs w:val="24"/>
        </w:rPr>
        <w:t xml:space="preserve"> jednání bylo vyhrazeno pouze římským občanům</w:t>
      </w:r>
      <w:r w:rsidR="00AE0A3B" w:rsidRPr="00DA196C">
        <w:rPr>
          <w:rStyle w:val="Znakapoznpodarou"/>
          <w:rFonts w:ascii="Garamond" w:hAnsi="Garamond"/>
          <w:sz w:val="24"/>
        </w:rPr>
        <w:footnoteReference w:id="4"/>
      </w:r>
      <w:r w:rsidRPr="00DA196C">
        <w:rPr>
          <w:rStyle w:val="Znakapoznpodarou"/>
          <w:rFonts w:ascii="Garamond" w:hAnsi="Garamond"/>
          <w:sz w:val="24"/>
        </w:rPr>
        <w:t xml:space="preserve"> </w:t>
      </w:r>
      <w:r w:rsidRPr="00DA196C">
        <w:rPr>
          <w:rFonts w:ascii="Garamond" w:hAnsi="Garamond"/>
          <w:sz w:val="24"/>
          <w:szCs w:val="24"/>
        </w:rPr>
        <w:t xml:space="preserve">a </w:t>
      </w:r>
      <w:r w:rsidR="00EB4A82" w:rsidRPr="00DA196C">
        <w:rPr>
          <w:rFonts w:ascii="Garamond" w:hAnsi="Garamond"/>
          <w:sz w:val="24"/>
          <w:szCs w:val="24"/>
        </w:rPr>
        <w:t>šlo</w:t>
      </w:r>
      <w:r w:rsidRPr="00DA196C">
        <w:rPr>
          <w:rFonts w:ascii="Garamond" w:hAnsi="Garamond"/>
          <w:sz w:val="24"/>
          <w:szCs w:val="24"/>
        </w:rPr>
        <w:t xml:space="preserve"> o řízení značně formální, rigorózní, kdy sebemenší odchylka od předepsaných formalit měla za následek ztrátu procesu</w:t>
      </w:r>
      <w:r w:rsidR="00412888" w:rsidRPr="00DA196C">
        <w:rPr>
          <w:rFonts w:ascii="Garamond" w:hAnsi="Garamond"/>
          <w:sz w:val="24"/>
        </w:rPr>
        <w:t>.</w:t>
      </w:r>
      <w:r w:rsidR="00DA4760" w:rsidRPr="00DA196C">
        <w:rPr>
          <w:rFonts w:ascii="Garamond" w:hAnsi="Garamond"/>
          <w:sz w:val="24"/>
        </w:rPr>
        <w:t xml:space="preserve"> </w:t>
      </w:r>
      <w:r w:rsidR="00DA4760" w:rsidRPr="00DA196C">
        <w:rPr>
          <w:rFonts w:ascii="Garamond" w:hAnsi="Garamond"/>
          <w:sz w:val="24"/>
          <w:szCs w:val="24"/>
        </w:rPr>
        <w:t xml:space="preserve">Řízení se rozdělovalo do dvou fází, řízení </w:t>
      </w:r>
      <w:r w:rsidR="00DA4760" w:rsidRPr="00DA196C">
        <w:rPr>
          <w:rFonts w:ascii="Garamond" w:hAnsi="Garamond"/>
          <w:i/>
          <w:sz w:val="24"/>
          <w:szCs w:val="24"/>
        </w:rPr>
        <w:t>in iure</w:t>
      </w:r>
      <w:r w:rsidR="00DA4760" w:rsidRPr="00DA196C">
        <w:rPr>
          <w:rFonts w:ascii="Garamond" w:hAnsi="Garamond"/>
          <w:sz w:val="24"/>
          <w:szCs w:val="24"/>
        </w:rPr>
        <w:t xml:space="preserve"> a </w:t>
      </w:r>
      <w:proofErr w:type="spellStart"/>
      <w:r w:rsidR="00DA4760" w:rsidRPr="00DA196C">
        <w:rPr>
          <w:rFonts w:ascii="Garamond" w:hAnsi="Garamond"/>
          <w:i/>
          <w:sz w:val="24"/>
          <w:szCs w:val="24"/>
        </w:rPr>
        <w:t>apud</w:t>
      </w:r>
      <w:proofErr w:type="spellEnd"/>
      <w:r w:rsidR="00DA4760" w:rsidRPr="00DA196C">
        <w:rPr>
          <w:rFonts w:ascii="Garamond" w:hAnsi="Garamond"/>
          <w:i/>
          <w:sz w:val="24"/>
          <w:szCs w:val="24"/>
        </w:rPr>
        <w:t xml:space="preserve"> </w:t>
      </w:r>
      <w:proofErr w:type="spellStart"/>
      <w:r w:rsidR="00DA4760" w:rsidRPr="00DA196C">
        <w:rPr>
          <w:rFonts w:ascii="Garamond" w:hAnsi="Garamond"/>
          <w:i/>
          <w:sz w:val="24"/>
          <w:szCs w:val="24"/>
        </w:rPr>
        <w:t>iudicem</w:t>
      </w:r>
      <w:proofErr w:type="spellEnd"/>
      <w:r w:rsidR="00DA4760" w:rsidRPr="00DA196C">
        <w:rPr>
          <w:rFonts w:ascii="Garamond" w:hAnsi="Garamond"/>
          <w:sz w:val="24"/>
          <w:szCs w:val="24"/>
        </w:rPr>
        <w:t>.</w:t>
      </w:r>
    </w:p>
    <w:p w:rsidR="00CF689A" w:rsidRPr="00DA196C" w:rsidRDefault="00CF689A" w:rsidP="00FA1FF7">
      <w:pPr>
        <w:pStyle w:val="Nadpis4"/>
        <w:contextualSpacing/>
      </w:pPr>
      <w:r w:rsidRPr="00DA196C">
        <w:t>Řízení in iure</w:t>
      </w:r>
    </w:p>
    <w:p w:rsidR="00EB4A82" w:rsidRPr="00DA196C" w:rsidRDefault="0041288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Nejprve muselo dojít k formálnímu ustavení sporu</w:t>
      </w:r>
      <w:r w:rsidR="00AE390B" w:rsidRPr="00DA196C">
        <w:rPr>
          <w:rFonts w:ascii="Garamond" w:hAnsi="Garamond"/>
          <w:sz w:val="24"/>
          <w:szCs w:val="24"/>
        </w:rPr>
        <w:t xml:space="preserve"> (</w:t>
      </w:r>
      <w:proofErr w:type="spellStart"/>
      <w:r w:rsidR="00DC15A5" w:rsidRPr="00DA196C">
        <w:rPr>
          <w:rFonts w:ascii="Garamond" w:hAnsi="Garamond"/>
          <w:i/>
          <w:sz w:val="24"/>
          <w:szCs w:val="24"/>
        </w:rPr>
        <w:t>litis</w:t>
      </w:r>
      <w:proofErr w:type="spellEnd"/>
      <w:r w:rsidR="00DC15A5" w:rsidRPr="00DA196C">
        <w:rPr>
          <w:rFonts w:ascii="Garamond" w:hAnsi="Garamond"/>
          <w:i/>
          <w:sz w:val="24"/>
          <w:szCs w:val="24"/>
        </w:rPr>
        <w:t xml:space="preserve"> </w:t>
      </w:r>
      <w:proofErr w:type="spellStart"/>
      <w:r w:rsidR="00DC15A5" w:rsidRPr="00DA196C">
        <w:rPr>
          <w:rFonts w:ascii="Garamond" w:hAnsi="Garamond"/>
          <w:i/>
          <w:sz w:val="24"/>
          <w:szCs w:val="24"/>
        </w:rPr>
        <w:t>contestatio</w:t>
      </w:r>
      <w:proofErr w:type="spellEnd"/>
      <w:r w:rsidR="00AE390B" w:rsidRPr="00DA196C">
        <w:rPr>
          <w:rFonts w:ascii="Garamond" w:hAnsi="Garamond"/>
          <w:sz w:val="24"/>
          <w:szCs w:val="24"/>
        </w:rPr>
        <w:t>)</w:t>
      </w:r>
      <w:r w:rsidRPr="00DA196C">
        <w:rPr>
          <w:rFonts w:ascii="Garamond" w:hAnsi="Garamond"/>
          <w:sz w:val="24"/>
          <w:szCs w:val="24"/>
        </w:rPr>
        <w:t>, což</w:t>
      </w:r>
      <w:r w:rsidR="00EB4A82" w:rsidRPr="00DA196C">
        <w:rPr>
          <w:rFonts w:ascii="Garamond" w:hAnsi="Garamond"/>
          <w:sz w:val="24"/>
          <w:szCs w:val="24"/>
        </w:rPr>
        <w:t xml:space="preserve"> se dělo</w:t>
      </w:r>
      <w:r w:rsidRPr="00DA196C">
        <w:rPr>
          <w:rFonts w:ascii="Garamond" w:hAnsi="Garamond"/>
          <w:sz w:val="24"/>
          <w:szCs w:val="24"/>
        </w:rPr>
        <w:t xml:space="preserve"> před státním nositel</w:t>
      </w:r>
      <w:r w:rsidR="00340DED">
        <w:rPr>
          <w:rFonts w:ascii="Garamond" w:hAnsi="Garamond"/>
          <w:sz w:val="24"/>
          <w:szCs w:val="24"/>
        </w:rPr>
        <w:t>em soudní moci. Tím byl nejdříve</w:t>
      </w:r>
      <w:r w:rsidRPr="00DA196C">
        <w:rPr>
          <w:rFonts w:ascii="Garamond" w:hAnsi="Garamond"/>
          <w:sz w:val="24"/>
          <w:szCs w:val="24"/>
        </w:rPr>
        <w:t xml:space="preserve"> král</w:t>
      </w:r>
      <w:r w:rsidR="00340DED">
        <w:rPr>
          <w:rFonts w:ascii="Garamond" w:hAnsi="Garamond"/>
          <w:sz w:val="24"/>
          <w:szCs w:val="24"/>
        </w:rPr>
        <w:t xml:space="preserve"> (</w:t>
      </w:r>
      <w:proofErr w:type="spellStart"/>
      <w:r w:rsidR="00340DED" w:rsidRPr="00340DED">
        <w:rPr>
          <w:rFonts w:ascii="Garamond" w:hAnsi="Garamond"/>
          <w:i/>
          <w:sz w:val="24"/>
          <w:szCs w:val="24"/>
        </w:rPr>
        <w:t>rex</w:t>
      </w:r>
      <w:proofErr w:type="spellEnd"/>
      <w:r w:rsidR="00340DED">
        <w:rPr>
          <w:rFonts w:ascii="Garamond" w:hAnsi="Garamond"/>
          <w:sz w:val="24"/>
          <w:szCs w:val="24"/>
        </w:rPr>
        <w:t>)</w:t>
      </w:r>
      <w:r w:rsidRPr="00DA196C">
        <w:rPr>
          <w:rFonts w:ascii="Garamond" w:hAnsi="Garamond"/>
          <w:sz w:val="24"/>
          <w:szCs w:val="24"/>
        </w:rPr>
        <w:t>, poté konzulové</w:t>
      </w:r>
      <w:r w:rsidR="00340DED">
        <w:rPr>
          <w:rFonts w:ascii="Garamond" w:hAnsi="Garamond"/>
          <w:sz w:val="24"/>
          <w:szCs w:val="24"/>
        </w:rPr>
        <w:t xml:space="preserve"> (</w:t>
      </w:r>
      <w:proofErr w:type="spellStart"/>
      <w:r w:rsidR="00340DED" w:rsidRPr="00340DED">
        <w:rPr>
          <w:rFonts w:ascii="Garamond" w:hAnsi="Garamond"/>
          <w:i/>
          <w:sz w:val="24"/>
          <w:szCs w:val="24"/>
        </w:rPr>
        <w:t>consules</w:t>
      </w:r>
      <w:proofErr w:type="spellEnd"/>
      <w:r w:rsidR="00340DED">
        <w:rPr>
          <w:rFonts w:ascii="Garamond" w:hAnsi="Garamond"/>
          <w:sz w:val="24"/>
          <w:szCs w:val="24"/>
        </w:rPr>
        <w:t>)</w:t>
      </w:r>
      <w:r w:rsidRPr="00DA196C">
        <w:rPr>
          <w:rFonts w:ascii="Garamond" w:hAnsi="Garamond"/>
          <w:sz w:val="24"/>
          <w:szCs w:val="24"/>
        </w:rPr>
        <w:t xml:space="preserve"> a následně </w:t>
      </w:r>
      <w:r w:rsidR="00153BEF">
        <w:rPr>
          <w:rFonts w:ascii="Garamond" w:hAnsi="Garamond"/>
          <w:sz w:val="24"/>
          <w:szCs w:val="24"/>
        </w:rPr>
        <w:t>prétor (</w:t>
      </w:r>
      <w:proofErr w:type="spellStart"/>
      <w:r w:rsidRPr="00340DED">
        <w:rPr>
          <w:rFonts w:ascii="Garamond" w:hAnsi="Garamond"/>
          <w:i/>
          <w:sz w:val="24"/>
          <w:szCs w:val="24"/>
        </w:rPr>
        <w:t>praetor</w:t>
      </w:r>
      <w:proofErr w:type="spellEnd"/>
      <w:r w:rsidR="00153BEF">
        <w:rPr>
          <w:rFonts w:ascii="Garamond" w:hAnsi="Garamond"/>
          <w:i/>
          <w:sz w:val="24"/>
          <w:szCs w:val="24"/>
        </w:rPr>
        <w:t>)</w:t>
      </w:r>
      <w:r w:rsidR="00340DED">
        <w:rPr>
          <w:rFonts w:ascii="Garamond" w:hAnsi="Garamond"/>
          <w:sz w:val="24"/>
          <w:szCs w:val="24"/>
        </w:rPr>
        <w:t>.</w:t>
      </w:r>
      <w:r w:rsidRPr="00DA196C">
        <w:rPr>
          <w:rStyle w:val="Znakapoznpodarou"/>
          <w:rFonts w:ascii="Garamond" w:hAnsi="Garamond"/>
          <w:sz w:val="24"/>
          <w:szCs w:val="24"/>
        </w:rPr>
        <w:footnoteReference w:id="5"/>
      </w:r>
      <w:r w:rsidRPr="00DA196C">
        <w:rPr>
          <w:rFonts w:ascii="Garamond" w:hAnsi="Garamond"/>
          <w:sz w:val="24"/>
          <w:szCs w:val="24"/>
        </w:rPr>
        <w:t xml:space="preserve"> Před soudního </w:t>
      </w:r>
      <w:proofErr w:type="spellStart"/>
      <w:r w:rsidRPr="00DA196C">
        <w:rPr>
          <w:rFonts w:ascii="Garamond" w:hAnsi="Garamond"/>
          <w:sz w:val="24"/>
          <w:szCs w:val="24"/>
        </w:rPr>
        <w:t>magistráta</w:t>
      </w:r>
      <w:proofErr w:type="spellEnd"/>
      <w:r w:rsidRPr="00DA196C">
        <w:rPr>
          <w:rFonts w:ascii="Garamond" w:hAnsi="Garamond"/>
          <w:sz w:val="24"/>
          <w:szCs w:val="24"/>
        </w:rPr>
        <w:t xml:space="preserve"> se obě strany sporu musely dostavit v </w:t>
      </w:r>
      <w:proofErr w:type="spellStart"/>
      <w:r w:rsidRPr="00DA196C">
        <w:rPr>
          <w:rFonts w:ascii="Garamond" w:hAnsi="Garamond"/>
          <w:i/>
          <w:sz w:val="24"/>
          <w:szCs w:val="24"/>
        </w:rPr>
        <w:t>dies</w:t>
      </w:r>
      <w:proofErr w:type="spellEnd"/>
      <w:r w:rsidRPr="00DA196C">
        <w:rPr>
          <w:rFonts w:ascii="Garamond" w:hAnsi="Garamond"/>
          <w:i/>
          <w:sz w:val="24"/>
          <w:szCs w:val="24"/>
        </w:rPr>
        <w:t xml:space="preserve"> </w:t>
      </w:r>
      <w:proofErr w:type="spellStart"/>
      <w:r w:rsidRPr="00DA196C">
        <w:rPr>
          <w:rFonts w:ascii="Garamond" w:hAnsi="Garamond"/>
          <w:i/>
          <w:sz w:val="24"/>
          <w:szCs w:val="24"/>
        </w:rPr>
        <w:t>fasti</w:t>
      </w:r>
      <w:proofErr w:type="spellEnd"/>
      <w:r w:rsidRPr="00DA196C">
        <w:rPr>
          <w:rFonts w:ascii="Garamond" w:hAnsi="Garamond"/>
          <w:sz w:val="24"/>
          <w:szCs w:val="24"/>
        </w:rPr>
        <w:t>, tedy ve dnech vyhrazených pro konání soudů, případně</w:t>
      </w:r>
      <w:r w:rsidR="00EB4A82" w:rsidRPr="00DA196C">
        <w:rPr>
          <w:rFonts w:ascii="Garamond" w:hAnsi="Garamond"/>
          <w:sz w:val="24"/>
          <w:szCs w:val="24"/>
        </w:rPr>
        <w:t xml:space="preserve"> pokud zrovna nezasedala </w:t>
      </w:r>
      <w:proofErr w:type="spellStart"/>
      <w:r w:rsidR="00EB4A82" w:rsidRPr="00340DED">
        <w:rPr>
          <w:rFonts w:ascii="Garamond" w:hAnsi="Garamond"/>
          <w:i/>
          <w:sz w:val="24"/>
          <w:szCs w:val="24"/>
        </w:rPr>
        <w:t>comitia</w:t>
      </w:r>
      <w:proofErr w:type="spellEnd"/>
      <w:r w:rsidR="00EB4A82" w:rsidRPr="00DA196C">
        <w:rPr>
          <w:rFonts w:ascii="Garamond" w:hAnsi="Garamond"/>
          <w:sz w:val="24"/>
          <w:szCs w:val="24"/>
        </w:rPr>
        <w:t>,</w:t>
      </w:r>
      <w:r w:rsidRPr="00DA196C">
        <w:rPr>
          <w:rFonts w:ascii="Garamond" w:hAnsi="Garamond"/>
          <w:sz w:val="24"/>
          <w:szCs w:val="24"/>
        </w:rPr>
        <w:t xml:space="preserve"> mohl</w:t>
      </w:r>
      <w:r w:rsidR="00EB4A82" w:rsidRPr="00DA196C">
        <w:rPr>
          <w:rFonts w:ascii="Garamond" w:hAnsi="Garamond"/>
          <w:sz w:val="24"/>
          <w:szCs w:val="24"/>
        </w:rPr>
        <w:t>y se strany</w:t>
      </w:r>
      <w:r w:rsidRPr="00DA196C">
        <w:rPr>
          <w:rFonts w:ascii="Garamond" w:hAnsi="Garamond"/>
          <w:sz w:val="24"/>
          <w:szCs w:val="24"/>
        </w:rPr>
        <w:t xml:space="preserve"> dostavit </w:t>
      </w:r>
      <w:r w:rsidR="00EB4A82" w:rsidRPr="00DA196C">
        <w:rPr>
          <w:rFonts w:ascii="Garamond" w:hAnsi="Garamond"/>
          <w:sz w:val="24"/>
          <w:szCs w:val="24"/>
        </w:rPr>
        <w:t>i v </w:t>
      </w:r>
      <w:proofErr w:type="spellStart"/>
      <w:r w:rsidR="00EB4A82" w:rsidRPr="00DA196C">
        <w:rPr>
          <w:rFonts w:ascii="Garamond" w:hAnsi="Garamond"/>
          <w:i/>
          <w:sz w:val="24"/>
          <w:szCs w:val="24"/>
        </w:rPr>
        <w:t>dies</w:t>
      </w:r>
      <w:proofErr w:type="spellEnd"/>
      <w:r w:rsidR="00EB4A82" w:rsidRPr="00DA196C">
        <w:rPr>
          <w:rFonts w:ascii="Garamond" w:hAnsi="Garamond"/>
          <w:i/>
          <w:sz w:val="24"/>
          <w:szCs w:val="24"/>
        </w:rPr>
        <w:t xml:space="preserve"> </w:t>
      </w:r>
      <w:proofErr w:type="spellStart"/>
      <w:r w:rsidR="00EB4A82" w:rsidRPr="00DA196C">
        <w:rPr>
          <w:rFonts w:ascii="Garamond" w:hAnsi="Garamond"/>
          <w:i/>
          <w:sz w:val="24"/>
          <w:szCs w:val="24"/>
        </w:rPr>
        <w:t>comitiales</w:t>
      </w:r>
      <w:proofErr w:type="spellEnd"/>
      <w:r w:rsidR="00EB4A82" w:rsidRPr="00DA196C">
        <w:rPr>
          <w:rFonts w:ascii="Garamond" w:hAnsi="Garamond"/>
          <w:i/>
          <w:sz w:val="24"/>
          <w:szCs w:val="24"/>
        </w:rPr>
        <w:t xml:space="preserve">. </w:t>
      </w:r>
      <w:r w:rsidR="00EB4A82" w:rsidRPr="00DA196C">
        <w:rPr>
          <w:rFonts w:ascii="Garamond" w:hAnsi="Garamond"/>
          <w:sz w:val="24"/>
          <w:szCs w:val="24"/>
        </w:rPr>
        <w:t>Obeslání žalovaného a zajištění, aby se tento dostavil před soudního magistráta, spočívalo zcela na žalobci. Jelikož dostavení se žalo</w:t>
      </w:r>
      <w:r w:rsidR="00E526DD" w:rsidRPr="00DA196C">
        <w:rPr>
          <w:rFonts w:ascii="Garamond" w:hAnsi="Garamond"/>
          <w:sz w:val="24"/>
          <w:szCs w:val="24"/>
        </w:rPr>
        <w:t>vaného</w:t>
      </w:r>
      <w:r w:rsidR="00EB4A82" w:rsidRPr="00DA196C">
        <w:rPr>
          <w:rFonts w:ascii="Garamond" w:hAnsi="Garamond"/>
          <w:sz w:val="24"/>
          <w:szCs w:val="24"/>
        </w:rPr>
        <w:t xml:space="preserve"> před magistráta bylo klíčové pro vedení sporu, </w:t>
      </w:r>
      <w:r w:rsidR="00E526DD" w:rsidRPr="00DA196C">
        <w:rPr>
          <w:rFonts w:ascii="Garamond" w:hAnsi="Garamond"/>
          <w:sz w:val="24"/>
          <w:szCs w:val="24"/>
        </w:rPr>
        <w:t>byl</w:t>
      </w:r>
      <w:r w:rsidR="000D393D" w:rsidRPr="00DA196C">
        <w:rPr>
          <w:rFonts w:ascii="Garamond" w:hAnsi="Garamond"/>
          <w:sz w:val="24"/>
          <w:szCs w:val="24"/>
        </w:rPr>
        <w:t>a žalovanému zákonem XII desek stanovena povinnost dostavit se před soud a</w:t>
      </w:r>
      <w:r w:rsidR="00E526DD" w:rsidRPr="00DA196C">
        <w:rPr>
          <w:rFonts w:ascii="Garamond" w:hAnsi="Garamond"/>
          <w:sz w:val="24"/>
          <w:szCs w:val="24"/>
        </w:rPr>
        <w:t xml:space="preserve"> žalobci</w:t>
      </w:r>
      <w:r w:rsidR="000D393D" w:rsidRPr="00DA196C">
        <w:rPr>
          <w:rFonts w:ascii="Garamond" w:hAnsi="Garamond"/>
          <w:sz w:val="24"/>
          <w:szCs w:val="24"/>
        </w:rPr>
        <w:t xml:space="preserve"> bylo umožněno užít násilí v případě, že žalovaný kladl odpor</w:t>
      </w:r>
      <w:r w:rsidR="00340DED">
        <w:rPr>
          <w:rFonts w:ascii="Garamond" w:hAnsi="Garamond"/>
          <w:sz w:val="24"/>
          <w:szCs w:val="24"/>
        </w:rPr>
        <w:t>.</w:t>
      </w:r>
      <w:r w:rsidR="000D393D" w:rsidRPr="00DA196C">
        <w:rPr>
          <w:rStyle w:val="Znakapoznpodarou"/>
          <w:rFonts w:ascii="Garamond" w:hAnsi="Garamond"/>
          <w:sz w:val="24"/>
          <w:szCs w:val="24"/>
        </w:rPr>
        <w:footnoteReference w:id="6"/>
      </w:r>
    </w:p>
    <w:p w:rsidR="00654B3E" w:rsidRPr="00DA196C" w:rsidRDefault="00DA28A2"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lastRenderedPageBreak/>
        <w:t>Před soudním magistrátem byly zjištěny zákonné předpoklady pro ustavení sporu. Stran</w:t>
      </w:r>
      <w:r w:rsidR="00A23A3D" w:rsidRPr="00DA196C">
        <w:rPr>
          <w:rFonts w:ascii="Garamond" w:hAnsi="Garamond"/>
          <w:sz w:val="24"/>
          <w:szCs w:val="24"/>
        </w:rPr>
        <w:t>ami</w:t>
      </w:r>
      <w:r w:rsidRPr="00DA196C">
        <w:rPr>
          <w:rFonts w:ascii="Garamond" w:hAnsi="Garamond"/>
          <w:sz w:val="24"/>
          <w:szCs w:val="24"/>
        </w:rPr>
        <w:t xml:space="preserve"> sporu museli být svéprávní římští občané a žalobcem uplatňovaný nárok se musel zakládat na civilním právu.</w:t>
      </w:r>
      <w:r w:rsidR="00571B48" w:rsidRPr="00DA196C">
        <w:rPr>
          <w:rFonts w:ascii="Garamond" w:hAnsi="Garamond"/>
          <w:sz w:val="24"/>
          <w:szCs w:val="24"/>
        </w:rPr>
        <w:t xml:space="preserve"> Základní podmínkou bylo vzájemné protichůdné tvrzení stran sporu</w:t>
      </w:r>
      <w:r w:rsidR="00D92F76" w:rsidRPr="00DA196C">
        <w:rPr>
          <w:rFonts w:ascii="Garamond" w:hAnsi="Garamond"/>
          <w:sz w:val="24"/>
          <w:szCs w:val="24"/>
        </w:rPr>
        <w:t xml:space="preserve">, </w:t>
      </w:r>
      <w:r w:rsidR="00571B48" w:rsidRPr="00DA196C">
        <w:rPr>
          <w:rFonts w:ascii="Garamond" w:hAnsi="Garamond"/>
          <w:sz w:val="24"/>
          <w:szCs w:val="24"/>
        </w:rPr>
        <w:t>což při reivindikaci</w:t>
      </w:r>
      <w:r w:rsidR="00D92F76" w:rsidRPr="00DA196C">
        <w:rPr>
          <w:rFonts w:ascii="Garamond" w:hAnsi="Garamond"/>
          <w:sz w:val="24"/>
          <w:szCs w:val="24"/>
        </w:rPr>
        <w:t xml:space="preserve">, k níž sloužila </w:t>
      </w:r>
      <w:r w:rsidR="00D92F76" w:rsidRPr="00DA196C">
        <w:rPr>
          <w:rFonts w:ascii="Garamond" w:hAnsi="Garamond"/>
          <w:i/>
          <w:sz w:val="24"/>
          <w:szCs w:val="24"/>
        </w:rPr>
        <w:t>legis actio sacramento</w:t>
      </w:r>
      <w:r w:rsidR="00D92F76" w:rsidRPr="00DA196C">
        <w:rPr>
          <w:rFonts w:ascii="Garamond" w:hAnsi="Garamond"/>
          <w:sz w:val="24"/>
          <w:szCs w:val="24"/>
        </w:rPr>
        <w:t>,</w:t>
      </w:r>
      <w:r w:rsidR="00571B48" w:rsidRPr="00DA196C">
        <w:rPr>
          <w:rFonts w:ascii="Garamond" w:hAnsi="Garamond"/>
          <w:sz w:val="24"/>
          <w:szCs w:val="24"/>
        </w:rPr>
        <w:t xml:space="preserve"> spočívalo v tom, že žalobce vindikoval věc jako svou, přičemž žalovaný žalobcovo právo popíral a taktéž </w:t>
      </w:r>
      <w:proofErr w:type="spellStart"/>
      <w:r w:rsidR="00571B48" w:rsidRPr="00DA196C">
        <w:rPr>
          <w:rFonts w:ascii="Garamond" w:hAnsi="Garamond"/>
          <w:sz w:val="24"/>
          <w:szCs w:val="24"/>
        </w:rPr>
        <w:t>vindikoval</w:t>
      </w:r>
      <w:proofErr w:type="spellEnd"/>
      <w:r w:rsidR="00571B48" w:rsidRPr="00DA196C">
        <w:rPr>
          <w:rFonts w:ascii="Garamond" w:hAnsi="Garamond"/>
          <w:sz w:val="24"/>
          <w:szCs w:val="24"/>
        </w:rPr>
        <w:t xml:space="preserve"> věc jako svou</w:t>
      </w:r>
      <w:r w:rsidR="00340DED">
        <w:rPr>
          <w:rFonts w:ascii="Garamond" w:hAnsi="Garamond"/>
          <w:sz w:val="24"/>
          <w:szCs w:val="24"/>
        </w:rPr>
        <w:t>.</w:t>
      </w:r>
      <w:r w:rsidR="00D92F76" w:rsidRPr="00DA196C">
        <w:rPr>
          <w:rStyle w:val="Znakapoznpodarou"/>
          <w:rFonts w:ascii="Garamond" w:hAnsi="Garamond"/>
          <w:sz w:val="24"/>
          <w:szCs w:val="24"/>
        </w:rPr>
        <w:footnoteReference w:id="7"/>
      </w:r>
      <w:r w:rsidR="00571B48" w:rsidRPr="00DA196C">
        <w:rPr>
          <w:rFonts w:ascii="Garamond" w:hAnsi="Garamond"/>
          <w:sz w:val="24"/>
          <w:szCs w:val="24"/>
        </w:rPr>
        <w:t xml:space="preserve"> </w:t>
      </w:r>
      <w:r w:rsidR="00B969CF" w:rsidRPr="00DA196C">
        <w:rPr>
          <w:rFonts w:ascii="Garamond" w:hAnsi="Garamond"/>
          <w:sz w:val="24"/>
          <w:szCs w:val="24"/>
        </w:rPr>
        <w:t xml:space="preserve">Jak uvádí Vážný: </w:t>
      </w:r>
      <w:r w:rsidR="00317C31" w:rsidRPr="00DA196C">
        <w:rPr>
          <w:rFonts w:ascii="Garamond" w:hAnsi="Garamond"/>
          <w:i/>
          <w:sz w:val="24"/>
          <w:szCs w:val="24"/>
        </w:rPr>
        <w:t xml:space="preserve">„Žalobce vložil hůl...na věc, jejíž vlastnictví uplatňoval a vindikoval ji známými </w:t>
      </w:r>
      <w:proofErr w:type="gramStart"/>
      <w:r w:rsidR="00317C31" w:rsidRPr="00DA196C">
        <w:rPr>
          <w:rFonts w:ascii="Garamond" w:hAnsi="Garamond"/>
          <w:i/>
          <w:sz w:val="24"/>
          <w:szCs w:val="24"/>
        </w:rPr>
        <w:t>slovy ...meum</w:t>
      </w:r>
      <w:proofErr w:type="gramEnd"/>
      <w:r w:rsidR="00317C31" w:rsidRPr="00DA196C">
        <w:rPr>
          <w:rFonts w:ascii="Garamond" w:hAnsi="Garamond"/>
          <w:i/>
          <w:sz w:val="24"/>
          <w:szCs w:val="24"/>
        </w:rPr>
        <w:t xml:space="preserve"> esse aio, sicut dixi, ecce tibi, vindictam impo</w:t>
      </w:r>
      <w:r w:rsidR="00B93A68">
        <w:rPr>
          <w:rFonts w:ascii="Garamond" w:hAnsi="Garamond"/>
          <w:i/>
          <w:sz w:val="24"/>
          <w:szCs w:val="24"/>
        </w:rPr>
        <w:t xml:space="preserve">sui. Totéž opakoval i </w:t>
      </w:r>
      <w:proofErr w:type="gramStart"/>
      <w:r w:rsidR="00B93A68">
        <w:rPr>
          <w:rFonts w:ascii="Garamond" w:hAnsi="Garamond"/>
          <w:i/>
          <w:sz w:val="24"/>
          <w:szCs w:val="24"/>
        </w:rPr>
        <w:t>žalovaný</w:t>
      </w:r>
      <w:r w:rsidR="00317C31" w:rsidRPr="00DA196C">
        <w:rPr>
          <w:rFonts w:ascii="Garamond" w:hAnsi="Garamond"/>
          <w:i/>
          <w:sz w:val="24"/>
          <w:szCs w:val="24"/>
        </w:rPr>
        <w:t>...Žalobce</w:t>
      </w:r>
      <w:proofErr w:type="gramEnd"/>
      <w:r w:rsidR="00317C31" w:rsidRPr="00DA196C">
        <w:rPr>
          <w:rFonts w:ascii="Garamond" w:hAnsi="Garamond"/>
          <w:i/>
          <w:sz w:val="24"/>
          <w:szCs w:val="24"/>
        </w:rPr>
        <w:t xml:space="preserve"> prohlásiv bezprávnost vindikace žalovaného</w:t>
      </w:r>
      <w:r w:rsidR="00B969CF" w:rsidRPr="00DA196C">
        <w:rPr>
          <w:rFonts w:ascii="Garamond" w:hAnsi="Garamond"/>
          <w:i/>
          <w:sz w:val="24"/>
          <w:szCs w:val="24"/>
        </w:rPr>
        <w:t>, vyzval jej, aby vsadil částku sacramenta na své tvrzení. Stejně vyzval žalovaný žalobce.“</w:t>
      </w:r>
      <w:r w:rsidR="00B969CF" w:rsidRPr="00DA196C">
        <w:rPr>
          <w:rStyle w:val="Znakapoznpodarou"/>
          <w:rFonts w:ascii="Garamond" w:hAnsi="Garamond"/>
          <w:sz w:val="24"/>
          <w:szCs w:val="24"/>
        </w:rPr>
        <w:footnoteReference w:id="8"/>
      </w:r>
      <w:r w:rsidR="00F231D2" w:rsidRPr="00DA196C">
        <w:rPr>
          <w:rFonts w:ascii="Garamond" w:hAnsi="Garamond"/>
          <w:i/>
          <w:sz w:val="24"/>
          <w:szCs w:val="24"/>
        </w:rPr>
        <w:t xml:space="preserve"> </w:t>
      </w:r>
      <w:r w:rsidR="00654B3E" w:rsidRPr="00DA196C">
        <w:rPr>
          <w:rFonts w:ascii="Garamond" w:hAnsi="Garamond"/>
          <w:sz w:val="24"/>
          <w:szCs w:val="24"/>
        </w:rPr>
        <w:t>Toto jednání se dělo před svědky, jejichž přítomnost byla důležitá pro dosvědčení přesného znění legisakční formule, která byla základem pro projednání věci před soudem</w:t>
      </w:r>
      <w:r w:rsidR="00B93A68">
        <w:rPr>
          <w:rFonts w:ascii="Garamond" w:hAnsi="Garamond"/>
          <w:sz w:val="24"/>
          <w:szCs w:val="24"/>
        </w:rPr>
        <w:t>.</w:t>
      </w:r>
      <w:r w:rsidR="00654B3E" w:rsidRPr="00DA196C">
        <w:rPr>
          <w:rStyle w:val="Znakapoznpodarou"/>
          <w:rFonts w:ascii="Garamond" w:hAnsi="Garamond"/>
          <w:sz w:val="24"/>
          <w:szCs w:val="24"/>
        </w:rPr>
        <w:footnoteReference w:id="9"/>
      </w:r>
    </w:p>
    <w:p w:rsidR="001D5E36" w:rsidRPr="00DA196C" w:rsidRDefault="008A64F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Alternativně </w:t>
      </w:r>
      <w:r w:rsidR="001C1AA4" w:rsidRPr="00DA196C">
        <w:rPr>
          <w:rFonts w:ascii="Garamond" w:hAnsi="Garamond"/>
          <w:sz w:val="24"/>
          <w:szCs w:val="24"/>
        </w:rPr>
        <w:t xml:space="preserve">též </w:t>
      </w:r>
      <w:r w:rsidRPr="00DA196C">
        <w:rPr>
          <w:rFonts w:ascii="Garamond" w:hAnsi="Garamond"/>
          <w:sz w:val="24"/>
          <w:szCs w:val="24"/>
        </w:rPr>
        <w:t>p</w:t>
      </w:r>
      <w:r w:rsidR="001D5E36" w:rsidRPr="00DA196C">
        <w:rPr>
          <w:rFonts w:ascii="Garamond" w:hAnsi="Garamond"/>
          <w:sz w:val="24"/>
          <w:szCs w:val="24"/>
        </w:rPr>
        <w:t>řipadalo v</w:t>
      </w:r>
      <w:r w:rsidR="001C1AA4" w:rsidRPr="00DA196C">
        <w:rPr>
          <w:rFonts w:ascii="Garamond" w:hAnsi="Garamond"/>
          <w:sz w:val="24"/>
          <w:szCs w:val="24"/>
        </w:rPr>
        <w:t> </w:t>
      </w:r>
      <w:r w:rsidR="001D5E36" w:rsidRPr="00DA196C">
        <w:rPr>
          <w:rFonts w:ascii="Garamond" w:hAnsi="Garamond"/>
          <w:sz w:val="24"/>
          <w:szCs w:val="24"/>
        </w:rPr>
        <w:t>úvahu</w:t>
      </w:r>
      <w:r w:rsidR="001C1AA4" w:rsidRPr="00DA196C">
        <w:rPr>
          <w:rFonts w:ascii="Garamond" w:hAnsi="Garamond"/>
          <w:sz w:val="24"/>
          <w:szCs w:val="24"/>
        </w:rPr>
        <w:t xml:space="preserve"> </w:t>
      </w:r>
      <w:r w:rsidR="001D5E36" w:rsidRPr="00DA196C">
        <w:rPr>
          <w:rFonts w:ascii="Garamond" w:hAnsi="Garamond"/>
          <w:sz w:val="24"/>
          <w:szCs w:val="24"/>
        </w:rPr>
        <w:t>už</w:t>
      </w:r>
      <w:r w:rsidR="001C1AA4" w:rsidRPr="00DA196C">
        <w:rPr>
          <w:rFonts w:ascii="Garamond" w:hAnsi="Garamond"/>
          <w:sz w:val="24"/>
          <w:szCs w:val="24"/>
        </w:rPr>
        <w:t>ít</w:t>
      </w:r>
      <w:r w:rsidR="001D5E36" w:rsidRPr="00DA196C">
        <w:rPr>
          <w:rFonts w:ascii="Garamond" w:hAnsi="Garamond"/>
          <w:sz w:val="24"/>
          <w:szCs w:val="24"/>
        </w:rPr>
        <w:t xml:space="preserve"> </w:t>
      </w:r>
      <w:proofErr w:type="spellStart"/>
      <w:r w:rsidR="001D5E36" w:rsidRPr="00DA196C">
        <w:rPr>
          <w:rFonts w:ascii="Garamond" w:hAnsi="Garamond"/>
          <w:i/>
          <w:sz w:val="24"/>
          <w:szCs w:val="24"/>
        </w:rPr>
        <w:t>legis</w:t>
      </w:r>
      <w:proofErr w:type="spellEnd"/>
      <w:r w:rsidR="001D5E36" w:rsidRPr="00DA196C">
        <w:rPr>
          <w:rFonts w:ascii="Garamond" w:hAnsi="Garamond"/>
          <w:i/>
          <w:sz w:val="24"/>
          <w:szCs w:val="24"/>
        </w:rPr>
        <w:t xml:space="preserve"> </w:t>
      </w:r>
      <w:proofErr w:type="spellStart"/>
      <w:r w:rsidR="001D5E36" w:rsidRPr="00DA196C">
        <w:rPr>
          <w:rFonts w:ascii="Garamond" w:hAnsi="Garamond"/>
          <w:i/>
          <w:sz w:val="24"/>
          <w:szCs w:val="24"/>
        </w:rPr>
        <w:t>actio</w:t>
      </w:r>
      <w:proofErr w:type="spellEnd"/>
      <w:r w:rsidRPr="00DA196C">
        <w:rPr>
          <w:rFonts w:ascii="Garamond" w:hAnsi="Garamond"/>
          <w:i/>
          <w:sz w:val="24"/>
          <w:szCs w:val="24"/>
        </w:rPr>
        <w:t xml:space="preserve"> per </w:t>
      </w:r>
      <w:proofErr w:type="spellStart"/>
      <w:r w:rsidRPr="00DA196C">
        <w:rPr>
          <w:rFonts w:ascii="Garamond" w:hAnsi="Garamond"/>
          <w:i/>
          <w:sz w:val="24"/>
          <w:szCs w:val="24"/>
        </w:rPr>
        <w:t>condictionem</w:t>
      </w:r>
      <w:proofErr w:type="spellEnd"/>
      <w:r w:rsidRPr="00DA196C">
        <w:rPr>
          <w:rFonts w:ascii="Garamond" w:hAnsi="Garamond"/>
          <w:sz w:val="24"/>
          <w:szCs w:val="24"/>
        </w:rPr>
        <w:t>. V tomto případě žalobce před magistrátem vyslovil svůj nárok</w:t>
      </w:r>
      <w:r w:rsidR="001C1AA4" w:rsidRPr="00DA196C">
        <w:rPr>
          <w:rFonts w:ascii="Garamond" w:hAnsi="Garamond"/>
          <w:sz w:val="24"/>
          <w:szCs w:val="24"/>
        </w:rPr>
        <w:t>,</w:t>
      </w:r>
      <w:r w:rsidRPr="00DA196C">
        <w:rPr>
          <w:rFonts w:ascii="Garamond" w:hAnsi="Garamond"/>
          <w:sz w:val="24"/>
          <w:szCs w:val="24"/>
        </w:rPr>
        <w:t xml:space="preserve"> týkající se v případě </w:t>
      </w:r>
      <w:proofErr w:type="spellStart"/>
      <w:r w:rsidRPr="00DA196C">
        <w:rPr>
          <w:rFonts w:ascii="Garamond" w:hAnsi="Garamond"/>
          <w:sz w:val="24"/>
          <w:szCs w:val="24"/>
        </w:rPr>
        <w:t>reivindikace</w:t>
      </w:r>
      <w:proofErr w:type="spellEnd"/>
      <w:r w:rsidRPr="00DA196C">
        <w:rPr>
          <w:rFonts w:ascii="Garamond" w:hAnsi="Garamond"/>
          <w:sz w:val="24"/>
          <w:szCs w:val="24"/>
        </w:rPr>
        <w:t xml:space="preserve"> konkrétní věci</w:t>
      </w:r>
      <w:r w:rsidR="001C1AA4" w:rsidRPr="00DA196C">
        <w:rPr>
          <w:rFonts w:ascii="Garamond" w:hAnsi="Garamond"/>
          <w:sz w:val="24"/>
          <w:szCs w:val="24"/>
        </w:rPr>
        <w:t>,</w:t>
      </w:r>
      <w:r w:rsidRPr="00DA196C">
        <w:rPr>
          <w:rFonts w:ascii="Garamond" w:hAnsi="Garamond"/>
          <w:sz w:val="24"/>
          <w:szCs w:val="24"/>
        </w:rPr>
        <w:t xml:space="preserve"> a vyzval žalovaného k prohlášení, zda jeho nárok uznává či popírá. Jestliže žalovaný nárok popřel, vyzval jej žalobce, aby s</w:t>
      </w:r>
      <w:r w:rsidR="001C1AA4" w:rsidRPr="00DA196C">
        <w:rPr>
          <w:rFonts w:ascii="Garamond" w:hAnsi="Garamond"/>
          <w:sz w:val="24"/>
          <w:szCs w:val="24"/>
        </w:rPr>
        <w:t>e po 30 dnec</w:t>
      </w:r>
      <w:r w:rsidR="00B93A68">
        <w:rPr>
          <w:rFonts w:ascii="Garamond" w:hAnsi="Garamond"/>
          <w:sz w:val="24"/>
          <w:szCs w:val="24"/>
        </w:rPr>
        <w:t xml:space="preserve">h dostavil znova před </w:t>
      </w:r>
      <w:proofErr w:type="spellStart"/>
      <w:r w:rsidR="00B93A68">
        <w:rPr>
          <w:rFonts w:ascii="Garamond" w:hAnsi="Garamond"/>
          <w:sz w:val="24"/>
          <w:szCs w:val="24"/>
        </w:rPr>
        <w:t>magistráta</w:t>
      </w:r>
      <w:proofErr w:type="spellEnd"/>
      <w:r w:rsidR="001C1AA4" w:rsidRPr="00DA196C">
        <w:rPr>
          <w:rFonts w:ascii="Garamond" w:hAnsi="Garamond"/>
          <w:sz w:val="24"/>
          <w:szCs w:val="24"/>
        </w:rPr>
        <w:t xml:space="preserve"> za účelem </w:t>
      </w:r>
      <w:r w:rsidR="00B93A68">
        <w:rPr>
          <w:rFonts w:ascii="Garamond" w:hAnsi="Garamond"/>
          <w:sz w:val="24"/>
          <w:szCs w:val="24"/>
        </w:rPr>
        <w:t>u</w:t>
      </w:r>
      <w:r w:rsidR="001C1AA4" w:rsidRPr="00DA196C">
        <w:rPr>
          <w:rFonts w:ascii="Garamond" w:hAnsi="Garamond"/>
          <w:sz w:val="24"/>
          <w:szCs w:val="24"/>
        </w:rPr>
        <w:t xml:space="preserve">stanovení soudce. </w:t>
      </w:r>
      <w:r w:rsidR="0090362D" w:rsidRPr="00DA196C">
        <w:rPr>
          <w:rFonts w:ascii="Garamond" w:hAnsi="Garamond"/>
          <w:sz w:val="24"/>
          <w:szCs w:val="24"/>
        </w:rPr>
        <w:t xml:space="preserve">Nedocházelo zde k vsazení částky </w:t>
      </w:r>
      <w:proofErr w:type="spellStart"/>
      <w:r w:rsidR="0090362D" w:rsidRPr="005A6DA1">
        <w:rPr>
          <w:rFonts w:ascii="Garamond" w:hAnsi="Garamond"/>
          <w:sz w:val="24"/>
          <w:szCs w:val="24"/>
        </w:rPr>
        <w:t>sacramenta</w:t>
      </w:r>
      <w:proofErr w:type="spellEnd"/>
      <w:r w:rsidR="00AB26AA">
        <w:rPr>
          <w:rFonts w:ascii="Garamond" w:hAnsi="Garamond"/>
          <w:sz w:val="24"/>
          <w:szCs w:val="24"/>
        </w:rPr>
        <w:t xml:space="preserve"> (</w:t>
      </w:r>
      <w:proofErr w:type="spellStart"/>
      <w:r w:rsidR="00AB26AA" w:rsidRPr="00AB26AA">
        <w:rPr>
          <w:rFonts w:ascii="Garamond" w:hAnsi="Garamond"/>
          <w:i/>
          <w:sz w:val="24"/>
          <w:szCs w:val="24"/>
        </w:rPr>
        <w:t>summa</w:t>
      </w:r>
      <w:proofErr w:type="spellEnd"/>
      <w:r w:rsidR="00AB26AA" w:rsidRPr="00AB26AA">
        <w:rPr>
          <w:rFonts w:ascii="Garamond" w:hAnsi="Garamond"/>
          <w:i/>
          <w:sz w:val="24"/>
          <w:szCs w:val="24"/>
        </w:rPr>
        <w:t xml:space="preserve"> </w:t>
      </w:r>
      <w:proofErr w:type="spellStart"/>
      <w:r w:rsidR="00AB26AA" w:rsidRPr="00AB26AA">
        <w:rPr>
          <w:rFonts w:ascii="Garamond" w:hAnsi="Garamond"/>
          <w:i/>
          <w:sz w:val="24"/>
          <w:szCs w:val="24"/>
        </w:rPr>
        <w:t>sacramenti</w:t>
      </w:r>
      <w:proofErr w:type="spellEnd"/>
      <w:r w:rsidR="00AB26AA">
        <w:rPr>
          <w:rFonts w:ascii="Garamond" w:hAnsi="Garamond"/>
          <w:sz w:val="24"/>
          <w:szCs w:val="24"/>
        </w:rPr>
        <w:t>)</w:t>
      </w:r>
      <w:r w:rsidR="0090362D" w:rsidRPr="00DA196C">
        <w:rPr>
          <w:rFonts w:ascii="Garamond" w:hAnsi="Garamond"/>
          <w:sz w:val="24"/>
          <w:szCs w:val="24"/>
        </w:rPr>
        <w:t xml:space="preserve">, nicméně strany se vzájemně zavazovaly zaplatit 1/3 hodnoty věci jako jakousi sankci v případě prohry sporu. Částka zde připadla vítězi, nikoli státu jak tomu bylo u vsazené částky </w:t>
      </w:r>
      <w:proofErr w:type="spellStart"/>
      <w:r w:rsidR="0090362D" w:rsidRPr="00AB26AA">
        <w:rPr>
          <w:rFonts w:ascii="Garamond" w:hAnsi="Garamond"/>
          <w:sz w:val="24"/>
          <w:szCs w:val="24"/>
        </w:rPr>
        <w:t>sacramenta</w:t>
      </w:r>
      <w:proofErr w:type="spellEnd"/>
      <w:r w:rsidR="00B93A68">
        <w:rPr>
          <w:rFonts w:ascii="Garamond" w:hAnsi="Garamond"/>
          <w:i/>
          <w:sz w:val="24"/>
          <w:szCs w:val="24"/>
        </w:rPr>
        <w:t>.</w:t>
      </w:r>
      <w:r w:rsidR="008F5E91" w:rsidRPr="00DA196C">
        <w:rPr>
          <w:rStyle w:val="Znakapoznpodarou"/>
          <w:rFonts w:ascii="Garamond" w:hAnsi="Garamond"/>
          <w:sz w:val="24"/>
          <w:szCs w:val="24"/>
        </w:rPr>
        <w:footnoteReference w:id="10"/>
      </w:r>
    </w:p>
    <w:p w:rsidR="00DD14DC" w:rsidRPr="00DA196C" w:rsidRDefault="00E2439C"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Dále bylo stanoveno, kdo bude držitelem sporné věci</w:t>
      </w:r>
      <w:r w:rsidR="00F231D2" w:rsidRPr="00DA196C">
        <w:rPr>
          <w:rFonts w:ascii="Garamond" w:hAnsi="Garamond"/>
          <w:sz w:val="24"/>
          <w:szCs w:val="24"/>
        </w:rPr>
        <w:t xml:space="preserve">. Strana, které byla přiřknuta držba, </w:t>
      </w:r>
      <w:r w:rsidR="00DD14DC" w:rsidRPr="00DA196C">
        <w:rPr>
          <w:rFonts w:ascii="Garamond" w:hAnsi="Garamond"/>
          <w:sz w:val="24"/>
          <w:szCs w:val="24"/>
        </w:rPr>
        <w:t>musela dát rukojmí</w:t>
      </w:r>
      <w:r w:rsidR="00F231D2" w:rsidRPr="00DA196C">
        <w:rPr>
          <w:rFonts w:ascii="Garamond" w:hAnsi="Garamond"/>
          <w:sz w:val="24"/>
          <w:szCs w:val="24"/>
        </w:rPr>
        <w:t xml:space="preserve"> </w:t>
      </w:r>
      <w:r w:rsidR="00DD14DC" w:rsidRPr="00DA196C">
        <w:rPr>
          <w:rFonts w:ascii="Garamond" w:hAnsi="Garamond"/>
          <w:sz w:val="24"/>
          <w:szCs w:val="24"/>
        </w:rPr>
        <w:t>(</w:t>
      </w:r>
      <w:proofErr w:type="spellStart"/>
      <w:r w:rsidR="00F231D2" w:rsidRPr="00DA196C">
        <w:rPr>
          <w:rFonts w:ascii="Garamond" w:hAnsi="Garamond"/>
          <w:i/>
          <w:sz w:val="24"/>
          <w:szCs w:val="24"/>
        </w:rPr>
        <w:t>praedes</w:t>
      </w:r>
      <w:proofErr w:type="spellEnd"/>
      <w:r w:rsidR="00F231D2" w:rsidRPr="00DA196C">
        <w:rPr>
          <w:rFonts w:ascii="Garamond" w:hAnsi="Garamond"/>
          <w:i/>
          <w:sz w:val="24"/>
          <w:szCs w:val="24"/>
        </w:rPr>
        <w:t xml:space="preserve"> </w:t>
      </w:r>
      <w:proofErr w:type="spellStart"/>
      <w:r w:rsidR="00F231D2" w:rsidRPr="00DA196C">
        <w:rPr>
          <w:rFonts w:ascii="Garamond" w:hAnsi="Garamond"/>
          <w:i/>
          <w:sz w:val="24"/>
          <w:szCs w:val="24"/>
        </w:rPr>
        <w:t>litis</w:t>
      </w:r>
      <w:proofErr w:type="spellEnd"/>
      <w:r w:rsidR="00F231D2" w:rsidRPr="00DA196C">
        <w:rPr>
          <w:rFonts w:ascii="Garamond" w:hAnsi="Garamond"/>
          <w:i/>
          <w:sz w:val="24"/>
          <w:szCs w:val="24"/>
        </w:rPr>
        <w:t xml:space="preserve"> </w:t>
      </w:r>
      <w:proofErr w:type="spellStart"/>
      <w:r w:rsidR="00F231D2" w:rsidRPr="00DA196C">
        <w:rPr>
          <w:rFonts w:ascii="Garamond" w:hAnsi="Garamond"/>
          <w:i/>
          <w:sz w:val="24"/>
          <w:szCs w:val="24"/>
        </w:rPr>
        <w:t>et</w:t>
      </w:r>
      <w:proofErr w:type="spellEnd"/>
      <w:r w:rsidR="00F231D2" w:rsidRPr="00DA196C">
        <w:rPr>
          <w:rFonts w:ascii="Garamond" w:hAnsi="Garamond"/>
          <w:i/>
          <w:sz w:val="24"/>
          <w:szCs w:val="24"/>
        </w:rPr>
        <w:t xml:space="preserve"> </w:t>
      </w:r>
      <w:proofErr w:type="spellStart"/>
      <w:r w:rsidR="00F231D2" w:rsidRPr="00DA196C">
        <w:rPr>
          <w:rFonts w:ascii="Garamond" w:hAnsi="Garamond"/>
          <w:i/>
          <w:sz w:val="24"/>
          <w:szCs w:val="24"/>
        </w:rPr>
        <w:t>vindiciarum</w:t>
      </w:r>
      <w:proofErr w:type="spellEnd"/>
      <w:r w:rsidR="0071620C" w:rsidRPr="00DA196C">
        <w:rPr>
          <w:rFonts w:ascii="Garamond" w:hAnsi="Garamond"/>
          <w:i/>
          <w:sz w:val="24"/>
          <w:szCs w:val="24"/>
        </w:rPr>
        <w:t>)</w:t>
      </w:r>
      <w:r w:rsidR="0071620C" w:rsidRPr="00DA196C">
        <w:rPr>
          <w:rFonts w:ascii="Garamond" w:hAnsi="Garamond"/>
          <w:sz w:val="24"/>
          <w:szCs w:val="24"/>
        </w:rPr>
        <w:t xml:space="preserve"> jako záruku toho, že v případě své prohry vydá věc i s plody protistraně</w:t>
      </w:r>
      <w:r w:rsidR="00DD6A6A">
        <w:rPr>
          <w:rFonts w:ascii="Garamond" w:hAnsi="Garamond"/>
          <w:sz w:val="24"/>
          <w:szCs w:val="24"/>
        </w:rPr>
        <w:t>.</w:t>
      </w:r>
      <w:r w:rsidR="00DB1EEA" w:rsidRPr="00DA196C">
        <w:rPr>
          <w:rStyle w:val="Znakapoznpodarou"/>
          <w:rFonts w:ascii="Garamond" w:hAnsi="Garamond"/>
          <w:sz w:val="24"/>
          <w:szCs w:val="24"/>
        </w:rPr>
        <w:footnoteReference w:id="11"/>
      </w:r>
    </w:p>
    <w:p w:rsidR="00654B3E" w:rsidRPr="00DA196C" w:rsidRDefault="00DC15A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Po takovémto ustavení sporu </w:t>
      </w:r>
      <w:r w:rsidR="0071620C" w:rsidRPr="00DA196C">
        <w:rPr>
          <w:rFonts w:ascii="Garamond" w:hAnsi="Garamond"/>
          <w:sz w:val="24"/>
          <w:szCs w:val="24"/>
        </w:rPr>
        <w:t>(</w:t>
      </w:r>
      <w:proofErr w:type="spellStart"/>
      <w:r w:rsidR="0071620C" w:rsidRPr="00DA196C">
        <w:rPr>
          <w:rFonts w:ascii="Garamond" w:hAnsi="Garamond"/>
          <w:i/>
          <w:sz w:val="24"/>
          <w:szCs w:val="24"/>
        </w:rPr>
        <w:t>litis</w:t>
      </w:r>
      <w:proofErr w:type="spellEnd"/>
      <w:r w:rsidR="0071620C" w:rsidRPr="00DA196C">
        <w:rPr>
          <w:rFonts w:ascii="Garamond" w:hAnsi="Garamond"/>
          <w:i/>
          <w:sz w:val="24"/>
          <w:szCs w:val="24"/>
        </w:rPr>
        <w:t xml:space="preserve"> </w:t>
      </w:r>
      <w:proofErr w:type="spellStart"/>
      <w:r w:rsidR="0071620C" w:rsidRPr="00DA196C">
        <w:rPr>
          <w:rFonts w:ascii="Garamond" w:hAnsi="Garamond"/>
          <w:i/>
          <w:sz w:val="24"/>
          <w:szCs w:val="24"/>
        </w:rPr>
        <w:t>contestatio</w:t>
      </w:r>
      <w:proofErr w:type="spellEnd"/>
      <w:r w:rsidR="0071620C" w:rsidRPr="00DA196C">
        <w:rPr>
          <w:rFonts w:ascii="Garamond" w:hAnsi="Garamond"/>
          <w:sz w:val="24"/>
          <w:szCs w:val="24"/>
        </w:rPr>
        <w:t xml:space="preserve">) </w:t>
      </w:r>
      <w:r w:rsidRPr="00DA196C">
        <w:rPr>
          <w:rFonts w:ascii="Garamond" w:hAnsi="Garamond"/>
          <w:sz w:val="24"/>
          <w:szCs w:val="24"/>
        </w:rPr>
        <w:t xml:space="preserve">byl stranám </w:t>
      </w:r>
      <w:r w:rsidR="002C61FE" w:rsidRPr="00DA196C">
        <w:rPr>
          <w:rFonts w:ascii="Garamond" w:hAnsi="Garamond"/>
          <w:sz w:val="24"/>
          <w:szCs w:val="24"/>
        </w:rPr>
        <w:t xml:space="preserve">magistrátem </w:t>
      </w:r>
      <w:r w:rsidRPr="00DA196C">
        <w:rPr>
          <w:rFonts w:ascii="Garamond" w:hAnsi="Garamond"/>
          <w:sz w:val="24"/>
          <w:szCs w:val="24"/>
        </w:rPr>
        <w:t>stanoven soudce, na kterém se strany shodly a před něhož se měly třetího dne dostavit</w:t>
      </w:r>
      <w:r w:rsidR="00DD6A6A">
        <w:rPr>
          <w:rFonts w:ascii="Garamond" w:hAnsi="Garamond"/>
          <w:sz w:val="24"/>
          <w:szCs w:val="24"/>
        </w:rPr>
        <w:t>.</w:t>
      </w:r>
      <w:r w:rsidR="002C61FE" w:rsidRPr="00DA196C">
        <w:rPr>
          <w:rStyle w:val="Znakapoznpodarou"/>
          <w:rFonts w:ascii="Garamond" w:hAnsi="Garamond"/>
          <w:sz w:val="24"/>
          <w:szCs w:val="24"/>
        </w:rPr>
        <w:footnoteReference w:id="12"/>
      </w:r>
      <w:r w:rsidRPr="00DA196C">
        <w:rPr>
          <w:rFonts w:ascii="Garamond" w:hAnsi="Garamond"/>
          <w:sz w:val="24"/>
          <w:szCs w:val="24"/>
        </w:rPr>
        <w:t xml:space="preserve"> Tímto byla ukončena první fáze procesu</w:t>
      </w:r>
      <w:r w:rsidR="002C61FE" w:rsidRPr="00DA196C">
        <w:rPr>
          <w:rFonts w:ascii="Garamond" w:hAnsi="Garamond"/>
          <w:sz w:val="24"/>
          <w:szCs w:val="24"/>
        </w:rPr>
        <w:t>.</w:t>
      </w:r>
    </w:p>
    <w:p w:rsidR="00CF689A" w:rsidRPr="00DA196C" w:rsidRDefault="00CF689A" w:rsidP="00FA1FF7">
      <w:pPr>
        <w:pStyle w:val="Nadpis4"/>
        <w:contextualSpacing/>
      </w:pPr>
      <w:r w:rsidRPr="00DA196C">
        <w:t xml:space="preserve">Řízení </w:t>
      </w:r>
      <w:proofErr w:type="spellStart"/>
      <w:r w:rsidRPr="00DA196C">
        <w:t>apud</w:t>
      </w:r>
      <w:proofErr w:type="spellEnd"/>
      <w:r w:rsidRPr="00DA196C">
        <w:t xml:space="preserve"> </w:t>
      </w:r>
      <w:proofErr w:type="spellStart"/>
      <w:r w:rsidRPr="00DA196C">
        <w:t>iudicem</w:t>
      </w:r>
      <w:proofErr w:type="spellEnd"/>
    </w:p>
    <w:p w:rsidR="00D56C44" w:rsidRPr="00DA196C" w:rsidRDefault="002C61FE"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 druhé fázi procesu </w:t>
      </w:r>
      <w:r w:rsidR="00873336" w:rsidRPr="00DA196C">
        <w:rPr>
          <w:rFonts w:ascii="Garamond" w:hAnsi="Garamond"/>
          <w:sz w:val="24"/>
          <w:szCs w:val="24"/>
        </w:rPr>
        <w:t xml:space="preserve">bylo třeba, aby se </w:t>
      </w:r>
      <w:r w:rsidR="009E0531" w:rsidRPr="00DA196C">
        <w:rPr>
          <w:rFonts w:ascii="Garamond" w:hAnsi="Garamond"/>
          <w:sz w:val="24"/>
          <w:szCs w:val="24"/>
        </w:rPr>
        <w:t xml:space="preserve">obě strany sporu </w:t>
      </w:r>
      <w:r w:rsidR="00873336" w:rsidRPr="00DA196C">
        <w:rPr>
          <w:rFonts w:ascii="Garamond" w:hAnsi="Garamond"/>
          <w:sz w:val="24"/>
          <w:szCs w:val="24"/>
        </w:rPr>
        <w:t>dostavily k projednání a</w:t>
      </w:r>
      <w:r w:rsidRPr="00DA196C">
        <w:rPr>
          <w:rFonts w:ascii="Garamond" w:hAnsi="Garamond"/>
          <w:sz w:val="24"/>
          <w:szCs w:val="24"/>
        </w:rPr>
        <w:t xml:space="preserve"> před soudcem</w:t>
      </w:r>
      <w:r w:rsidR="00873336" w:rsidRPr="00DA196C">
        <w:rPr>
          <w:rFonts w:ascii="Garamond" w:hAnsi="Garamond"/>
          <w:sz w:val="24"/>
          <w:szCs w:val="24"/>
        </w:rPr>
        <w:t xml:space="preserve"> stručně přednesly spornou věc, poté</w:t>
      </w:r>
      <w:r w:rsidRPr="00DA196C">
        <w:rPr>
          <w:rFonts w:ascii="Garamond" w:hAnsi="Garamond"/>
          <w:sz w:val="24"/>
          <w:szCs w:val="24"/>
        </w:rPr>
        <w:t xml:space="preserve"> byly prováděny důkazy. Soudce následně rozhodoval o tom, která strana vsadila částku </w:t>
      </w:r>
      <w:r w:rsidRPr="00AB26AA">
        <w:rPr>
          <w:rFonts w:ascii="Garamond" w:hAnsi="Garamond"/>
          <w:sz w:val="24"/>
          <w:szCs w:val="24"/>
        </w:rPr>
        <w:t xml:space="preserve">sacramenta </w:t>
      </w:r>
      <w:r w:rsidRPr="00DA196C">
        <w:rPr>
          <w:rFonts w:ascii="Garamond" w:hAnsi="Garamond"/>
          <w:sz w:val="24"/>
          <w:szCs w:val="24"/>
        </w:rPr>
        <w:t xml:space="preserve">spravedlivě, přičemž </w:t>
      </w:r>
      <w:r w:rsidR="00C350A7" w:rsidRPr="00DA196C">
        <w:rPr>
          <w:rFonts w:ascii="Garamond" w:hAnsi="Garamond"/>
          <w:sz w:val="24"/>
          <w:szCs w:val="24"/>
        </w:rPr>
        <w:t xml:space="preserve">aby mohl učinit toto rozhodnutí, tak </w:t>
      </w:r>
      <w:r w:rsidRPr="00DA196C">
        <w:rPr>
          <w:rFonts w:ascii="Garamond" w:hAnsi="Garamond"/>
          <w:sz w:val="24"/>
          <w:szCs w:val="24"/>
        </w:rPr>
        <w:t>bylo nezbytně nutné jako předběžnou otázku vyřešit spor stran</w:t>
      </w:r>
      <w:r w:rsidR="00664F95" w:rsidRPr="00DA196C">
        <w:rPr>
          <w:rFonts w:ascii="Garamond" w:hAnsi="Garamond"/>
          <w:sz w:val="24"/>
          <w:szCs w:val="24"/>
        </w:rPr>
        <w:t xml:space="preserve"> týkající se věci</w:t>
      </w:r>
      <w:r w:rsidRPr="00DA196C">
        <w:rPr>
          <w:rFonts w:ascii="Garamond" w:hAnsi="Garamond"/>
          <w:sz w:val="24"/>
          <w:szCs w:val="24"/>
        </w:rPr>
        <w:t>. Soudce tedy přímo rozhodoval pouze o sázce, nepřímo pak o sporu st</w:t>
      </w:r>
      <w:r w:rsidR="00C350A7" w:rsidRPr="00DA196C">
        <w:rPr>
          <w:rFonts w:ascii="Garamond" w:hAnsi="Garamond"/>
          <w:sz w:val="24"/>
          <w:szCs w:val="24"/>
        </w:rPr>
        <w:t>r</w:t>
      </w:r>
      <w:r w:rsidRPr="00DA196C">
        <w:rPr>
          <w:rFonts w:ascii="Garamond" w:hAnsi="Garamond"/>
          <w:sz w:val="24"/>
          <w:szCs w:val="24"/>
        </w:rPr>
        <w:t>an týkajícího se věci</w:t>
      </w:r>
      <w:r w:rsidR="00873336" w:rsidRPr="00DA196C">
        <w:rPr>
          <w:rFonts w:ascii="Garamond" w:hAnsi="Garamond"/>
          <w:sz w:val="24"/>
          <w:szCs w:val="24"/>
        </w:rPr>
        <w:t>.</w:t>
      </w:r>
      <w:r w:rsidR="006F7A28" w:rsidRPr="00DA196C">
        <w:rPr>
          <w:rFonts w:ascii="Garamond" w:hAnsi="Garamond"/>
          <w:sz w:val="24"/>
          <w:szCs w:val="24"/>
        </w:rPr>
        <w:t xml:space="preserve"> </w:t>
      </w:r>
      <w:r w:rsidR="00873336" w:rsidRPr="00DA196C">
        <w:rPr>
          <w:rFonts w:ascii="Garamond" w:hAnsi="Garamond"/>
          <w:sz w:val="24"/>
          <w:szCs w:val="24"/>
        </w:rPr>
        <w:lastRenderedPageBreak/>
        <w:t>Jestliže se jedna ze stran před soudce včas nedostavila, byl vydán rozsudek ve prospěch přítomné strany (obdobně, jako je tomu dnes u rozsudku pro zmeškání)</w:t>
      </w:r>
      <w:r w:rsidRPr="00DA196C">
        <w:rPr>
          <w:rFonts w:ascii="Garamond" w:hAnsi="Garamond"/>
          <w:sz w:val="24"/>
          <w:szCs w:val="24"/>
        </w:rPr>
        <w:t>.</w:t>
      </w:r>
      <w:r w:rsidR="00DD6A6A" w:rsidRPr="00DA196C">
        <w:rPr>
          <w:rStyle w:val="Znakapoznpodarou"/>
          <w:rFonts w:ascii="Garamond" w:hAnsi="Garamond"/>
          <w:sz w:val="24"/>
          <w:szCs w:val="24"/>
        </w:rPr>
        <w:footnoteReference w:id="13"/>
      </w:r>
    </w:p>
    <w:p w:rsidR="006F7A28" w:rsidRPr="00DA196C" w:rsidRDefault="006F7A2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V souvislosti s </w:t>
      </w:r>
      <w:proofErr w:type="spellStart"/>
      <w:r w:rsidRPr="005A6DA1">
        <w:rPr>
          <w:rFonts w:ascii="Garamond" w:hAnsi="Garamond"/>
          <w:sz w:val="24"/>
          <w:szCs w:val="24"/>
        </w:rPr>
        <w:t>legisakčním</w:t>
      </w:r>
      <w:proofErr w:type="spellEnd"/>
      <w:r w:rsidRPr="00DA196C">
        <w:rPr>
          <w:rFonts w:ascii="Garamond" w:hAnsi="Garamond"/>
          <w:sz w:val="24"/>
          <w:szCs w:val="24"/>
        </w:rPr>
        <w:t xml:space="preserve"> procesem je třeba též zmínit alternativu v podobě řízení </w:t>
      </w:r>
      <w:r w:rsidRPr="00DA196C">
        <w:rPr>
          <w:rFonts w:ascii="Garamond" w:hAnsi="Garamond"/>
          <w:i/>
          <w:sz w:val="24"/>
          <w:szCs w:val="24"/>
        </w:rPr>
        <w:t xml:space="preserve">per </w:t>
      </w:r>
      <w:proofErr w:type="spellStart"/>
      <w:r w:rsidRPr="00DA196C">
        <w:rPr>
          <w:rFonts w:ascii="Garamond" w:hAnsi="Garamond"/>
          <w:i/>
          <w:sz w:val="24"/>
          <w:szCs w:val="24"/>
        </w:rPr>
        <w:t>sponsionem</w:t>
      </w:r>
      <w:proofErr w:type="spellEnd"/>
      <w:r w:rsidR="007C64B4" w:rsidRPr="00DA196C">
        <w:rPr>
          <w:rFonts w:ascii="Garamond" w:hAnsi="Garamond"/>
          <w:i/>
          <w:sz w:val="24"/>
          <w:szCs w:val="24"/>
        </w:rPr>
        <w:t>,</w:t>
      </w:r>
      <w:r w:rsidR="00B92F1F" w:rsidRPr="00DA196C">
        <w:rPr>
          <w:rFonts w:ascii="Garamond" w:hAnsi="Garamond"/>
          <w:i/>
          <w:sz w:val="24"/>
          <w:szCs w:val="24"/>
        </w:rPr>
        <w:t xml:space="preserve"> </w:t>
      </w:r>
      <w:r w:rsidR="00B92F1F" w:rsidRPr="00DA196C">
        <w:rPr>
          <w:rFonts w:ascii="Garamond" w:hAnsi="Garamond"/>
          <w:sz w:val="24"/>
          <w:szCs w:val="24"/>
        </w:rPr>
        <w:t xml:space="preserve">které mělo být zjevně zjednodušením složitého </w:t>
      </w:r>
      <w:proofErr w:type="spellStart"/>
      <w:r w:rsidR="00B92F1F" w:rsidRPr="00DA196C">
        <w:rPr>
          <w:rFonts w:ascii="Garamond" w:hAnsi="Garamond"/>
          <w:sz w:val="24"/>
          <w:szCs w:val="24"/>
        </w:rPr>
        <w:t>legisakčního</w:t>
      </w:r>
      <w:proofErr w:type="spellEnd"/>
      <w:r w:rsidR="00B92F1F" w:rsidRPr="00DA196C">
        <w:rPr>
          <w:rFonts w:ascii="Garamond" w:hAnsi="Garamond"/>
          <w:sz w:val="24"/>
          <w:szCs w:val="24"/>
        </w:rPr>
        <w:t xml:space="preserve"> řízení</w:t>
      </w:r>
      <w:r w:rsidR="007C64B4" w:rsidRPr="00DA196C">
        <w:rPr>
          <w:rFonts w:ascii="Garamond" w:hAnsi="Garamond"/>
          <w:sz w:val="24"/>
          <w:szCs w:val="24"/>
        </w:rPr>
        <w:t xml:space="preserve"> v případech vlastnických sporů</w:t>
      </w:r>
      <w:r w:rsidRPr="00DA196C">
        <w:rPr>
          <w:rFonts w:ascii="Garamond" w:hAnsi="Garamond"/>
          <w:i/>
          <w:sz w:val="24"/>
          <w:szCs w:val="24"/>
        </w:rPr>
        <w:t>.</w:t>
      </w:r>
      <w:r w:rsidRPr="00DA196C">
        <w:rPr>
          <w:rFonts w:ascii="Garamond" w:hAnsi="Garamond"/>
          <w:sz w:val="24"/>
          <w:szCs w:val="24"/>
        </w:rPr>
        <w:t xml:space="preserve"> Toto řízení bylo pravděpodobně užíváno</w:t>
      </w:r>
      <w:r w:rsidR="00B92F1F" w:rsidRPr="00DA196C">
        <w:rPr>
          <w:rFonts w:ascii="Garamond" w:hAnsi="Garamond"/>
          <w:sz w:val="24"/>
          <w:szCs w:val="24"/>
        </w:rPr>
        <w:t xml:space="preserve"> již v době </w:t>
      </w:r>
      <w:proofErr w:type="spellStart"/>
      <w:r w:rsidR="00B92F1F" w:rsidRPr="00DA196C">
        <w:rPr>
          <w:rFonts w:ascii="Garamond" w:hAnsi="Garamond"/>
          <w:sz w:val="24"/>
          <w:szCs w:val="24"/>
        </w:rPr>
        <w:t>legisakcí</w:t>
      </w:r>
      <w:proofErr w:type="spellEnd"/>
      <w:r w:rsidRPr="00DA196C">
        <w:rPr>
          <w:rFonts w:ascii="Garamond" w:hAnsi="Garamond"/>
          <w:sz w:val="24"/>
          <w:szCs w:val="24"/>
        </w:rPr>
        <w:t>, ačkoli více se rozvinulo až za dob klasického procesu</w:t>
      </w:r>
      <w:r w:rsidR="007C64B4" w:rsidRPr="00DA196C">
        <w:rPr>
          <w:rFonts w:ascii="Garamond" w:hAnsi="Garamond"/>
          <w:sz w:val="24"/>
          <w:szCs w:val="24"/>
        </w:rPr>
        <w:t xml:space="preserve">. Jak je patrné již z názvu řízení, šlo zde o to, že žalovaný učinil tzv. </w:t>
      </w:r>
      <w:proofErr w:type="spellStart"/>
      <w:r w:rsidR="007C64B4" w:rsidRPr="00DD6A6A">
        <w:rPr>
          <w:rFonts w:ascii="Garamond" w:hAnsi="Garamond"/>
          <w:i/>
          <w:sz w:val="24"/>
          <w:szCs w:val="24"/>
        </w:rPr>
        <w:t>sponsio</w:t>
      </w:r>
      <w:proofErr w:type="spellEnd"/>
      <w:r w:rsidR="007C64B4" w:rsidRPr="00DD6A6A">
        <w:rPr>
          <w:rFonts w:ascii="Garamond" w:hAnsi="Garamond"/>
          <w:i/>
          <w:sz w:val="24"/>
          <w:szCs w:val="24"/>
        </w:rPr>
        <w:t xml:space="preserve"> </w:t>
      </w:r>
      <w:proofErr w:type="spellStart"/>
      <w:r w:rsidR="007C64B4" w:rsidRPr="00DD6A6A">
        <w:rPr>
          <w:rFonts w:ascii="Garamond" w:hAnsi="Garamond"/>
          <w:i/>
          <w:sz w:val="24"/>
          <w:szCs w:val="24"/>
        </w:rPr>
        <w:t>praejudicialis</w:t>
      </w:r>
      <w:proofErr w:type="spellEnd"/>
      <w:r w:rsidR="007C64B4" w:rsidRPr="00DA196C">
        <w:rPr>
          <w:rFonts w:ascii="Garamond" w:hAnsi="Garamond"/>
          <w:sz w:val="24"/>
          <w:szCs w:val="24"/>
        </w:rPr>
        <w:t>, tedy slíbil žalobci určitou peněžní sumu</w:t>
      </w:r>
      <w:r w:rsidR="007C64B4" w:rsidRPr="00DA196C">
        <w:rPr>
          <w:rStyle w:val="Znakapoznpodarou"/>
          <w:rFonts w:ascii="Garamond" w:hAnsi="Garamond"/>
          <w:sz w:val="24"/>
          <w:szCs w:val="24"/>
        </w:rPr>
        <w:footnoteReference w:id="14"/>
      </w:r>
      <w:r w:rsidR="007C64B4" w:rsidRPr="00DA196C">
        <w:rPr>
          <w:rFonts w:ascii="Garamond" w:hAnsi="Garamond"/>
          <w:sz w:val="24"/>
          <w:szCs w:val="24"/>
        </w:rPr>
        <w:t xml:space="preserve"> pro případ, že žalobce by byl vlastníkem věci. Účelem této </w:t>
      </w:r>
      <w:proofErr w:type="spellStart"/>
      <w:r w:rsidR="007C64B4" w:rsidRPr="00AB26AA">
        <w:rPr>
          <w:rFonts w:ascii="Garamond" w:hAnsi="Garamond"/>
          <w:sz w:val="24"/>
          <w:szCs w:val="24"/>
        </w:rPr>
        <w:t>spons</w:t>
      </w:r>
      <w:r w:rsidR="00AB26AA" w:rsidRPr="00AB26AA">
        <w:rPr>
          <w:rFonts w:ascii="Garamond" w:hAnsi="Garamond"/>
          <w:sz w:val="24"/>
          <w:szCs w:val="24"/>
        </w:rPr>
        <w:t>e</w:t>
      </w:r>
      <w:proofErr w:type="spellEnd"/>
      <w:r w:rsidR="007C64B4" w:rsidRPr="00DA196C">
        <w:rPr>
          <w:rFonts w:ascii="Garamond" w:hAnsi="Garamond"/>
          <w:sz w:val="24"/>
          <w:szCs w:val="24"/>
        </w:rPr>
        <w:t xml:space="preserve"> bylo pouze umožnit soudci rozhodnout o právoplatnosti závazku ze </w:t>
      </w:r>
      <w:proofErr w:type="spellStart"/>
      <w:r w:rsidR="007C64B4" w:rsidRPr="00DA196C">
        <w:rPr>
          <w:rFonts w:ascii="Garamond" w:hAnsi="Garamond"/>
          <w:sz w:val="24"/>
          <w:szCs w:val="24"/>
        </w:rPr>
        <w:t>sponse</w:t>
      </w:r>
      <w:proofErr w:type="spellEnd"/>
      <w:r w:rsidR="007C64B4" w:rsidRPr="00DA196C">
        <w:rPr>
          <w:rFonts w:ascii="Garamond" w:hAnsi="Garamond"/>
          <w:sz w:val="24"/>
          <w:szCs w:val="24"/>
        </w:rPr>
        <w:t xml:space="preserve"> a jako prejudiciální otázku tak vyřešit otázku vlastnictví věci</w:t>
      </w:r>
      <w:r w:rsidR="00CC309F" w:rsidRPr="00DA196C">
        <w:rPr>
          <w:rFonts w:ascii="Garamond" w:hAnsi="Garamond"/>
          <w:sz w:val="24"/>
          <w:szCs w:val="24"/>
        </w:rPr>
        <w:t>. Žalovaný se zavazoval, že v případě, že bude rozhodnuto proti němu, vydá věc i s plody žalobci.</w:t>
      </w:r>
      <w:r w:rsidR="00CC309F" w:rsidRPr="00DA196C">
        <w:rPr>
          <w:rStyle w:val="Znakapoznpodarou"/>
          <w:rFonts w:ascii="Garamond" w:hAnsi="Garamond"/>
          <w:sz w:val="24"/>
          <w:szCs w:val="24"/>
        </w:rPr>
        <w:footnoteReference w:id="15"/>
      </w:r>
    </w:p>
    <w:p w:rsidR="00043B40" w:rsidRPr="00DA196C" w:rsidRDefault="00043B40" w:rsidP="00FA1FF7">
      <w:pPr>
        <w:pStyle w:val="Nadpis3"/>
        <w:spacing w:line="360" w:lineRule="auto"/>
        <w:contextualSpacing/>
      </w:pPr>
      <w:bookmarkStart w:id="5" w:name="_Toc36031934"/>
      <w:r w:rsidRPr="00DA196C">
        <w:t>Formulový proces</w:t>
      </w:r>
      <w:bookmarkEnd w:id="5"/>
    </w:p>
    <w:p w:rsidR="000B19C2" w:rsidRPr="00DA196C" w:rsidRDefault="00DA4760"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Stejně jako u procesu legisakčního, i zde mělo řízení dvě fáze – </w:t>
      </w:r>
      <w:r w:rsidRPr="00DA196C">
        <w:rPr>
          <w:rFonts w:ascii="Garamond" w:hAnsi="Garamond"/>
          <w:i/>
          <w:sz w:val="24"/>
          <w:szCs w:val="24"/>
        </w:rPr>
        <w:t>in iure</w:t>
      </w:r>
      <w:r w:rsidRPr="00DA196C">
        <w:rPr>
          <w:rFonts w:ascii="Garamond" w:hAnsi="Garamond"/>
          <w:sz w:val="24"/>
          <w:szCs w:val="24"/>
        </w:rPr>
        <w:t xml:space="preserve"> a </w:t>
      </w:r>
      <w:r w:rsidRPr="00DA196C">
        <w:rPr>
          <w:rFonts w:ascii="Garamond" w:hAnsi="Garamond"/>
          <w:i/>
          <w:sz w:val="24"/>
          <w:szCs w:val="24"/>
        </w:rPr>
        <w:t>apud iudicem</w:t>
      </w:r>
      <w:r w:rsidRPr="00DA196C">
        <w:rPr>
          <w:rFonts w:ascii="Garamond" w:hAnsi="Garamond"/>
          <w:sz w:val="24"/>
          <w:szCs w:val="24"/>
        </w:rPr>
        <w:t>.</w:t>
      </w:r>
      <w:r w:rsidR="005E62BD" w:rsidRPr="00DA196C">
        <w:rPr>
          <w:rFonts w:ascii="Garamond" w:hAnsi="Garamond"/>
          <w:sz w:val="24"/>
          <w:szCs w:val="24"/>
        </w:rPr>
        <w:t xml:space="preserve"> Nově však byl spor ustavován pomocí žalobního formuláře pro žalobcův nárok a případně i formuláře </w:t>
      </w:r>
      <w:r w:rsidR="000B19C2" w:rsidRPr="00DA196C">
        <w:rPr>
          <w:rFonts w:ascii="Garamond" w:hAnsi="Garamond"/>
          <w:sz w:val="24"/>
          <w:szCs w:val="24"/>
        </w:rPr>
        <w:t>pro excepci žalovaného.</w:t>
      </w:r>
      <w:r w:rsidRPr="00DA196C">
        <w:rPr>
          <w:rFonts w:ascii="Garamond" w:hAnsi="Garamond"/>
          <w:sz w:val="24"/>
          <w:szCs w:val="24"/>
        </w:rPr>
        <w:t xml:space="preserve"> </w:t>
      </w:r>
    </w:p>
    <w:p w:rsidR="00BD1A43" w:rsidRPr="00DA196C" w:rsidRDefault="0056293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Shodně jako u procesu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bylo </w:t>
      </w:r>
      <w:r w:rsidR="00BD1A43" w:rsidRPr="00DA196C">
        <w:rPr>
          <w:rFonts w:ascii="Garamond" w:hAnsi="Garamond"/>
          <w:sz w:val="24"/>
          <w:szCs w:val="24"/>
        </w:rPr>
        <w:t>i nyní na žalobci, aby obeslal žalovaného a zajistil</w:t>
      </w:r>
      <w:r w:rsidRPr="00DA196C">
        <w:rPr>
          <w:rFonts w:ascii="Garamond" w:hAnsi="Garamond"/>
          <w:sz w:val="24"/>
          <w:szCs w:val="24"/>
        </w:rPr>
        <w:t>,</w:t>
      </w:r>
      <w:r w:rsidR="008208F0">
        <w:rPr>
          <w:rFonts w:ascii="Garamond" w:hAnsi="Garamond"/>
          <w:sz w:val="24"/>
          <w:szCs w:val="24"/>
        </w:rPr>
        <w:t xml:space="preserve"> aby se tento dostavil před pré</w:t>
      </w:r>
      <w:r w:rsidRPr="00DA196C">
        <w:rPr>
          <w:rFonts w:ascii="Garamond" w:hAnsi="Garamond"/>
          <w:sz w:val="24"/>
          <w:szCs w:val="24"/>
        </w:rPr>
        <w:t>tora</w:t>
      </w:r>
      <w:r w:rsidR="00BD1A43" w:rsidRPr="00DA196C">
        <w:rPr>
          <w:rFonts w:ascii="Garamond" w:hAnsi="Garamond"/>
          <w:sz w:val="24"/>
          <w:szCs w:val="24"/>
        </w:rPr>
        <w:t xml:space="preserve"> (</w:t>
      </w:r>
      <w:r w:rsidR="00BD1A43" w:rsidRPr="00DA196C">
        <w:rPr>
          <w:rFonts w:ascii="Garamond" w:hAnsi="Garamond"/>
          <w:i/>
          <w:sz w:val="24"/>
          <w:szCs w:val="24"/>
        </w:rPr>
        <w:t xml:space="preserve">in </w:t>
      </w:r>
      <w:proofErr w:type="spellStart"/>
      <w:r w:rsidR="00BD1A43" w:rsidRPr="00DA196C">
        <w:rPr>
          <w:rFonts w:ascii="Garamond" w:hAnsi="Garamond"/>
          <w:i/>
          <w:sz w:val="24"/>
          <w:szCs w:val="24"/>
        </w:rPr>
        <w:t>ius</w:t>
      </w:r>
      <w:proofErr w:type="spellEnd"/>
      <w:r w:rsidR="00BD1A43" w:rsidRPr="00DA196C">
        <w:rPr>
          <w:rFonts w:ascii="Garamond" w:hAnsi="Garamond"/>
          <w:i/>
          <w:sz w:val="24"/>
          <w:szCs w:val="24"/>
        </w:rPr>
        <w:t xml:space="preserve"> </w:t>
      </w:r>
      <w:proofErr w:type="spellStart"/>
      <w:r w:rsidR="00BD1A43" w:rsidRPr="00DA196C">
        <w:rPr>
          <w:rFonts w:ascii="Garamond" w:hAnsi="Garamond"/>
          <w:i/>
          <w:sz w:val="24"/>
          <w:szCs w:val="24"/>
        </w:rPr>
        <w:t>vocatio</w:t>
      </w:r>
      <w:proofErr w:type="spellEnd"/>
      <w:r w:rsidR="00BD1A43" w:rsidRPr="00DA196C">
        <w:rPr>
          <w:rFonts w:ascii="Garamond" w:hAnsi="Garamond"/>
          <w:sz w:val="24"/>
          <w:szCs w:val="24"/>
        </w:rPr>
        <w:t>)</w:t>
      </w:r>
      <w:r w:rsidRPr="00DA196C">
        <w:rPr>
          <w:rFonts w:ascii="Garamond" w:hAnsi="Garamond"/>
          <w:sz w:val="24"/>
          <w:szCs w:val="24"/>
        </w:rPr>
        <w:t xml:space="preserve">. </w:t>
      </w:r>
      <w:r w:rsidR="00BD1A43" w:rsidRPr="00DA196C">
        <w:rPr>
          <w:rFonts w:ascii="Garamond" w:hAnsi="Garamond"/>
          <w:sz w:val="24"/>
          <w:szCs w:val="24"/>
        </w:rPr>
        <w:t xml:space="preserve">Žalobce již v této fázi musel žalovanému sdělit, na základě jakého svého tvrzeného nároku hodlá žalovat. </w:t>
      </w:r>
      <w:r w:rsidRPr="00DA196C">
        <w:rPr>
          <w:rFonts w:ascii="Garamond" w:hAnsi="Garamond"/>
          <w:sz w:val="24"/>
          <w:szCs w:val="24"/>
        </w:rPr>
        <w:t xml:space="preserve">Žalovanému nově hrozila trestní pokuta pro nedostavení se a užití násilí </w:t>
      </w:r>
      <w:r w:rsidR="00F72553" w:rsidRPr="00DA196C">
        <w:rPr>
          <w:rFonts w:ascii="Garamond" w:hAnsi="Garamond"/>
          <w:sz w:val="24"/>
          <w:szCs w:val="24"/>
        </w:rPr>
        <w:t>ze strany žalobce</w:t>
      </w:r>
      <w:r w:rsidRPr="00DA196C">
        <w:rPr>
          <w:rFonts w:ascii="Garamond" w:hAnsi="Garamond"/>
          <w:sz w:val="24"/>
          <w:szCs w:val="24"/>
        </w:rPr>
        <w:t xml:space="preserve"> se tak stalo </w:t>
      </w:r>
      <w:r w:rsidR="00F72553" w:rsidRPr="00DA196C">
        <w:rPr>
          <w:rFonts w:ascii="Garamond" w:hAnsi="Garamond"/>
          <w:sz w:val="24"/>
          <w:szCs w:val="24"/>
        </w:rPr>
        <w:t xml:space="preserve">až </w:t>
      </w:r>
      <w:r w:rsidRPr="00DA196C">
        <w:rPr>
          <w:rFonts w:ascii="Garamond" w:hAnsi="Garamond"/>
          <w:sz w:val="24"/>
          <w:szCs w:val="24"/>
        </w:rPr>
        <w:t>prostředkem</w:t>
      </w:r>
      <w:r w:rsidR="005E62BD" w:rsidRPr="00DA196C">
        <w:rPr>
          <w:rFonts w:ascii="Garamond" w:hAnsi="Garamond"/>
          <w:sz w:val="24"/>
          <w:szCs w:val="24"/>
        </w:rPr>
        <w:t xml:space="preserve"> </w:t>
      </w:r>
      <w:proofErr w:type="spellStart"/>
      <w:r w:rsidR="00676250" w:rsidRPr="00AB26AA">
        <w:rPr>
          <w:rFonts w:ascii="Garamond" w:hAnsi="Garamond"/>
          <w:i/>
          <w:sz w:val="24"/>
          <w:szCs w:val="24"/>
        </w:rPr>
        <w:t>ultima</w:t>
      </w:r>
      <w:proofErr w:type="spellEnd"/>
      <w:r w:rsidR="00676250" w:rsidRPr="00AB26AA">
        <w:rPr>
          <w:rFonts w:ascii="Garamond" w:hAnsi="Garamond"/>
          <w:i/>
          <w:sz w:val="24"/>
          <w:szCs w:val="24"/>
        </w:rPr>
        <w:t xml:space="preserve"> ratio</w:t>
      </w:r>
      <w:r w:rsidR="005E62BD" w:rsidRPr="00DA196C">
        <w:rPr>
          <w:rFonts w:ascii="Garamond" w:hAnsi="Garamond"/>
          <w:sz w:val="24"/>
          <w:szCs w:val="24"/>
        </w:rPr>
        <w:t xml:space="preserve">. </w:t>
      </w:r>
    </w:p>
    <w:p w:rsidR="00CF689A" w:rsidRPr="00DA196C" w:rsidRDefault="00CF689A" w:rsidP="00FA1FF7">
      <w:pPr>
        <w:pStyle w:val="Nadpis4"/>
        <w:contextualSpacing/>
      </w:pPr>
      <w:r w:rsidRPr="00DA196C">
        <w:t>Řízení in iure</w:t>
      </w:r>
    </w:p>
    <w:p w:rsidR="00DA4760" w:rsidRPr="00DA196C" w:rsidRDefault="00BD1A4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V první fázi řízení p</w:t>
      </w:r>
      <w:r w:rsidR="008208F0">
        <w:rPr>
          <w:rFonts w:ascii="Garamond" w:hAnsi="Garamond"/>
          <w:sz w:val="24"/>
          <w:szCs w:val="24"/>
        </w:rPr>
        <w:t>řed pré</w:t>
      </w:r>
      <w:r w:rsidR="005E62BD" w:rsidRPr="00DA196C">
        <w:rPr>
          <w:rFonts w:ascii="Garamond" w:hAnsi="Garamond"/>
          <w:sz w:val="24"/>
          <w:szCs w:val="24"/>
        </w:rPr>
        <w:t xml:space="preserve">torem žalobce </w:t>
      </w:r>
      <w:r w:rsidRPr="00DA196C">
        <w:rPr>
          <w:rFonts w:ascii="Garamond" w:hAnsi="Garamond"/>
          <w:sz w:val="24"/>
          <w:szCs w:val="24"/>
        </w:rPr>
        <w:t xml:space="preserve">opět </w:t>
      </w:r>
      <w:r w:rsidR="005E62BD" w:rsidRPr="00DA196C">
        <w:rPr>
          <w:rFonts w:ascii="Garamond" w:hAnsi="Garamond"/>
          <w:sz w:val="24"/>
          <w:szCs w:val="24"/>
        </w:rPr>
        <w:t>sdělil svůj nárok a formuli, kterou chtěl užít</w:t>
      </w:r>
      <w:r w:rsidR="000B19C2" w:rsidRPr="00DA196C">
        <w:rPr>
          <w:rFonts w:ascii="Garamond" w:hAnsi="Garamond"/>
          <w:sz w:val="24"/>
          <w:szCs w:val="24"/>
        </w:rPr>
        <w:t>, tedy vznesl žádost, aby praetor povolil ustavení sporu podle konkrétní formule</w:t>
      </w:r>
      <w:r w:rsidR="000B19C2" w:rsidRPr="00DA196C">
        <w:rPr>
          <w:rStyle w:val="Znakapoznpodarou"/>
          <w:rFonts w:ascii="Garamond" w:hAnsi="Garamond"/>
          <w:sz w:val="24"/>
          <w:szCs w:val="24"/>
        </w:rPr>
        <w:footnoteReference w:id="16"/>
      </w:r>
      <w:r w:rsidR="000B19C2" w:rsidRPr="00DA196C">
        <w:rPr>
          <w:rFonts w:ascii="Garamond" w:hAnsi="Garamond"/>
          <w:sz w:val="24"/>
          <w:szCs w:val="24"/>
        </w:rPr>
        <w:t xml:space="preserve">. </w:t>
      </w:r>
      <w:r w:rsidR="008208F0">
        <w:rPr>
          <w:rFonts w:ascii="Garamond" w:hAnsi="Garamond"/>
          <w:sz w:val="24"/>
          <w:szCs w:val="24"/>
        </w:rPr>
        <w:t>Pré</w:t>
      </w:r>
      <w:r w:rsidRPr="00DA196C">
        <w:rPr>
          <w:rFonts w:ascii="Garamond" w:hAnsi="Garamond"/>
          <w:sz w:val="24"/>
          <w:szCs w:val="24"/>
        </w:rPr>
        <w:t xml:space="preserve">tor dále zjistil, zda jsou splněny </w:t>
      </w:r>
      <w:r w:rsidR="00AE390B" w:rsidRPr="00DA196C">
        <w:rPr>
          <w:rFonts w:ascii="Garamond" w:hAnsi="Garamond"/>
          <w:sz w:val="24"/>
          <w:szCs w:val="24"/>
        </w:rPr>
        <w:t>formální</w:t>
      </w:r>
      <w:r w:rsidRPr="00DA196C">
        <w:rPr>
          <w:rFonts w:ascii="Garamond" w:hAnsi="Garamond"/>
          <w:sz w:val="24"/>
          <w:szCs w:val="24"/>
        </w:rPr>
        <w:t xml:space="preserve"> </w:t>
      </w:r>
      <w:r w:rsidR="00EC6FAA" w:rsidRPr="00DA196C">
        <w:rPr>
          <w:rFonts w:ascii="Garamond" w:hAnsi="Garamond"/>
          <w:sz w:val="24"/>
          <w:szCs w:val="24"/>
        </w:rPr>
        <w:t>podmínky pro ustavení sporu (způsobilost být procesní stranou, samostatně procesně jednat a činit procesní návrhy</w:t>
      </w:r>
      <w:r w:rsidR="00AE390B" w:rsidRPr="00DA196C">
        <w:rPr>
          <w:rFonts w:ascii="Garamond" w:hAnsi="Garamond"/>
          <w:sz w:val="24"/>
          <w:szCs w:val="24"/>
        </w:rPr>
        <w:t>, věcná a místní příslušnost</w:t>
      </w:r>
      <w:r w:rsidR="00EC6FAA" w:rsidRPr="00DA196C">
        <w:rPr>
          <w:rFonts w:ascii="Garamond" w:hAnsi="Garamond"/>
          <w:sz w:val="24"/>
          <w:szCs w:val="24"/>
        </w:rPr>
        <w:t xml:space="preserve">). </w:t>
      </w:r>
    </w:p>
    <w:p w:rsidR="00EC6FAA" w:rsidRPr="00DA196C" w:rsidRDefault="008208F0" w:rsidP="00FA1FF7">
      <w:pPr>
        <w:spacing w:after="0" w:line="360" w:lineRule="auto"/>
        <w:ind w:firstLine="708"/>
        <w:contextualSpacing/>
        <w:jc w:val="both"/>
        <w:rPr>
          <w:rFonts w:ascii="Garamond" w:hAnsi="Garamond"/>
          <w:sz w:val="24"/>
          <w:szCs w:val="24"/>
        </w:rPr>
      </w:pPr>
      <w:r>
        <w:rPr>
          <w:rFonts w:ascii="Garamond" w:hAnsi="Garamond"/>
          <w:sz w:val="24"/>
          <w:szCs w:val="24"/>
        </w:rPr>
        <w:t>Po vyslechnutí žalobce se pré</w:t>
      </w:r>
      <w:r w:rsidR="00EC6FAA" w:rsidRPr="00DA196C">
        <w:rPr>
          <w:rFonts w:ascii="Garamond" w:hAnsi="Garamond"/>
          <w:sz w:val="24"/>
          <w:szCs w:val="24"/>
        </w:rPr>
        <w:t>tor obrátil na žalovaného, kterého vyzval</w:t>
      </w:r>
      <w:r>
        <w:rPr>
          <w:rFonts w:ascii="Garamond" w:hAnsi="Garamond"/>
          <w:sz w:val="24"/>
          <w:szCs w:val="24"/>
        </w:rPr>
        <w:t>, aby se vyjádřil. Žalovaný v tento okamžik</w:t>
      </w:r>
      <w:r w:rsidR="00F860F9" w:rsidRPr="00DA196C">
        <w:rPr>
          <w:rFonts w:ascii="Garamond" w:hAnsi="Garamond"/>
          <w:sz w:val="24"/>
          <w:szCs w:val="24"/>
        </w:rPr>
        <w:t xml:space="preserve"> obvykle popřel svou povinnost</w:t>
      </w:r>
      <w:r w:rsidR="008C3BD0" w:rsidRPr="00DA196C">
        <w:rPr>
          <w:rFonts w:ascii="Garamond" w:hAnsi="Garamond"/>
          <w:sz w:val="24"/>
          <w:szCs w:val="24"/>
        </w:rPr>
        <w:t>, čímž projevil ochotu hájit se proti žalobcovu tvrzení a obecně ochotu k součinnosti v</w:t>
      </w:r>
      <w:r>
        <w:rPr>
          <w:rFonts w:ascii="Garamond" w:hAnsi="Garamond"/>
          <w:sz w:val="24"/>
          <w:szCs w:val="24"/>
        </w:rPr>
        <w:t> </w:t>
      </w:r>
      <w:r w:rsidR="008C3BD0" w:rsidRPr="00DA196C">
        <w:rPr>
          <w:rFonts w:ascii="Garamond" w:hAnsi="Garamond"/>
          <w:sz w:val="24"/>
          <w:szCs w:val="24"/>
        </w:rPr>
        <w:t>procesu</w:t>
      </w:r>
      <w:r>
        <w:rPr>
          <w:rFonts w:ascii="Garamond" w:hAnsi="Garamond"/>
          <w:sz w:val="24"/>
          <w:szCs w:val="24"/>
        </w:rPr>
        <w:t>.</w:t>
      </w:r>
      <w:r w:rsidR="008C3BD0" w:rsidRPr="00DA196C">
        <w:rPr>
          <w:rStyle w:val="Znakapoznpodarou"/>
          <w:rFonts w:ascii="Garamond" w:hAnsi="Garamond"/>
          <w:sz w:val="24"/>
          <w:szCs w:val="24"/>
        </w:rPr>
        <w:footnoteReference w:id="17"/>
      </w:r>
      <w:r w:rsidR="00C4144E" w:rsidRPr="00DA196C">
        <w:rPr>
          <w:rFonts w:ascii="Garamond" w:hAnsi="Garamond"/>
          <w:sz w:val="24"/>
          <w:szCs w:val="24"/>
        </w:rPr>
        <w:t xml:space="preserve"> Souhlasil-li žalovaný s žalobcem navrženou for</w:t>
      </w:r>
      <w:r>
        <w:rPr>
          <w:rFonts w:ascii="Garamond" w:hAnsi="Garamond"/>
          <w:sz w:val="24"/>
          <w:szCs w:val="24"/>
        </w:rPr>
        <w:t>mulí, pré</w:t>
      </w:r>
      <w:r w:rsidR="00F8340E" w:rsidRPr="00DA196C">
        <w:rPr>
          <w:rFonts w:ascii="Garamond" w:hAnsi="Garamond"/>
          <w:sz w:val="24"/>
          <w:szCs w:val="24"/>
        </w:rPr>
        <w:t>tor formuli povolil</w:t>
      </w:r>
      <w:r w:rsidR="00B425DE" w:rsidRPr="00DA196C">
        <w:rPr>
          <w:rFonts w:ascii="Garamond" w:hAnsi="Garamond"/>
          <w:sz w:val="24"/>
          <w:szCs w:val="24"/>
        </w:rPr>
        <w:t xml:space="preserve">. Mohla </w:t>
      </w:r>
      <w:r w:rsidR="00C4144E" w:rsidRPr="00DA196C">
        <w:rPr>
          <w:rFonts w:ascii="Garamond" w:hAnsi="Garamond"/>
          <w:sz w:val="24"/>
          <w:szCs w:val="24"/>
        </w:rPr>
        <w:t>ovšem nastat i situace, kdy žalovaný s navrženou formulí nesouhlasil, tedy nesouhlasil se subsumpcí sporné věci pod daný žalobní typ</w:t>
      </w:r>
      <w:r>
        <w:rPr>
          <w:rFonts w:ascii="Garamond" w:hAnsi="Garamond"/>
          <w:sz w:val="24"/>
          <w:szCs w:val="24"/>
        </w:rPr>
        <w:t>.</w:t>
      </w:r>
      <w:r w:rsidR="00B425DE" w:rsidRPr="00DA196C">
        <w:rPr>
          <w:rStyle w:val="Znakapoznpodarou"/>
          <w:rFonts w:ascii="Garamond" w:hAnsi="Garamond"/>
          <w:sz w:val="24"/>
          <w:szCs w:val="24"/>
        </w:rPr>
        <w:footnoteReference w:id="18"/>
      </w:r>
      <w:r w:rsidR="00C4144E" w:rsidRPr="00DA196C">
        <w:rPr>
          <w:rFonts w:ascii="Garamond" w:hAnsi="Garamond"/>
          <w:sz w:val="24"/>
          <w:szCs w:val="24"/>
        </w:rPr>
        <w:t xml:space="preserve"> </w:t>
      </w:r>
      <w:r w:rsidR="002A6A5E" w:rsidRPr="00DA196C">
        <w:rPr>
          <w:rFonts w:ascii="Garamond" w:hAnsi="Garamond"/>
          <w:sz w:val="24"/>
          <w:szCs w:val="24"/>
        </w:rPr>
        <w:t xml:space="preserve">Žalovaný mohl případně spolu s projeveným nesouhlasem i navrhnou formuli jinou. Poté </w:t>
      </w:r>
      <w:r w:rsidR="002A6A5E" w:rsidRPr="00DA196C">
        <w:rPr>
          <w:rFonts w:ascii="Garamond" w:hAnsi="Garamond"/>
          <w:sz w:val="24"/>
          <w:szCs w:val="24"/>
        </w:rPr>
        <w:lastRenderedPageBreak/>
        <w:t>následovala diskuze stran</w:t>
      </w:r>
      <w:r w:rsidR="001F72B7" w:rsidRPr="00DA196C">
        <w:rPr>
          <w:rFonts w:ascii="Garamond" w:hAnsi="Garamond"/>
          <w:sz w:val="24"/>
          <w:szCs w:val="24"/>
        </w:rPr>
        <w:t>, případně se uplatnila také dobrá zdání právníků (</w:t>
      </w:r>
      <w:proofErr w:type="spellStart"/>
      <w:r w:rsidR="001F72B7" w:rsidRPr="00DA196C">
        <w:rPr>
          <w:rFonts w:ascii="Garamond" w:hAnsi="Garamond"/>
          <w:i/>
          <w:sz w:val="24"/>
          <w:szCs w:val="24"/>
        </w:rPr>
        <w:t>responsa</w:t>
      </w:r>
      <w:proofErr w:type="spellEnd"/>
      <w:r>
        <w:rPr>
          <w:rFonts w:ascii="Garamond" w:hAnsi="Garamond"/>
          <w:sz w:val="24"/>
          <w:szCs w:val="24"/>
        </w:rPr>
        <w:t>). Pré</w:t>
      </w:r>
      <w:r w:rsidR="001F72B7" w:rsidRPr="00DA196C">
        <w:rPr>
          <w:rFonts w:ascii="Garamond" w:hAnsi="Garamond"/>
          <w:sz w:val="24"/>
          <w:szCs w:val="24"/>
        </w:rPr>
        <w:t>tor pak rozhodl, zda form</w:t>
      </w:r>
      <w:r w:rsidR="009633FF" w:rsidRPr="00DA196C">
        <w:rPr>
          <w:rFonts w:ascii="Garamond" w:hAnsi="Garamond"/>
          <w:sz w:val="24"/>
          <w:szCs w:val="24"/>
        </w:rPr>
        <w:t>uli žalobce povolí či nepovolí.</w:t>
      </w:r>
    </w:p>
    <w:p w:rsidR="00770430" w:rsidRPr="00DA196C" w:rsidRDefault="008208F0" w:rsidP="00FA1FF7">
      <w:pPr>
        <w:spacing w:after="0" w:line="360" w:lineRule="auto"/>
        <w:ind w:firstLine="708"/>
        <w:contextualSpacing/>
        <w:jc w:val="both"/>
        <w:rPr>
          <w:rFonts w:ascii="Garamond" w:hAnsi="Garamond"/>
          <w:sz w:val="24"/>
          <w:szCs w:val="24"/>
        </w:rPr>
      </w:pPr>
      <w:r>
        <w:rPr>
          <w:rFonts w:ascii="Garamond" w:hAnsi="Garamond"/>
          <w:sz w:val="24"/>
          <w:szCs w:val="24"/>
        </w:rPr>
        <w:t>Po povolení formule pré</w:t>
      </w:r>
      <w:r w:rsidR="00F8340E" w:rsidRPr="00DA196C">
        <w:rPr>
          <w:rFonts w:ascii="Garamond" w:hAnsi="Garamond"/>
          <w:sz w:val="24"/>
          <w:szCs w:val="24"/>
        </w:rPr>
        <w:t xml:space="preserve">torem následovalo sepsání formule. Formule byla buď sepisována dle vzoru v ediktálním souboru, výjimečně byla povolena nová formule. Formule obsahovala v prvé řadě jméno soudce. Strany sporu se tedy musely </w:t>
      </w:r>
      <w:r w:rsidR="009310AE" w:rsidRPr="00DA196C">
        <w:rPr>
          <w:rFonts w:ascii="Garamond" w:hAnsi="Garamond"/>
          <w:sz w:val="24"/>
          <w:szCs w:val="24"/>
        </w:rPr>
        <w:t>po povolení určité formule dohodnout na tom, kdo bude dosazen jako soudce. Toho strany vybíraly ze</w:t>
      </w:r>
      <w:r>
        <w:rPr>
          <w:rFonts w:ascii="Garamond" w:hAnsi="Garamond"/>
          <w:sz w:val="24"/>
          <w:szCs w:val="24"/>
        </w:rPr>
        <w:t xml:space="preserve"> seznamu soudců, který vedl pré</w:t>
      </w:r>
      <w:r w:rsidR="009310AE" w:rsidRPr="00DA196C">
        <w:rPr>
          <w:rFonts w:ascii="Garamond" w:hAnsi="Garamond"/>
          <w:sz w:val="24"/>
          <w:szCs w:val="24"/>
        </w:rPr>
        <w:t xml:space="preserve">tor. </w:t>
      </w:r>
      <w:r w:rsidR="00AE390B" w:rsidRPr="00DA196C">
        <w:rPr>
          <w:rFonts w:ascii="Garamond" w:hAnsi="Garamond"/>
          <w:sz w:val="24"/>
          <w:szCs w:val="24"/>
        </w:rPr>
        <w:t xml:space="preserve">Úvodní část formule, ve které byl jmenován soudce, jež vedl řízení v druhé části a jemuž byla formule určena, se nazývala </w:t>
      </w:r>
      <w:proofErr w:type="spellStart"/>
      <w:r w:rsidR="00AE390B" w:rsidRPr="00DA196C">
        <w:rPr>
          <w:rFonts w:ascii="Garamond" w:hAnsi="Garamond"/>
          <w:i/>
          <w:sz w:val="24"/>
          <w:szCs w:val="24"/>
        </w:rPr>
        <w:t>iudicis</w:t>
      </w:r>
      <w:proofErr w:type="spellEnd"/>
      <w:r w:rsidR="00AE390B" w:rsidRPr="00DA196C">
        <w:rPr>
          <w:rFonts w:ascii="Garamond" w:hAnsi="Garamond"/>
          <w:i/>
          <w:sz w:val="24"/>
          <w:szCs w:val="24"/>
        </w:rPr>
        <w:t xml:space="preserve"> </w:t>
      </w:r>
      <w:proofErr w:type="spellStart"/>
      <w:r w:rsidR="00AE390B" w:rsidRPr="00DA196C">
        <w:rPr>
          <w:rFonts w:ascii="Garamond" w:hAnsi="Garamond"/>
          <w:i/>
          <w:sz w:val="24"/>
          <w:szCs w:val="24"/>
        </w:rPr>
        <w:t>nominatio</w:t>
      </w:r>
      <w:proofErr w:type="spellEnd"/>
      <w:r w:rsidR="00AE390B" w:rsidRPr="00DA196C">
        <w:rPr>
          <w:rFonts w:ascii="Garamond" w:hAnsi="Garamond"/>
          <w:sz w:val="24"/>
          <w:szCs w:val="24"/>
        </w:rPr>
        <w:t>.</w:t>
      </w:r>
      <w:r w:rsidR="00AE390B" w:rsidRPr="00DA196C">
        <w:rPr>
          <w:rStyle w:val="Znakapoznpodarou"/>
          <w:rFonts w:ascii="Garamond" w:hAnsi="Garamond"/>
          <w:sz w:val="24"/>
          <w:szCs w:val="24"/>
        </w:rPr>
        <w:footnoteReference w:id="19"/>
      </w:r>
    </w:p>
    <w:p w:rsidR="00F8340E" w:rsidRPr="00DA196C" w:rsidRDefault="003D20F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Dále f</w:t>
      </w:r>
      <w:r w:rsidR="00535A70" w:rsidRPr="00DA196C">
        <w:rPr>
          <w:rFonts w:ascii="Garamond" w:hAnsi="Garamond"/>
          <w:sz w:val="24"/>
          <w:szCs w:val="24"/>
        </w:rPr>
        <w:t xml:space="preserve">ormule sestávala ze dvou částí – </w:t>
      </w:r>
      <w:proofErr w:type="spellStart"/>
      <w:r w:rsidR="00535A70" w:rsidRPr="00DA196C">
        <w:rPr>
          <w:rFonts w:ascii="Garamond" w:hAnsi="Garamond"/>
          <w:i/>
          <w:sz w:val="24"/>
          <w:szCs w:val="24"/>
        </w:rPr>
        <w:t>intentio</w:t>
      </w:r>
      <w:proofErr w:type="spellEnd"/>
      <w:r w:rsidR="00535A70" w:rsidRPr="00DA196C">
        <w:rPr>
          <w:rFonts w:ascii="Garamond" w:hAnsi="Garamond"/>
          <w:sz w:val="24"/>
          <w:szCs w:val="24"/>
        </w:rPr>
        <w:t xml:space="preserve"> a </w:t>
      </w:r>
      <w:proofErr w:type="spellStart"/>
      <w:r w:rsidR="00535A70" w:rsidRPr="00DA196C">
        <w:rPr>
          <w:rFonts w:ascii="Garamond" w:hAnsi="Garamond"/>
          <w:i/>
          <w:sz w:val="24"/>
          <w:szCs w:val="24"/>
        </w:rPr>
        <w:t>condemnatio</w:t>
      </w:r>
      <w:proofErr w:type="spellEnd"/>
      <w:r w:rsidR="00535A70" w:rsidRPr="00DA196C">
        <w:rPr>
          <w:rFonts w:ascii="Garamond" w:hAnsi="Garamond"/>
          <w:sz w:val="24"/>
          <w:szCs w:val="24"/>
        </w:rPr>
        <w:t xml:space="preserve">. </w:t>
      </w:r>
      <w:proofErr w:type="spellStart"/>
      <w:r w:rsidR="00535A70" w:rsidRPr="00DA196C">
        <w:rPr>
          <w:rFonts w:ascii="Garamond" w:hAnsi="Garamond"/>
          <w:i/>
          <w:sz w:val="24"/>
          <w:szCs w:val="24"/>
        </w:rPr>
        <w:t>Intentio</w:t>
      </w:r>
      <w:proofErr w:type="spellEnd"/>
      <w:r w:rsidR="00535A70" w:rsidRPr="00DA196C">
        <w:rPr>
          <w:rFonts w:ascii="Garamond" w:hAnsi="Garamond"/>
          <w:sz w:val="24"/>
          <w:szCs w:val="24"/>
        </w:rPr>
        <w:t xml:space="preserve"> vyjadřovalo</w:t>
      </w:r>
      <w:r w:rsidR="00AE390B" w:rsidRPr="00DA196C">
        <w:rPr>
          <w:rFonts w:ascii="Garamond" w:hAnsi="Garamond"/>
          <w:sz w:val="24"/>
          <w:szCs w:val="24"/>
        </w:rPr>
        <w:t xml:space="preserve"> formou podmínky, jejíž naplnění je třeba k vydání odsuzujícího rozsudku,</w:t>
      </w:r>
      <w:r w:rsidR="00535A70" w:rsidRPr="00DA196C">
        <w:rPr>
          <w:rFonts w:ascii="Garamond" w:hAnsi="Garamond"/>
          <w:sz w:val="24"/>
          <w:szCs w:val="24"/>
        </w:rPr>
        <w:t xml:space="preserve"> žalobní důvod a předmět sporu. </w:t>
      </w:r>
      <w:proofErr w:type="spellStart"/>
      <w:r w:rsidR="00535A70" w:rsidRPr="00DA196C">
        <w:rPr>
          <w:rFonts w:ascii="Garamond" w:hAnsi="Garamond"/>
          <w:i/>
          <w:sz w:val="24"/>
          <w:szCs w:val="24"/>
        </w:rPr>
        <w:t>Condemnatio</w:t>
      </w:r>
      <w:proofErr w:type="spellEnd"/>
      <w:r w:rsidR="00535A70" w:rsidRPr="00DA196C">
        <w:rPr>
          <w:rFonts w:ascii="Garamond" w:hAnsi="Garamond"/>
          <w:sz w:val="24"/>
          <w:szCs w:val="24"/>
        </w:rPr>
        <w:t xml:space="preserve"> opravňovalo soudce k tomu, aby žalovaného buď </w:t>
      </w:r>
      <w:r w:rsidR="004278FF" w:rsidRPr="00DA196C">
        <w:rPr>
          <w:rFonts w:ascii="Garamond" w:hAnsi="Garamond"/>
          <w:sz w:val="24"/>
          <w:szCs w:val="24"/>
        </w:rPr>
        <w:t xml:space="preserve">odsoudil, jestliže je </w:t>
      </w:r>
      <w:proofErr w:type="spellStart"/>
      <w:r w:rsidR="004278FF" w:rsidRPr="00DA196C">
        <w:rPr>
          <w:rFonts w:ascii="Garamond" w:hAnsi="Garamond"/>
          <w:i/>
          <w:sz w:val="24"/>
          <w:szCs w:val="24"/>
        </w:rPr>
        <w:t>intentio</w:t>
      </w:r>
      <w:proofErr w:type="spellEnd"/>
      <w:r w:rsidR="004278FF" w:rsidRPr="00DA196C">
        <w:rPr>
          <w:rFonts w:ascii="Garamond" w:hAnsi="Garamond"/>
          <w:sz w:val="24"/>
          <w:szCs w:val="24"/>
        </w:rPr>
        <w:t xml:space="preserve"> pravdivé, nebo</w:t>
      </w:r>
      <w:r w:rsidR="00AE390B" w:rsidRPr="00DA196C">
        <w:rPr>
          <w:rFonts w:ascii="Garamond" w:hAnsi="Garamond"/>
          <w:sz w:val="24"/>
          <w:szCs w:val="24"/>
        </w:rPr>
        <w:t xml:space="preserve"> aby</w:t>
      </w:r>
      <w:r w:rsidR="004278FF" w:rsidRPr="00DA196C">
        <w:rPr>
          <w:rFonts w:ascii="Garamond" w:hAnsi="Garamond"/>
          <w:sz w:val="24"/>
          <w:szCs w:val="24"/>
        </w:rPr>
        <w:t xml:space="preserve"> v opačném případě žalovaného osvobodil. </w:t>
      </w:r>
      <w:proofErr w:type="spellStart"/>
      <w:r w:rsidR="004278FF" w:rsidRPr="00DA196C">
        <w:rPr>
          <w:rFonts w:ascii="Garamond" w:hAnsi="Garamond"/>
          <w:i/>
          <w:sz w:val="24"/>
          <w:szCs w:val="24"/>
        </w:rPr>
        <w:t>Condemnatio</w:t>
      </w:r>
      <w:proofErr w:type="spellEnd"/>
      <w:r w:rsidR="004278FF" w:rsidRPr="00DA196C">
        <w:rPr>
          <w:rFonts w:ascii="Garamond" w:hAnsi="Garamond"/>
          <w:sz w:val="24"/>
          <w:szCs w:val="24"/>
        </w:rPr>
        <w:t xml:space="preserve"> muselo znít na určitou ve formuli přímo uvedenou peněžní částku, nebo na částku </w:t>
      </w:r>
      <w:r w:rsidR="00AE390B" w:rsidRPr="00DA196C">
        <w:rPr>
          <w:rFonts w:ascii="Garamond" w:hAnsi="Garamond"/>
          <w:sz w:val="24"/>
          <w:szCs w:val="24"/>
        </w:rPr>
        <w:t>předem neurčenou</w:t>
      </w:r>
      <w:r w:rsidR="004278FF" w:rsidRPr="00DA196C">
        <w:rPr>
          <w:rFonts w:ascii="Garamond" w:hAnsi="Garamond"/>
          <w:sz w:val="24"/>
          <w:szCs w:val="24"/>
        </w:rPr>
        <w:t xml:space="preserve"> (soudce v tomto případě oceňoval předmět sporu sám), což činilo v případě </w:t>
      </w:r>
      <w:proofErr w:type="spellStart"/>
      <w:r w:rsidR="004278FF" w:rsidRPr="00DA196C">
        <w:rPr>
          <w:rFonts w:ascii="Garamond" w:hAnsi="Garamond"/>
          <w:sz w:val="24"/>
          <w:szCs w:val="24"/>
        </w:rPr>
        <w:t>reivindikace</w:t>
      </w:r>
      <w:proofErr w:type="spellEnd"/>
      <w:r w:rsidR="004278FF" w:rsidRPr="00DA196C">
        <w:rPr>
          <w:rFonts w:ascii="Garamond" w:hAnsi="Garamond"/>
          <w:sz w:val="24"/>
          <w:szCs w:val="24"/>
        </w:rPr>
        <w:t xml:space="preserve"> </w:t>
      </w:r>
      <w:r w:rsidR="00AE390B" w:rsidRPr="00DA196C">
        <w:rPr>
          <w:rFonts w:ascii="Garamond" w:hAnsi="Garamond"/>
          <w:sz w:val="24"/>
          <w:szCs w:val="24"/>
        </w:rPr>
        <w:t xml:space="preserve">značný </w:t>
      </w:r>
      <w:r w:rsidR="004278FF" w:rsidRPr="00DA196C">
        <w:rPr>
          <w:rFonts w:ascii="Garamond" w:hAnsi="Garamond"/>
          <w:sz w:val="24"/>
          <w:szCs w:val="24"/>
        </w:rPr>
        <w:t>problém. Žalobce takto nemohl dosáhnout rozsudku na vydání věci, ale pouze na zaplacení peněžní částky, přičemž zájem žalobce byl často právě na navrácení předmětné věci.</w:t>
      </w:r>
      <w:r w:rsidR="00770430" w:rsidRPr="00DA196C">
        <w:rPr>
          <w:rFonts w:ascii="Garamond" w:hAnsi="Garamond"/>
          <w:sz w:val="24"/>
          <w:szCs w:val="24"/>
        </w:rPr>
        <w:t xml:space="preserve"> Tato situace byla řešena pomocí arbitrární doložky (</w:t>
      </w:r>
      <w:proofErr w:type="spellStart"/>
      <w:r w:rsidR="00770430" w:rsidRPr="00DA196C">
        <w:rPr>
          <w:rFonts w:ascii="Garamond" w:hAnsi="Garamond"/>
          <w:i/>
          <w:sz w:val="24"/>
          <w:szCs w:val="24"/>
        </w:rPr>
        <w:t>arbitrium</w:t>
      </w:r>
      <w:proofErr w:type="spellEnd"/>
      <w:r w:rsidR="00770430" w:rsidRPr="00DA196C">
        <w:rPr>
          <w:rFonts w:ascii="Garamond" w:hAnsi="Garamond"/>
          <w:i/>
          <w:sz w:val="24"/>
          <w:szCs w:val="24"/>
        </w:rPr>
        <w:t xml:space="preserve"> de restituent</w:t>
      </w:r>
      <w:r w:rsidR="00770430" w:rsidRPr="00DA196C">
        <w:rPr>
          <w:rFonts w:ascii="Garamond" w:hAnsi="Garamond"/>
          <w:sz w:val="24"/>
          <w:szCs w:val="24"/>
        </w:rPr>
        <w:t xml:space="preserve">), která byla vkládána mezi </w:t>
      </w:r>
      <w:proofErr w:type="spellStart"/>
      <w:r w:rsidR="00770430" w:rsidRPr="00DA196C">
        <w:rPr>
          <w:rFonts w:ascii="Garamond" w:hAnsi="Garamond"/>
          <w:i/>
          <w:sz w:val="24"/>
          <w:szCs w:val="24"/>
        </w:rPr>
        <w:t>intentio</w:t>
      </w:r>
      <w:proofErr w:type="spellEnd"/>
      <w:r w:rsidR="00770430" w:rsidRPr="00DA196C">
        <w:rPr>
          <w:rFonts w:ascii="Garamond" w:hAnsi="Garamond"/>
          <w:sz w:val="24"/>
          <w:szCs w:val="24"/>
        </w:rPr>
        <w:t xml:space="preserve"> a </w:t>
      </w:r>
      <w:proofErr w:type="spellStart"/>
      <w:r w:rsidR="00770430" w:rsidRPr="00DA196C">
        <w:rPr>
          <w:rFonts w:ascii="Garamond" w:hAnsi="Garamond"/>
          <w:i/>
          <w:sz w:val="24"/>
          <w:szCs w:val="24"/>
        </w:rPr>
        <w:t>condemnatio</w:t>
      </w:r>
      <w:proofErr w:type="spellEnd"/>
      <w:r w:rsidR="00770430" w:rsidRPr="00DA196C">
        <w:rPr>
          <w:rFonts w:ascii="Garamond" w:hAnsi="Garamond"/>
          <w:sz w:val="24"/>
          <w:szCs w:val="24"/>
        </w:rPr>
        <w:t xml:space="preserve">. Jednalo se o podmínění </w:t>
      </w:r>
      <w:proofErr w:type="spellStart"/>
      <w:r w:rsidR="00E04C42" w:rsidRPr="008208F0">
        <w:rPr>
          <w:rFonts w:ascii="Garamond" w:hAnsi="Garamond"/>
          <w:sz w:val="24"/>
          <w:szCs w:val="24"/>
        </w:rPr>
        <w:t>condemnatia</w:t>
      </w:r>
      <w:proofErr w:type="spellEnd"/>
      <w:r w:rsidR="00E04C42" w:rsidRPr="00DA196C">
        <w:rPr>
          <w:rFonts w:ascii="Garamond" w:hAnsi="Garamond"/>
          <w:i/>
          <w:sz w:val="24"/>
          <w:szCs w:val="24"/>
        </w:rPr>
        <w:t xml:space="preserve"> </w:t>
      </w:r>
      <w:r w:rsidR="00E04C42" w:rsidRPr="00DA196C">
        <w:rPr>
          <w:rFonts w:ascii="Garamond" w:hAnsi="Garamond"/>
          <w:sz w:val="24"/>
          <w:szCs w:val="24"/>
        </w:rPr>
        <w:t>tím, že žalovaný nevydá věc dobrovolně</w:t>
      </w:r>
      <w:r w:rsidR="00B425DE" w:rsidRPr="00DA196C">
        <w:rPr>
          <w:rFonts w:ascii="Garamond" w:hAnsi="Garamond"/>
          <w:sz w:val="24"/>
          <w:szCs w:val="24"/>
        </w:rPr>
        <w:t xml:space="preserve">. K dobrovolnému vydání věci byl žalovaný vyzván soudcem před vydáním odsuzujícího rozsudku, kdy již byl spolehlivě prokázán tvrzený nárok žalobce. Jestliže </w:t>
      </w:r>
      <w:r w:rsidR="00E04C42" w:rsidRPr="00DA196C">
        <w:rPr>
          <w:rFonts w:ascii="Garamond" w:hAnsi="Garamond"/>
          <w:sz w:val="24"/>
          <w:szCs w:val="24"/>
        </w:rPr>
        <w:t xml:space="preserve">žalovaný věc po výzvě </w:t>
      </w:r>
      <w:r w:rsidR="00B425DE" w:rsidRPr="00DA196C">
        <w:rPr>
          <w:rFonts w:ascii="Garamond" w:hAnsi="Garamond"/>
          <w:sz w:val="24"/>
          <w:szCs w:val="24"/>
        </w:rPr>
        <w:t xml:space="preserve">dobrovolně </w:t>
      </w:r>
      <w:r w:rsidR="00E04C42" w:rsidRPr="00DA196C">
        <w:rPr>
          <w:rFonts w:ascii="Garamond" w:hAnsi="Garamond"/>
          <w:sz w:val="24"/>
          <w:szCs w:val="24"/>
        </w:rPr>
        <w:t xml:space="preserve">nevydal, došlo k vydání odsuzujícího rozsudku, kdy hodnota věci </w:t>
      </w:r>
      <w:r w:rsidR="00AE390B" w:rsidRPr="00DA196C">
        <w:rPr>
          <w:rFonts w:ascii="Garamond" w:hAnsi="Garamond"/>
          <w:sz w:val="24"/>
          <w:szCs w:val="24"/>
        </w:rPr>
        <w:t xml:space="preserve">v penězích </w:t>
      </w:r>
      <w:r w:rsidR="00E04C42" w:rsidRPr="00DA196C">
        <w:rPr>
          <w:rFonts w:ascii="Garamond" w:hAnsi="Garamond"/>
          <w:sz w:val="24"/>
          <w:szCs w:val="24"/>
        </w:rPr>
        <w:t>byla stanovena na základě žalobcovy oceňovací přísahy</w:t>
      </w:r>
      <w:r w:rsidR="0069425B" w:rsidRPr="00DA196C">
        <w:rPr>
          <w:rFonts w:ascii="Garamond" w:hAnsi="Garamond"/>
          <w:sz w:val="24"/>
          <w:szCs w:val="24"/>
        </w:rPr>
        <w:t xml:space="preserve"> (</w:t>
      </w:r>
      <w:proofErr w:type="spellStart"/>
      <w:r w:rsidR="0069425B" w:rsidRPr="00DA196C">
        <w:rPr>
          <w:rFonts w:ascii="Garamond" w:hAnsi="Garamond"/>
          <w:i/>
          <w:sz w:val="24"/>
          <w:szCs w:val="24"/>
        </w:rPr>
        <w:t>ius</w:t>
      </w:r>
      <w:proofErr w:type="spellEnd"/>
      <w:r w:rsidR="00AE390B" w:rsidRPr="00DA196C">
        <w:rPr>
          <w:rFonts w:ascii="Garamond" w:hAnsi="Garamond"/>
          <w:i/>
          <w:sz w:val="24"/>
          <w:szCs w:val="24"/>
        </w:rPr>
        <w:t xml:space="preserve"> </w:t>
      </w:r>
      <w:proofErr w:type="spellStart"/>
      <w:r w:rsidR="0069425B" w:rsidRPr="00DA196C">
        <w:rPr>
          <w:rFonts w:ascii="Garamond" w:hAnsi="Garamond"/>
          <w:i/>
          <w:sz w:val="24"/>
          <w:szCs w:val="24"/>
        </w:rPr>
        <w:t>iurandum</w:t>
      </w:r>
      <w:proofErr w:type="spellEnd"/>
      <w:r w:rsidR="0069425B" w:rsidRPr="00DA196C">
        <w:rPr>
          <w:rFonts w:ascii="Garamond" w:hAnsi="Garamond"/>
          <w:i/>
          <w:sz w:val="24"/>
          <w:szCs w:val="24"/>
        </w:rPr>
        <w:t xml:space="preserve"> in litem</w:t>
      </w:r>
      <w:r w:rsidR="0069425B" w:rsidRPr="00DA196C">
        <w:rPr>
          <w:rFonts w:ascii="Garamond" w:hAnsi="Garamond"/>
          <w:sz w:val="24"/>
          <w:szCs w:val="24"/>
        </w:rPr>
        <w:t>)</w:t>
      </w:r>
      <w:r w:rsidR="0069425B" w:rsidRPr="00DA196C">
        <w:rPr>
          <w:rStyle w:val="Znakapoznpodarou"/>
          <w:rFonts w:ascii="Garamond" w:hAnsi="Garamond"/>
          <w:sz w:val="24"/>
          <w:szCs w:val="24"/>
        </w:rPr>
        <w:footnoteReference w:id="20"/>
      </w:r>
      <w:r w:rsidR="00C45A50" w:rsidRPr="00DA196C">
        <w:rPr>
          <w:rFonts w:ascii="Garamond" w:hAnsi="Garamond"/>
          <w:sz w:val="24"/>
          <w:szCs w:val="24"/>
        </w:rPr>
        <w:t xml:space="preserve"> ve vedlejším řízení</w:t>
      </w:r>
      <w:r w:rsidR="0069425B" w:rsidRPr="00DA196C">
        <w:rPr>
          <w:rFonts w:ascii="Garamond" w:hAnsi="Garamond"/>
          <w:sz w:val="24"/>
          <w:szCs w:val="24"/>
        </w:rPr>
        <w:t xml:space="preserve">. Ocenění </w:t>
      </w:r>
      <w:r w:rsidR="00C45A50" w:rsidRPr="00DA196C">
        <w:rPr>
          <w:rFonts w:ascii="Garamond" w:hAnsi="Garamond"/>
          <w:sz w:val="24"/>
          <w:szCs w:val="24"/>
        </w:rPr>
        <w:t>bylo pro žalovaného často nepříznivé, nicméně zaplacením stanovené částky se stával vlastníkem předmětné věci</w:t>
      </w:r>
      <w:r w:rsidR="0069425B" w:rsidRPr="00DA196C">
        <w:rPr>
          <w:rFonts w:ascii="Garamond" w:hAnsi="Garamond"/>
          <w:sz w:val="24"/>
          <w:szCs w:val="24"/>
        </w:rPr>
        <w:t>, jako kdyby věc od žalobce koupil</w:t>
      </w:r>
      <w:r w:rsidR="00C45A50" w:rsidRPr="00DA196C">
        <w:rPr>
          <w:rFonts w:ascii="Garamond" w:hAnsi="Garamond"/>
          <w:sz w:val="24"/>
          <w:szCs w:val="24"/>
        </w:rPr>
        <w:t>.</w:t>
      </w:r>
      <w:r w:rsidR="00656F67">
        <w:rPr>
          <w:rStyle w:val="Znakapoznpodarou"/>
          <w:rFonts w:ascii="Garamond" w:hAnsi="Garamond"/>
          <w:sz w:val="24"/>
          <w:szCs w:val="24"/>
        </w:rPr>
        <w:footnoteReference w:id="21"/>
      </w:r>
    </w:p>
    <w:p w:rsidR="00970BBF" w:rsidRPr="00DA196C" w:rsidRDefault="003D20F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 případě </w:t>
      </w:r>
      <w:proofErr w:type="spellStart"/>
      <w:r w:rsidRPr="00DA196C">
        <w:rPr>
          <w:rFonts w:ascii="Garamond" w:hAnsi="Garamond"/>
          <w:sz w:val="24"/>
          <w:szCs w:val="24"/>
        </w:rPr>
        <w:t>reivindikace</w:t>
      </w:r>
      <w:proofErr w:type="spellEnd"/>
      <w:r w:rsidRPr="00DA196C">
        <w:rPr>
          <w:rFonts w:ascii="Garamond" w:hAnsi="Garamond"/>
          <w:sz w:val="24"/>
          <w:szCs w:val="24"/>
        </w:rPr>
        <w:t xml:space="preserve"> tedy vypadal text žalobní formule takto: </w:t>
      </w:r>
      <w:r w:rsidRPr="00DA196C">
        <w:rPr>
          <w:rFonts w:ascii="Garamond" w:hAnsi="Garamond"/>
          <w:i/>
          <w:sz w:val="24"/>
          <w:szCs w:val="24"/>
        </w:rPr>
        <w:t>„</w:t>
      </w:r>
      <w:proofErr w:type="spellStart"/>
      <w:r w:rsidRPr="00DA196C">
        <w:rPr>
          <w:rFonts w:ascii="Garamond" w:hAnsi="Garamond"/>
          <w:i/>
          <w:sz w:val="24"/>
          <w:szCs w:val="24"/>
        </w:rPr>
        <w:t>Titius</w:t>
      </w:r>
      <w:proofErr w:type="spellEnd"/>
      <w:r w:rsidRPr="00DA196C">
        <w:rPr>
          <w:rFonts w:ascii="Garamond" w:hAnsi="Garamond"/>
          <w:i/>
          <w:sz w:val="24"/>
          <w:szCs w:val="24"/>
        </w:rPr>
        <w:t xml:space="preserve"> budiž soudcem! Vyjde-li najevo, že věc, o kterou se jedná, je v </w:t>
      </w:r>
      <w:proofErr w:type="spellStart"/>
      <w:r w:rsidRPr="00DA196C">
        <w:rPr>
          <w:rFonts w:ascii="Garamond" w:hAnsi="Garamond"/>
          <w:i/>
          <w:sz w:val="24"/>
          <w:szCs w:val="24"/>
        </w:rPr>
        <w:t>kvíritském</w:t>
      </w:r>
      <w:proofErr w:type="spellEnd"/>
      <w:r w:rsidRPr="00DA196C">
        <w:rPr>
          <w:rFonts w:ascii="Garamond" w:hAnsi="Garamond"/>
          <w:i/>
          <w:sz w:val="24"/>
          <w:szCs w:val="24"/>
        </w:rPr>
        <w:t xml:space="preserve"> vlastnictví Aula </w:t>
      </w:r>
      <w:proofErr w:type="spellStart"/>
      <w:r w:rsidRPr="00DA196C">
        <w:rPr>
          <w:rFonts w:ascii="Garamond" w:hAnsi="Garamond"/>
          <w:i/>
          <w:sz w:val="24"/>
          <w:szCs w:val="24"/>
        </w:rPr>
        <w:t>Ageria</w:t>
      </w:r>
      <w:proofErr w:type="spellEnd"/>
      <w:r w:rsidRPr="00DA196C">
        <w:rPr>
          <w:rFonts w:ascii="Garamond" w:hAnsi="Garamond"/>
          <w:i/>
          <w:sz w:val="24"/>
          <w:szCs w:val="24"/>
        </w:rPr>
        <w:t xml:space="preserve"> a nebude-li podle tvého rozhodnutí ta věc </w:t>
      </w:r>
      <w:proofErr w:type="spellStart"/>
      <w:r w:rsidRPr="00DA196C">
        <w:rPr>
          <w:rFonts w:ascii="Garamond" w:hAnsi="Garamond"/>
          <w:i/>
          <w:sz w:val="24"/>
          <w:szCs w:val="24"/>
        </w:rPr>
        <w:t>Aulovi</w:t>
      </w:r>
      <w:proofErr w:type="spellEnd"/>
      <w:r w:rsidRPr="00DA196C">
        <w:rPr>
          <w:rFonts w:ascii="Garamond" w:hAnsi="Garamond"/>
          <w:i/>
          <w:sz w:val="24"/>
          <w:szCs w:val="24"/>
        </w:rPr>
        <w:t xml:space="preserve"> </w:t>
      </w:r>
      <w:proofErr w:type="spellStart"/>
      <w:r w:rsidRPr="00DA196C">
        <w:rPr>
          <w:rFonts w:ascii="Garamond" w:hAnsi="Garamond"/>
          <w:i/>
          <w:sz w:val="24"/>
          <w:szCs w:val="24"/>
        </w:rPr>
        <w:t>Ageriovi</w:t>
      </w:r>
      <w:proofErr w:type="spellEnd"/>
      <w:r w:rsidRPr="00DA196C">
        <w:rPr>
          <w:rFonts w:ascii="Garamond" w:hAnsi="Garamond"/>
          <w:i/>
          <w:sz w:val="24"/>
          <w:szCs w:val="24"/>
        </w:rPr>
        <w:t xml:space="preserve"> vrácena, odsuď, </w:t>
      </w:r>
      <w:proofErr w:type="spellStart"/>
      <w:r w:rsidRPr="00DA196C">
        <w:rPr>
          <w:rFonts w:ascii="Garamond" w:hAnsi="Garamond"/>
          <w:i/>
          <w:sz w:val="24"/>
          <w:szCs w:val="24"/>
        </w:rPr>
        <w:t>soudče</w:t>
      </w:r>
      <w:proofErr w:type="spellEnd"/>
      <w:r w:rsidRPr="00DA196C">
        <w:rPr>
          <w:rFonts w:ascii="Garamond" w:hAnsi="Garamond"/>
          <w:i/>
          <w:sz w:val="24"/>
          <w:szCs w:val="24"/>
        </w:rPr>
        <w:t xml:space="preserve">, </w:t>
      </w:r>
      <w:proofErr w:type="spellStart"/>
      <w:r w:rsidRPr="00DA196C">
        <w:rPr>
          <w:rFonts w:ascii="Garamond" w:hAnsi="Garamond"/>
          <w:i/>
          <w:sz w:val="24"/>
          <w:szCs w:val="24"/>
        </w:rPr>
        <w:t>Numeria</w:t>
      </w:r>
      <w:proofErr w:type="spellEnd"/>
      <w:r w:rsidRPr="00DA196C">
        <w:rPr>
          <w:rFonts w:ascii="Garamond" w:hAnsi="Garamond"/>
          <w:i/>
          <w:sz w:val="24"/>
          <w:szCs w:val="24"/>
        </w:rPr>
        <w:t xml:space="preserve"> </w:t>
      </w:r>
      <w:proofErr w:type="spellStart"/>
      <w:r w:rsidRPr="00DA196C">
        <w:rPr>
          <w:rFonts w:ascii="Garamond" w:hAnsi="Garamond"/>
          <w:i/>
          <w:sz w:val="24"/>
          <w:szCs w:val="24"/>
        </w:rPr>
        <w:t>Negidia</w:t>
      </w:r>
      <w:proofErr w:type="spellEnd"/>
      <w:r w:rsidRPr="00DA196C">
        <w:rPr>
          <w:rFonts w:ascii="Garamond" w:hAnsi="Garamond"/>
          <w:i/>
          <w:sz w:val="24"/>
          <w:szCs w:val="24"/>
        </w:rPr>
        <w:t xml:space="preserve"> ve prospěch Aula </w:t>
      </w:r>
      <w:proofErr w:type="spellStart"/>
      <w:r w:rsidRPr="00DA196C">
        <w:rPr>
          <w:rFonts w:ascii="Garamond" w:hAnsi="Garamond"/>
          <w:i/>
          <w:sz w:val="24"/>
          <w:szCs w:val="24"/>
        </w:rPr>
        <w:t>Ageria</w:t>
      </w:r>
      <w:proofErr w:type="spellEnd"/>
      <w:r w:rsidRPr="00DA196C">
        <w:rPr>
          <w:rFonts w:ascii="Garamond" w:hAnsi="Garamond"/>
          <w:i/>
          <w:sz w:val="24"/>
          <w:szCs w:val="24"/>
        </w:rPr>
        <w:t xml:space="preserve"> k takové peněžité sumě, jakou bude mít hodnotu ta věc! Nevyjde-li (vlastnictví Aula </w:t>
      </w:r>
      <w:proofErr w:type="spellStart"/>
      <w:r w:rsidRPr="00DA196C">
        <w:rPr>
          <w:rFonts w:ascii="Garamond" w:hAnsi="Garamond"/>
          <w:i/>
          <w:sz w:val="24"/>
          <w:szCs w:val="24"/>
        </w:rPr>
        <w:t>Ageria</w:t>
      </w:r>
      <w:proofErr w:type="spellEnd"/>
      <w:r w:rsidRPr="00DA196C">
        <w:rPr>
          <w:rFonts w:ascii="Garamond" w:hAnsi="Garamond"/>
          <w:i/>
          <w:sz w:val="24"/>
          <w:szCs w:val="24"/>
        </w:rPr>
        <w:t>) najevo, osvoboď (žalovaného)!“</w:t>
      </w:r>
      <w:r w:rsidRPr="00656F67">
        <w:rPr>
          <w:rStyle w:val="Znakapoznpodarou"/>
          <w:rFonts w:ascii="Garamond" w:hAnsi="Garamond"/>
          <w:sz w:val="24"/>
          <w:szCs w:val="24"/>
        </w:rPr>
        <w:footnoteReference w:id="22"/>
      </w:r>
      <w:r w:rsidR="00C817EF" w:rsidRPr="00DA196C">
        <w:rPr>
          <w:rFonts w:ascii="Garamond" w:hAnsi="Garamond"/>
          <w:i/>
          <w:sz w:val="24"/>
          <w:szCs w:val="24"/>
        </w:rPr>
        <w:t xml:space="preserve"> </w:t>
      </w:r>
      <w:r w:rsidR="00C817EF" w:rsidRPr="00DA196C">
        <w:rPr>
          <w:rFonts w:ascii="Garamond" w:hAnsi="Garamond"/>
          <w:sz w:val="24"/>
          <w:szCs w:val="24"/>
        </w:rPr>
        <w:t xml:space="preserve">Na místa, </w:t>
      </w:r>
      <w:r w:rsidR="00C817EF" w:rsidRPr="00DA196C">
        <w:rPr>
          <w:rFonts w:ascii="Garamond" w:hAnsi="Garamond"/>
          <w:sz w:val="24"/>
          <w:szCs w:val="24"/>
        </w:rPr>
        <w:lastRenderedPageBreak/>
        <w:t xml:space="preserve">kde formule uvádí Aula </w:t>
      </w:r>
      <w:proofErr w:type="spellStart"/>
      <w:r w:rsidR="00C817EF" w:rsidRPr="00DA196C">
        <w:rPr>
          <w:rFonts w:ascii="Garamond" w:hAnsi="Garamond"/>
          <w:sz w:val="24"/>
          <w:szCs w:val="24"/>
        </w:rPr>
        <w:t>Ageria</w:t>
      </w:r>
      <w:proofErr w:type="spellEnd"/>
      <w:r w:rsidR="00C817EF" w:rsidRPr="00DA196C">
        <w:rPr>
          <w:rFonts w:ascii="Garamond" w:hAnsi="Garamond"/>
          <w:sz w:val="24"/>
          <w:szCs w:val="24"/>
        </w:rPr>
        <w:t xml:space="preserve"> bylo dosazeno jméno žalobce. Na místa, kde uvádí </w:t>
      </w:r>
      <w:proofErr w:type="spellStart"/>
      <w:r w:rsidR="00C817EF" w:rsidRPr="00DA196C">
        <w:rPr>
          <w:rFonts w:ascii="Garamond" w:hAnsi="Garamond"/>
          <w:sz w:val="24"/>
          <w:szCs w:val="24"/>
        </w:rPr>
        <w:t>Numeria</w:t>
      </w:r>
      <w:proofErr w:type="spellEnd"/>
      <w:r w:rsidR="00C817EF" w:rsidRPr="00DA196C">
        <w:rPr>
          <w:rFonts w:ascii="Garamond" w:hAnsi="Garamond"/>
          <w:sz w:val="24"/>
          <w:szCs w:val="24"/>
        </w:rPr>
        <w:t xml:space="preserve"> </w:t>
      </w:r>
      <w:proofErr w:type="spellStart"/>
      <w:r w:rsidR="00C817EF" w:rsidRPr="00DA196C">
        <w:rPr>
          <w:rFonts w:ascii="Garamond" w:hAnsi="Garamond"/>
          <w:sz w:val="24"/>
          <w:szCs w:val="24"/>
        </w:rPr>
        <w:t>Negidia</w:t>
      </w:r>
      <w:proofErr w:type="spellEnd"/>
      <w:r w:rsidR="00C817EF" w:rsidRPr="00DA196C">
        <w:rPr>
          <w:rFonts w:ascii="Garamond" w:hAnsi="Garamond"/>
          <w:sz w:val="24"/>
          <w:szCs w:val="24"/>
        </w:rPr>
        <w:t xml:space="preserve"> bylo dosazeno jméno žalovaného. </w:t>
      </w:r>
      <w:r w:rsidR="00AE390B" w:rsidRPr="00DA196C">
        <w:rPr>
          <w:rFonts w:ascii="Garamond" w:hAnsi="Garamond"/>
          <w:sz w:val="24"/>
          <w:szCs w:val="24"/>
        </w:rPr>
        <w:t xml:space="preserve">Žalobní formule mohla být </w:t>
      </w:r>
      <w:r w:rsidR="00C817EF" w:rsidRPr="00DA196C">
        <w:rPr>
          <w:rFonts w:ascii="Garamond" w:hAnsi="Garamond"/>
          <w:sz w:val="24"/>
          <w:szCs w:val="24"/>
        </w:rPr>
        <w:t xml:space="preserve">též </w:t>
      </w:r>
      <w:r w:rsidR="00AE390B" w:rsidRPr="00DA196C">
        <w:rPr>
          <w:rFonts w:ascii="Garamond" w:hAnsi="Garamond"/>
          <w:sz w:val="24"/>
          <w:szCs w:val="24"/>
        </w:rPr>
        <w:t>modifikována excepcí žalovaného.</w:t>
      </w:r>
      <w:r w:rsidR="00C817EF" w:rsidRPr="00DA196C">
        <w:rPr>
          <w:rStyle w:val="Znakapoznpodarou"/>
          <w:rFonts w:ascii="Garamond" w:hAnsi="Garamond"/>
          <w:sz w:val="24"/>
          <w:szCs w:val="24"/>
        </w:rPr>
        <w:footnoteReference w:id="23"/>
      </w:r>
    </w:p>
    <w:p w:rsidR="009310AE" w:rsidRPr="00DA196C" w:rsidRDefault="009310AE"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Následně bylo přistoupeno k </w:t>
      </w:r>
      <w:proofErr w:type="spellStart"/>
      <w:r w:rsidRPr="00DA196C">
        <w:rPr>
          <w:rFonts w:ascii="Garamond" w:hAnsi="Garamond"/>
          <w:sz w:val="24"/>
          <w:szCs w:val="24"/>
        </w:rPr>
        <w:t>litiskontestaci</w:t>
      </w:r>
      <w:proofErr w:type="spellEnd"/>
      <w:r w:rsidRPr="00DA196C">
        <w:rPr>
          <w:rFonts w:ascii="Garamond" w:hAnsi="Garamond"/>
          <w:sz w:val="24"/>
          <w:szCs w:val="24"/>
        </w:rPr>
        <w:t>, kdy žalobce odevzdal žalovanému schválenou formuli a žalovaný ji přijal, případně žalobce přečetl formuli žalovanému. Došlo tedy k procesní dohodě stran, že j</w:t>
      </w:r>
      <w:r w:rsidR="00656F67">
        <w:rPr>
          <w:rFonts w:ascii="Garamond" w:hAnsi="Garamond"/>
          <w:sz w:val="24"/>
          <w:szCs w:val="24"/>
        </w:rPr>
        <w:t>ejich spor bude veden podle pré</w:t>
      </w:r>
      <w:r w:rsidRPr="00DA196C">
        <w:rPr>
          <w:rFonts w:ascii="Garamond" w:hAnsi="Garamond"/>
          <w:sz w:val="24"/>
          <w:szCs w:val="24"/>
        </w:rPr>
        <w:t xml:space="preserve">torem schválené formule a před soudcem touto formulí stanoveným. Jelikož formule </w:t>
      </w:r>
      <w:r w:rsidR="00E1489D" w:rsidRPr="00DA196C">
        <w:rPr>
          <w:rFonts w:ascii="Garamond" w:hAnsi="Garamond"/>
          <w:sz w:val="24"/>
          <w:szCs w:val="24"/>
        </w:rPr>
        <w:t>byla</w:t>
      </w:r>
      <w:r w:rsidRPr="00DA196C">
        <w:rPr>
          <w:rFonts w:ascii="Garamond" w:hAnsi="Garamond"/>
          <w:sz w:val="24"/>
          <w:szCs w:val="24"/>
        </w:rPr>
        <w:t xml:space="preserve"> vyhotov</w:t>
      </w:r>
      <w:r w:rsidR="00E1489D" w:rsidRPr="00DA196C">
        <w:rPr>
          <w:rFonts w:ascii="Garamond" w:hAnsi="Garamond"/>
          <w:sz w:val="24"/>
          <w:szCs w:val="24"/>
        </w:rPr>
        <w:t>ována</w:t>
      </w:r>
      <w:r w:rsidRPr="00DA196C">
        <w:rPr>
          <w:rFonts w:ascii="Garamond" w:hAnsi="Garamond"/>
          <w:sz w:val="24"/>
          <w:szCs w:val="24"/>
        </w:rPr>
        <w:t xml:space="preserve"> písemně, </w:t>
      </w:r>
      <w:r w:rsidR="00E1489D" w:rsidRPr="00DA196C">
        <w:rPr>
          <w:rFonts w:ascii="Garamond" w:hAnsi="Garamond"/>
          <w:sz w:val="24"/>
          <w:szCs w:val="24"/>
        </w:rPr>
        <w:t xml:space="preserve">nebylo zde již tak důležité postavení svědků, jak tomu bylo při </w:t>
      </w:r>
      <w:proofErr w:type="spellStart"/>
      <w:r w:rsidR="00E1489D" w:rsidRPr="00DA196C">
        <w:rPr>
          <w:rFonts w:ascii="Garamond" w:hAnsi="Garamond"/>
          <w:sz w:val="24"/>
          <w:szCs w:val="24"/>
        </w:rPr>
        <w:t>litiskontestaci</w:t>
      </w:r>
      <w:proofErr w:type="spellEnd"/>
      <w:r w:rsidR="00E1489D" w:rsidRPr="00DA196C">
        <w:rPr>
          <w:rFonts w:ascii="Garamond" w:hAnsi="Garamond"/>
          <w:sz w:val="24"/>
          <w:szCs w:val="24"/>
        </w:rPr>
        <w:t xml:space="preserve"> v procesu </w:t>
      </w:r>
      <w:proofErr w:type="spellStart"/>
      <w:r w:rsidR="00E1489D" w:rsidRPr="00DA196C">
        <w:rPr>
          <w:rFonts w:ascii="Garamond" w:hAnsi="Garamond"/>
          <w:sz w:val="24"/>
          <w:szCs w:val="24"/>
        </w:rPr>
        <w:t>legisakčním</w:t>
      </w:r>
      <w:proofErr w:type="spellEnd"/>
      <w:r w:rsidR="00E1489D" w:rsidRPr="00DA196C">
        <w:rPr>
          <w:rFonts w:ascii="Garamond" w:hAnsi="Garamond"/>
          <w:sz w:val="24"/>
          <w:szCs w:val="24"/>
        </w:rPr>
        <w:t>.</w:t>
      </w:r>
      <w:r w:rsidR="00037BAD" w:rsidRPr="00DA196C">
        <w:rPr>
          <w:rFonts w:ascii="Garamond" w:hAnsi="Garamond"/>
          <w:sz w:val="24"/>
          <w:szCs w:val="24"/>
        </w:rPr>
        <w:t xml:space="preserve"> Podstatným důsledkem </w:t>
      </w:r>
      <w:proofErr w:type="spellStart"/>
      <w:r w:rsidR="00037BAD" w:rsidRPr="00DA196C">
        <w:rPr>
          <w:rFonts w:ascii="Garamond" w:hAnsi="Garamond"/>
          <w:sz w:val="24"/>
          <w:szCs w:val="24"/>
        </w:rPr>
        <w:t>litiskontestace</w:t>
      </w:r>
      <w:proofErr w:type="spellEnd"/>
      <w:r w:rsidR="00037BAD" w:rsidRPr="00DA196C">
        <w:rPr>
          <w:rFonts w:ascii="Garamond" w:hAnsi="Garamond"/>
          <w:sz w:val="24"/>
          <w:szCs w:val="24"/>
        </w:rPr>
        <w:t xml:space="preserve"> v případě </w:t>
      </w:r>
      <w:proofErr w:type="spellStart"/>
      <w:r w:rsidR="00037BAD" w:rsidRPr="00DA196C">
        <w:rPr>
          <w:rFonts w:ascii="Garamond" w:hAnsi="Garamond"/>
          <w:sz w:val="24"/>
          <w:szCs w:val="24"/>
        </w:rPr>
        <w:t>reivindikační</w:t>
      </w:r>
      <w:proofErr w:type="spellEnd"/>
      <w:r w:rsidR="00037BAD" w:rsidRPr="00DA196C">
        <w:rPr>
          <w:rFonts w:ascii="Garamond" w:hAnsi="Garamond"/>
          <w:sz w:val="24"/>
          <w:szCs w:val="24"/>
        </w:rPr>
        <w:t xml:space="preserve"> žaloby byl zákaz zcizení věci, která byla předmětem sporu (</w:t>
      </w:r>
      <w:r w:rsidR="00037BAD" w:rsidRPr="00DA196C">
        <w:rPr>
          <w:rFonts w:ascii="Garamond" w:hAnsi="Garamond"/>
          <w:i/>
          <w:sz w:val="24"/>
          <w:szCs w:val="24"/>
        </w:rPr>
        <w:t xml:space="preserve">res </w:t>
      </w:r>
      <w:proofErr w:type="spellStart"/>
      <w:r w:rsidR="00037BAD" w:rsidRPr="00DA196C">
        <w:rPr>
          <w:rFonts w:ascii="Garamond" w:hAnsi="Garamond"/>
          <w:i/>
          <w:sz w:val="24"/>
          <w:szCs w:val="24"/>
        </w:rPr>
        <w:t>litigiosa</w:t>
      </w:r>
      <w:proofErr w:type="spellEnd"/>
      <w:r w:rsidR="00037BAD" w:rsidRPr="00DA196C">
        <w:rPr>
          <w:rFonts w:ascii="Garamond" w:hAnsi="Garamond"/>
          <w:sz w:val="24"/>
          <w:szCs w:val="24"/>
        </w:rPr>
        <w:t>).</w:t>
      </w:r>
      <w:r w:rsidR="004E1457" w:rsidRPr="00DA196C">
        <w:rPr>
          <w:rStyle w:val="Znakapoznpodarou"/>
          <w:rFonts w:ascii="Garamond" w:hAnsi="Garamond"/>
          <w:sz w:val="24"/>
          <w:szCs w:val="24"/>
        </w:rPr>
        <w:footnoteReference w:id="24"/>
      </w:r>
      <w:r w:rsidR="00037BAD" w:rsidRPr="00DA196C">
        <w:rPr>
          <w:rFonts w:ascii="Garamond" w:hAnsi="Garamond"/>
          <w:sz w:val="24"/>
          <w:szCs w:val="24"/>
        </w:rPr>
        <w:t xml:space="preserve"> </w:t>
      </w:r>
    </w:p>
    <w:p w:rsidR="00CF689A" w:rsidRPr="00DA196C" w:rsidRDefault="00CF689A" w:rsidP="00FA1FF7">
      <w:pPr>
        <w:pStyle w:val="Nadpis4"/>
        <w:contextualSpacing/>
      </w:pPr>
      <w:r w:rsidRPr="00DA196C">
        <w:t xml:space="preserve">Řízení </w:t>
      </w:r>
      <w:proofErr w:type="spellStart"/>
      <w:r w:rsidRPr="00DA196C">
        <w:t>apud</w:t>
      </w:r>
      <w:proofErr w:type="spellEnd"/>
      <w:r w:rsidRPr="00DA196C">
        <w:t xml:space="preserve"> </w:t>
      </w:r>
      <w:proofErr w:type="spellStart"/>
      <w:r w:rsidRPr="00DA196C">
        <w:t>iudicem</w:t>
      </w:r>
      <w:proofErr w:type="spellEnd"/>
    </w:p>
    <w:p w:rsidR="00322C26" w:rsidRPr="00DA196C" w:rsidRDefault="00322C26"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Po fázi řízení in iure, která byla završena </w:t>
      </w:r>
      <w:proofErr w:type="spellStart"/>
      <w:r w:rsidRPr="00DA196C">
        <w:rPr>
          <w:rFonts w:ascii="Garamond" w:hAnsi="Garamond"/>
          <w:sz w:val="24"/>
          <w:szCs w:val="24"/>
        </w:rPr>
        <w:t>litiskontestací</w:t>
      </w:r>
      <w:proofErr w:type="spellEnd"/>
      <w:r w:rsidRPr="00DA196C">
        <w:rPr>
          <w:rFonts w:ascii="Garamond" w:hAnsi="Garamond"/>
          <w:sz w:val="24"/>
          <w:szCs w:val="24"/>
        </w:rPr>
        <w:t xml:space="preserve">, následovalo řízení </w:t>
      </w:r>
      <w:proofErr w:type="spellStart"/>
      <w:r w:rsidRPr="00656F67">
        <w:rPr>
          <w:rFonts w:ascii="Garamond" w:hAnsi="Garamond"/>
          <w:i/>
          <w:sz w:val="24"/>
          <w:szCs w:val="24"/>
        </w:rPr>
        <w:t>apud</w:t>
      </w:r>
      <w:proofErr w:type="spellEnd"/>
      <w:r w:rsidRPr="00656F67">
        <w:rPr>
          <w:rFonts w:ascii="Garamond" w:hAnsi="Garamond"/>
          <w:i/>
          <w:sz w:val="24"/>
          <w:szCs w:val="24"/>
        </w:rPr>
        <w:t xml:space="preserve"> </w:t>
      </w:r>
      <w:proofErr w:type="spellStart"/>
      <w:r w:rsidRPr="00656F67">
        <w:rPr>
          <w:rFonts w:ascii="Garamond" w:hAnsi="Garamond"/>
          <w:i/>
          <w:sz w:val="24"/>
          <w:szCs w:val="24"/>
        </w:rPr>
        <w:t>iudicem</w:t>
      </w:r>
      <w:proofErr w:type="spellEnd"/>
      <w:r w:rsidR="00656F67">
        <w:rPr>
          <w:rFonts w:ascii="Garamond" w:hAnsi="Garamond"/>
          <w:sz w:val="24"/>
          <w:szCs w:val="24"/>
        </w:rPr>
        <w:t xml:space="preserve">. V průběhu celého řízení </w:t>
      </w:r>
      <w:proofErr w:type="spellStart"/>
      <w:r w:rsidR="00656F67" w:rsidRPr="00656F67">
        <w:rPr>
          <w:rFonts w:ascii="Garamond" w:hAnsi="Garamond"/>
          <w:i/>
          <w:sz w:val="24"/>
          <w:szCs w:val="24"/>
        </w:rPr>
        <w:t>apud</w:t>
      </w:r>
      <w:proofErr w:type="spellEnd"/>
      <w:r w:rsidRPr="00656F67">
        <w:rPr>
          <w:rFonts w:ascii="Garamond" w:hAnsi="Garamond"/>
          <w:i/>
          <w:sz w:val="24"/>
          <w:szCs w:val="24"/>
        </w:rPr>
        <w:t xml:space="preserve"> </w:t>
      </w:r>
      <w:proofErr w:type="spellStart"/>
      <w:r w:rsidRPr="00656F67">
        <w:rPr>
          <w:rFonts w:ascii="Garamond" w:hAnsi="Garamond"/>
          <w:i/>
          <w:sz w:val="24"/>
          <w:szCs w:val="24"/>
        </w:rPr>
        <w:t>iudicem</w:t>
      </w:r>
      <w:proofErr w:type="spellEnd"/>
      <w:r w:rsidRPr="00DA196C">
        <w:rPr>
          <w:rFonts w:ascii="Garamond" w:hAnsi="Garamond"/>
          <w:sz w:val="24"/>
          <w:szCs w:val="24"/>
        </w:rPr>
        <w:t xml:space="preserve"> byla vyžadována přítomnost obou stran sporu. Jestliže se jedna ze stran nedostavila, mělo to za následek vydání rozsudku ve prospěch přítomné strany</w:t>
      </w:r>
      <w:r w:rsidR="00656F67">
        <w:rPr>
          <w:rFonts w:ascii="Garamond" w:hAnsi="Garamond"/>
          <w:sz w:val="24"/>
          <w:szCs w:val="24"/>
        </w:rPr>
        <w:t>.</w:t>
      </w:r>
      <w:r w:rsidRPr="00DA196C">
        <w:rPr>
          <w:rStyle w:val="Znakapoznpodarou"/>
          <w:rFonts w:ascii="Garamond" w:hAnsi="Garamond"/>
          <w:sz w:val="24"/>
          <w:szCs w:val="24"/>
        </w:rPr>
        <w:footnoteReference w:id="25"/>
      </w:r>
      <w:r w:rsidRPr="00DA196C">
        <w:rPr>
          <w:rFonts w:ascii="Garamond" w:hAnsi="Garamond"/>
          <w:sz w:val="24"/>
          <w:szCs w:val="24"/>
        </w:rPr>
        <w:t xml:space="preserve"> </w:t>
      </w:r>
    </w:p>
    <w:p w:rsidR="00037BAD" w:rsidRPr="00DA196C" w:rsidRDefault="00037BAD" w:rsidP="00FA1FF7">
      <w:pPr>
        <w:spacing w:after="0" w:line="360" w:lineRule="auto"/>
        <w:contextualSpacing/>
        <w:jc w:val="both"/>
        <w:rPr>
          <w:rFonts w:ascii="Garamond" w:hAnsi="Garamond"/>
          <w:sz w:val="24"/>
          <w:szCs w:val="24"/>
        </w:rPr>
      </w:pPr>
      <w:r w:rsidRPr="00DA196C">
        <w:rPr>
          <w:rFonts w:ascii="Garamond" w:hAnsi="Garamond"/>
          <w:sz w:val="24"/>
          <w:szCs w:val="24"/>
        </w:rPr>
        <w:t xml:space="preserve">Podstatou řízení </w:t>
      </w:r>
      <w:proofErr w:type="spellStart"/>
      <w:r w:rsidRPr="00656F67">
        <w:rPr>
          <w:rFonts w:ascii="Garamond" w:hAnsi="Garamond"/>
          <w:i/>
          <w:sz w:val="24"/>
          <w:szCs w:val="24"/>
        </w:rPr>
        <w:t>apud</w:t>
      </w:r>
      <w:proofErr w:type="spellEnd"/>
      <w:r w:rsidRPr="00656F67">
        <w:rPr>
          <w:rFonts w:ascii="Garamond" w:hAnsi="Garamond"/>
          <w:i/>
          <w:sz w:val="24"/>
          <w:szCs w:val="24"/>
        </w:rPr>
        <w:t xml:space="preserve"> </w:t>
      </w:r>
      <w:proofErr w:type="spellStart"/>
      <w:r w:rsidRPr="00656F67">
        <w:rPr>
          <w:rFonts w:ascii="Garamond" w:hAnsi="Garamond"/>
          <w:i/>
          <w:sz w:val="24"/>
          <w:szCs w:val="24"/>
        </w:rPr>
        <w:t>iudicem</w:t>
      </w:r>
      <w:proofErr w:type="spellEnd"/>
      <w:r w:rsidRPr="00DA196C">
        <w:rPr>
          <w:rFonts w:ascii="Garamond" w:hAnsi="Garamond"/>
          <w:sz w:val="24"/>
          <w:szCs w:val="24"/>
        </w:rPr>
        <w:t xml:space="preserve"> bylo především, aby soudce prověřil pravdivost tvrzení žalobce a žalovaného. Těžištěm celého tohoto stádia řízení tedy bylo provádění důkazů soudcem a následné hodnocení těchto důkazů.  Jestliže soudce na základě tohoto postupu nabyl přesvědčení, že je naplněna intence žalobní formule a že není dána žádná relevantní obrana žalovaného, vydal odsuzující rozsudek v takovém znění, jak mu předepisovala právě žalobní formule. Jestliže soudce naopak došel k závěru, že intence není naplněna nebo je zde nějaká relevantní obrana žalovaného, vydal podle žalobní</w:t>
      </w:r>
      <w:r w:rsidR="00375535" w:rsidRPr="00DA196C">
        <w:rPr>
          <w:rFonts w:ascii="Garamond" w:hAnsi="Garamond"/>
          <w:sz w:val="24"/>
          <w:szCs w:val="24"/>
        </w:rPr>
        <w:t xml:space="preserve"> formule rozsudek osvobozující.</w:t>
      </w:r>
      <w:r w:rsidR="00375535" w:rsidRPr="00DA196C">
        <w:rPr>
          <w:rFonts w:ascii="Garamond" w:hAnsi="Garamond"/>
          <w:sz w:val="24"/>
          <w:szCs w:val="24"/>
          <w:vertAlign w:val="superscript"/>
        </w:rPr>
        <w:footnoteReference w:id="26"/>
      </w:r>
    </w:p>
    <w:p w:rsidR="008076F0" w:rsidRPr="00DA196C" w:rsidRDefault="00037BAD"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Výše uvedené ovšem neznamená, že bylo rozhodování soudce omezeno pouze na skutková zjištění. Soudce sice nemohl rozhodovat o subsumpci daného sporného poměru pod určitá zákonná ustanov</w:t>
      </w:r>
      <w:r w:rsidR="00656F67">
        <w:rPr>
          <w:rFonts w:ascii="Garamond" w:hAnsi="Garamond"/>
          <w:sz w:val="24"/>
          <w:szCs w:val="24"/>
        </w:rPr>
        <w:t>ení, jelikož toto činil již pré</w:t>
      </w:r>
      <w:r w:rsidRPr="00DA196C">
        <w:rPr>
          <w:rFonts w:ascii="Garamond" w:hAnsi="Garamond"/>
          <w:sz w:val="24"/>
          <w:szCs w:val="24"/>
        </w:rPr>
        <w:t xml:space="preserve">tor v předchozí fázi řízení </w:t>
      </w:r>
      <w:r w:rsidRPr="00656F67">
        <w:rPr>
          <w:rFonts w:ascii="Garamond" w:hAnsi="Garamond"/>
          <w:i/>
          <w:sz w:val="24"/>
          <w:szCs w:val="24"/>
        </w:rPr>
        <w:t>in iure</w:t>
      </w:r>
      <w:r w:rsidR="00656F67">
        <w:rPr>
          <w:rFonts w:ascii="Garamond" w:hAnsi="Garamond"/>
          <w:sz w:val="24"/>
          <w:szCs w:val="24"/>
        </w:rPr>
        <w:t xml:space="preserve"> a soudce byl</w:t>
      </w:r>
      <w:r w:rsidRPr="00DA196C">
        <w:rPr>
          <w:rFonts w:ascii="Garamond" w:hAnsi="Garamond"/>
          <w:sz w:val="24"/>
          <w:szCs w:val="24"/>
        </w:rPr>
        <w:t xml:space="preserve"> v této otázce vázán žalobní formulí, která mu byla předložena. Úkolem soudce však bylo provést právní hodnocení toho, zda jsou splněny všechny podmínky vzniku daného poměru, nebo zda nejsou splněny podmínky pro jeho zánik či neplatnost. Při tomto hodnocení se soudce musel řídit normami civilního práva, právem prétorským se řídil pouze v případech a způsobem, jakým mu ukládala žalobní formule.</w:t>
      </w:r>
      <w:r w:rsidR="00375535" w:rsidRPr="00DA196C">
        <w:rPr>
          <w:rFonts w:ascii="Garamond" w:hAnsi="Garamond"/>
          <w:sz w:val="24"/>
          <w:szCs w:val="24"/>
          <w:vertAlign w:val="superscript"/>
        </w:rPr>
        <w:footnoteReference w:id="27"/>
      </w:r>
    </w:p>
    <w:p w:rsidR="00375535" w:rsidRPr="00DA196C" w:rsidRDefault="0037553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Řízení </w:t>
      </w:r>
      <w:proofErr w:type="spellStart"/>
      <w:r w:rsidRPr="00656F67">
        <w:rPr>
          <w:rFonts w:ascii="Garamond" w:hAnsi="Garamond"/>
          <w:i/>
          <w:sz w:val="24"/>
          <w:szCs w:val="24"/>
        </w:rPr>
        <w:t>apud</w:t>
      </w:r>
      <w:proofErr w:type="spellEnd"/>
      <w:r w:rsidRPr="00656F67">
        <w:rPr>
          <w:rFonts w:ascii="Garamond" w:hAnsi="Garamond"/>
          <w:i/>
          <w:sz w:val="24"/>
          <w:szCs w:val="24"/>
        </w:rPr>
        <w:t xml:space="preserve"> </w:t>
      </w:r>
      <w:proofErr w:type="spellStart"/>
      <w:r w:rsidRPr="00656F67">
        <w:rPr>
          <w:rFonts w:ascii="Garamond" w:hAnsi="Garamond"/>
          <w:i/>
          <w:sz w:val="24"/>
          <w:szCs w:val="24"/>
        </w:rPr>
        <w:t>iudicem</w:t>
      </w:r>
      <w:proofErr w:type="spellEnd"/>
      <w:r w:rsidRPr="00DA196C">
        <w:rPr>
          <w:rFonts w:ascii="Garamond" w:hAnsi="Garamond"/>
          <w:sz w:val="24"/>
          <w:szCs w:val="24"/>
        </w:rPr>
        <w:t xml:space="preserve"> tedy probíhalo tak, že nejprve žalobce a žalovaný, případně jejich advokáti přednesli spornou věc. Toto probíhalo formou tzv. </w:t>
      </w:r>
      <w:proofErr w:type="spellStart"/>
      <w:r w:rsidRPr="00656F67">
        <w:rPr>
          <w:rFonts w:ascii="Garamond" w:hAnsi="Garamond"/>
          <w:i/>
          <w:sz w:val="24"/>
          <w:szCs w:val="24"/>
        </w:rPr>
        <w:t>peroratio</w:t>
      </w:r>
      <w:r w:rsidR="00564A75" w:rsidRPr="00656F67">
        <w:rPr>
          <w:rFonts w:ascii="Garamond" w:hAnsi="Garamond"/>
          <w:i/>
          <w:sz w:val="24"/>
          <w:szCs w:val="24"/>
        </w:rPr>
        <w:t>nes</w:t>
      </w:r>
      <w:proofErr w:type="spellEnd"/>
      <w:r w:rsidR="00564A75" w:rsidRPr="00DA196C">
        <w:rPr>
          <w:rFonts w:ascii="Garamond" w:hAnsi="Garamond"/>
          <w:sz w:val="24"/>
          <w:szCs w:val="24"/>
        </w:rPr>
        <w:t xml:space="preserve">, kdy strany sporu souvisle </w:t>
      </w:r>
      <w:r w:rsidR="00564A75" w:rsidRPr="00DA196C">
        <w:rPr>
          <w:rFonts w:ascii="Garamond" w:hAnsi="Garamond"/>
          <w:sz w:val="24"/>
          <w:szCs w:val="24"/>
        </w:rPr>
        <w:lastRenderedPageBreak/>
        <w:t xml:space="preserve">vylíčily skutkový děj, a následně formou </w:t>
      </w:r>
      <w:proofErr w:type="spellStart"/>
      <w:r w:rsidR="00564A75" w:rsidRPr="00656F67">
        <w:rPr>
          <w:rFonts w:ascii="Garamond" w:hAnsi="Garamond"/>
          <w:i/>
          <w:sz w:val="24"/>
          <w:szCs w:val="24"/>
        </w:rPr>
        <w:t>altercationes</w:t>
      </w:r>
      <w:proofErr w:type="spellEnd"/>
      <w:r w:rsidR="00564A75" w:rsidRPr="00DA196C">
        <w:rPr>
          <w:rFonts w:ascii="Garamond" w:hAnsi="Garamond"/>
          <w:sz w:val="24"/>
          <w:szCs w:val="24"/>
        </w:rPr>
        <w:t>, tedy křížových výslechů stran.</w:t>
      </w:r>
      <w:r w:rsidR="00564A75" w:rsidRPr="00DA196C">
        <w:rPr>
          <w:rFonts w:ascii="Garamond" w:hAnsi="Garamond"/>
          <w:sz w:val="24"/>
          <w:szCs w:val="24"/>
          <w:vertAlign w:val="superscript"/>
        </w:rPr>
        <w:footnoteReference w:id="28"/>
      </w:r>
      <w:r w:rsidR="00564A75" w:rsidRPr="00DA196C">
        <w:rPr>
          <w:rFonts w:ascii="Garamond" w:hAnsi="Garamond"/>
          <w:sz w:val="24"/>
          <w:szCs w:val="24"/>
        </w:rPr>
        <w:t xml:space="preserve"> Následovalo provádění důkazů a jejich hodnocení. Poté byl vydán buď odsuzující rozsudek (</w:t>
      </w:r>
      <w:proofErr w:type="spellStart"/>
      <w:r w:rsidR="008A1ADE" w:rsidRPr="00656F67">
        <w:rPr>
          <w:rFonts w:ascii="Garamond" w:hAnsi="Garamond"/>
          <w:i/>
          <w:sz w:val="24"/>
          <w:szCs w:val="24"/>
        </w:rPr>
        <w:t>sententia</w:t>
      </w:r>
      <w:proofErr w:type="spellEnd"/>
      <w:r w:rsidR="008A1ADE" w:rsidRPr="00656F67">
        <w:rPr>
          <w:rFonts w:ascii="Garamond" w:hAnsi="Garamond"/>
          <w:i/>
          <w:sz w:val="24"/>
          <w:szCs w:val="24"/>
        </w:rPr>
        <w:t xml:space="preserve"> </w:t>
      </w:r>
      <w:proofErr w:type="spellStart"/>
      <w:r w:rsidR="008A1ADE" w:rsidRPr="00656F67">
        <w:rPr>
          <w:rFonts w:ascii="Garamond" w:hAnsi="Garamond"/>
          <w:i/>
          <w:sz w:val="24"/>
          <w:szCs w:val="24"/>
        </w:rPr>
        <w:t>condemnatoria</w:t>
      </w:r>
      <w:proofErr w:type="spellEnd"/>
      <w:r w:rsidR="008A1ADE" w:rsidRPr="00DA196C">
        <w:rPr>
          <w:rFonts w:ascii="Garamond" w:hAnsi="Garamond"/>
          <w:sz w:val="24"/>
          <w:szCs w:val="24"/>
        </w:rPr>
        <w:t>) nebo osvobozující rozsudek</w:t>
      </w:r>
      <w:r w:rsidR="00A7406A" w:rsidRPr="00DA196C">
        <w:rPr>
          <w:rFonts w:ascii="Garamond" w:hAnsi="Garamond"/>
          <w:sz w:val="24"/>
          <w:szCs w:val="24"/>
        </w:rPr>
        <w:t xml:space="preserve"> (</w:t>
      </w:r>
      <w:proofErr w:type="spellStart"/>
      <w:r w:rsidR="00A7406A" w:rsidRPr="00656F67">
        <w:rPr>
          <w:rFonts w:ascii="Garamond" w:hAnsi="Garamond"/>
          <w:i/>
          <w:sz w:val="24"/>
          <w:szCs w:val="24"/>
        </w:rPr>
        <w:t>sententia</w:t>
      </w:r>
      <w:proofErr w:type="spellEnd"/>
      <w:r w:rsidR="00A7406A" w:rsidRPr="00656F67">
        <w:rPr>
          <w:rFonts w:ascii="Garamond" w:hAnsi="Garamond"/>
          <w:i/>
          <w:sz w:val="24"/>
          <w:szCs w:val="24"/>
        </w:rPr>
        <w:t xml:space="preserve"> absolutoria</w:t>
      </w:r>
      <w:r w:rsidR="00A7406A" w:rsidRPr="00DA196C">
        <w:rPr>
          <w:rFonts w:ascii="Garamond" w:hAnsi="Garamond"/>
          <w:sz w:val="24"/>
          <w:szCs w:val="24"/>
        </w:rPr>
        <w:t xml:space="preserve">). </w:t>
      </w:r>
      <w:r w:rsidR="00DD14BD" w:rsidRPr="00DA196C">
        <w:rPr>
          <w:rFonts w:ascii="Garamond" w:hAnsi="Garamond"/>
          <w:sz w:val="24"/>
          <w:szCs w:val="24"/>
        </w:rPr>
        <w:t>Rozsudek musel být ústně za přítomnosti stran vyhlášen.</w:t>
      </w:r>
      <w:r w:rsidR="00322C26" w:rsidRPr="00DA196C">
        <w:rPr>
          <w:rStyle w:val="Znakapoznpodarou"/>
          <w:rFonts w:ascii="Garamond" w:hAnsi="Garamond"/>
          <w:sz w:val="24"/>
          <w:szCs w:val="24"/>
        </w:rPr>
        <w:footnoteReference w:id="29"/>
      </w:r>
    </w:p>
    <w:p w:rsidR="003F2158" w:rsidRPr="00DA196C" w:rsidRDefault="00633385" w:rsidP="00FA1FF7">
      <w:pPr>
        <w:pStyle w:val="Nadpis3"/>
        <w:spacing w:line="360" w:lineRule="auto"/>
        <w:contextualSpacing/>
      </w:pPr>
      <w:bookmarkStart w:id="6" w:name="_Toc36031935"/>
      <w:r w:rsidRPr="00DA196C">
        <w:t>Úřednický proces</w:t>
      </w:r>
      <w:bookmarkEnd w:id="6"/>
    </w:p>
    <w:p w:rsidR="008B491F" w:rsidRPr="00DA196C" w:rsidRDefault="008B491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Za císařství docházelo k postupnému posilování postavení soudních úředníků, kterým bylo do výlučné pravomoci svěřováno rozhodování ve věci nově vznikajících právních poměrů. Zbytek sporů byl však zpočátku stále řešen prostřednictvím řízení formulového, tedy nastala situace, kdy vedle sebe existovalo jak řízení formulové, tak řízení mimořádné (</w:t>
      </w:r>
      <w:proofErr w:type="spellStart"/>
      <w:r w:rsidRPr="00656F67">
        <w:rPr>
          <w:rFonts w:ascii="Garamond" w:hAnsi="Garamond"/>
          <w:i/>
          <w:sz w:val="24"/>
          <w:szCs w:val="24"/>
        </w:rPr>
        <w:t>extraordinaria</w:t>
      </w:r>
      <w:proofErr w:type="spellEnd"/>
      <w:r w:rsidRPr="00656F67">
        <w:rPr>
          <w:rFonts w:ascii="Garamond" w:hAnsi="Garamond"/>
          <w:i/>
          <w:sz w:val="24"/>
          <w:szCs w:val="24"/>
        </w:rPr>
        <w:t xml:space="preserve"> </w:t>
      </w:r>
      <w:proofErr w:type="spellStart"/>
      <w:r w:rsidRPr="00656F67">
        <w:rPr>
          <w:rFonts w:ascii="Garamond" w:hAnsi="Garamond"/>
          <w:i/>
          <w:sz w:val="24"/>
          <w:szCs w:val="24"/>
        </w:rPr>
        <w:t>cognitio</w:t>
      </w:r>
      <w:proofErr w:type="spellEnd"/>
      <w:r w:rsidRPr="00DA196C">
        <w:rPr>
          <w:rFonts w:ascii="Garamond" w:hAnsi="Garamond"/>
          <w:sz w:val="24"/>
          <w:szCs w:val="24"/>
        </w:rPr>
        <w:t xml:space="preserve">). Tento dualismus přetrvával až do přelomu 3. a 4. století, kdy císař </w:t>
      </w:r>
      <w:proofErr w:type="spellStart"/>
      <w:r w:rsidRPr="00DA196C">
        <w:rPr>
          <w:rFonts w:ascii="Garamond" w:hAnsi="Garamond"/>
          <w:sz w:val="24"/>
          <w:szCs w:val="24"/>
        </w:rPr>
        <w:t>Dioklecián</w:t>
      </w:r>
      <w:proofErr w:type="spellEnd"/>
      <w:r w:rsidRPr="00DA196C">
        <w:rPr>
          <w:rFonts w:ascii="Garamond" w:hAnsi="Garamond"/>
          <w:sz w:val="24"/>
          <w:szCs w:val="24"/>
        </w:rPr>
        <w:t xml:space="preserve"> stanovil jedinou možnou formou řízení právě </w:t>
      </w:r>
      <w:proofErr w:type="spellStart"/>
      <w:r w:rsidRPr="00DA196C">
        <w:rPr>
          <w:rFonts w:ascii="Garamond" w:hAnsi="Garamond"/>
          <w:sz w:val="24"/>
          <w:szCs w:val="24"/>
        </w:rPr>
        <w:t>kogniční</w:t>
      </w:r>
      <w:proofErr w:type="spellEnd"/>
      <w:r w:rsidRPr="00DA196C">
        <w:rPr>
          <w:rFonts w:ascii="Garamond" w:hAnsi="Garamond"/>
          <w:sz w:val="24"/>
          <w:szCs w:val="24"/>
        </w:rPr>
        <w:t xml:space="preserve"> řízení.</w:t>
      </w:r>
      <w:r w:rsidRPr="00DA196C">
        <w:rPr>
          <w:rStyle w:val="Znakapoznpodarou"/>
          <w:rFonts w:ascii="Garamond" w:hAnsi="Garamond"/>
          <w:sz w:val="24"/>
          <w:szCs w:val="24"/>
        </w:rPr>
        <w:footnoteReference w:id="30"/>
      </w:r>
    </w:p>
    <w:p w:rsidR="008B491F" w:rsidRPr="00DA196C" w:rsidRDefault="008B491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Zásadní změnou v souvislosti se zavedením </w:t>
      </w:r>
      <w:r w:rsidR="005551DA" w:rsidRPr="00DA196C">
        <w:rPr>
          <w:rFonts w:ascii="Garamond" w:hAnsi="Garamond"/>
          <w:sz w:val="24"/>
          <w:szCs w:val="24"/>
        </w:rPr>
        <w:t>úřednického procesu</w:t>
      </w:r>
      <w:r w:rsidRPr="00DA196C">
        <w:rPr>
          <w:rFonts w:ascii="Garamond" w:hAnsi="Garamond"/>
          <w:sz w:val="24"/>
          <w:szCs w:val="24"/>
        </w:rPr>
        <w:t xml:space="preserve"> bylo vymizení členění řízení do dvou stádií in iure a </w:t>
      </w:r>
      <w:proofErr w:type="spellStart"/>
      <w:r w:rsidRPr="00E20293">
        <w:rPr>
          <w:rFonts w:ascii="Garamond" w:hAnsi="Garamond"/>
          <w:i/>
          <w:sz w:val="24"/>
          <w:szCs w:val="24"/>
        </w:rPr>
        <w:t>apud</w:t>
      </w:r>
      <w:proofErr w:type="spellEnd"/>
      <w:r w:rsidRPr="00E20293">
        <w:rPr>
          <w:rFonts w:ascii="Garamond" w:hAnsi="Garamond"/>
          <w:i/>
          <w:sz w:val="24"/>
          <w:szCs w:val="24"/>
        </w:rPr>
        <w:t xml:space="preserve"> </w:t>
      </w:r>
      <w:proofErr w:type="spellStart"/>
      <w:r w:rsidRPr="00E20293">
        <w:rPr>
          <w:rFonts w:ascii="Garamond" w:hAnsi="Garamond"/>
          <w:i/>
          <w:sz w:val="24"/>
          <w:szCs w:val="24"/>
        </w:rPr>
        <w:t>iducim</w:t>
      </w:r>
      <w:proofErr w:type="spellEnd"/>
      <w:r w:rsidRPr="00DA196C">
        <w:rPr>
          <w:rFonts w:ascii="Garamond" w:hAnsi="Garamond"/>
          <w:sz w:val="24"/>
          <w:szCs w:val="24"/>
        </w:rPr>
        <w:t>, kdy celý spor se vedl před jedním soudním úředníkem. Další změnou bylo rozdělení soudů na nižší a vyšší a připuštění odvolacího řízení.</w:t>
      </w:r>
    </w:p>
    <w:p w:rsidR="00426098" w:rsidRPr="00DA196C" w:rsidRDefault="004C626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K zahájení procesu bylo zapotřebí obeslat žalovaného. V </w:t>
      </w:r>
      <w:proofErr w:type="spellStart"/>
      <w:r w:rsidRPr="00DA196C">
        <w:rPr>
          <w:rFonts w:ascii="Garamond" w:hAnsi="Garamond"/>
          <w:sz w:val="24"/>
          <w:szCs w:val="24"/>
        </w:rPr>
        <w:t>legisakčním</w:t>
      </w:r>
      <w:proofErr w:type="spellEnd"/>
      <w:r w:rsidRPr="00DA196C">
        <w:rPr>
          <w:rFonts w:ascii="Garamond" w:hAnsi="Garamond"/>
          <w:sz w:val="24"/>
          <w:szCs w:val="24"/>
        </w:rPr>
        <w:t xml:space="preserve"> a formulovém procesu bylo na žalobci, aby žalovaného obeslal, kdežto za dob úřednického procesu se užívalo úředního obeslání strany. Obeslání mohlo proběhnout několika způsoby. Obeslání </w:t>
      </w:r>
      <w:proofErr w:type="spellStart"/>
      <w:r w:rsidR="007B6259" w:rsidRPr="00E20293">
        <w:rPr>
          <w:rFonts w:ascii="Garamond" w:hAnsi="Garamond"/>
          <w:i/>
          <w:sz w:val="24"/>
          <w:szCs w:val="24"/>
        </w:rPr>
        <w:t>denuntiatione</w:t>
      </w:r>
      <w:proofErr w:type="spellEnd"/>
      <w:r w:rsidR="007B6259" w:rsidRPr="00DA196C">
        <w:rPr>
          <w:rFonts w:ascii="Garamond" w:hAnsi="Garamond"/>
          <w:sz w:val="24"/>
          <w:szCs w:val="24"/>
        </w:rPr>
        <w:t xml:space="preserve"> bylo nejvíce podobné tomu, jak probíhalo obeslání před nástupem úřednického procesu, jelikož obeslání žalovaného prováděl sám žalobce, tento byl však nově k obeslání soudem zmocněn. </w:t>
      </w:r>
      <w:r w:rsidR="00BF3637" w:rsidRPr="00DA196C">
        <w:rPr>
          <w:rFonts w:ascii="Garamond" w:hAnsi="Garamond"/>
          <w:sz w:val="24"/>
          <w:szCs w:val="24"/>
        </w:rPr>
        <w:t>Byla zde stanovena čtyřměsíční lhůta k zahájení soudního roku. Jestliže se žalovaný v této lhůtě k soudnímu jednání nedostavil, následovalo kontumační řízení</w:t>
      </w:r>
      <w:r w:rsidR="00E20293">
        <w:rPr>
          <w:rFonts w:ascii="Garamond" w:hAnsi="Garamond"/>
          <w:sz w:val="24"/>
          <w:szCs w:val="24"/>
        </w:rPr>
        <w:t>.</w:t>
      </w:r>
      <w:r w:rsidR="00144132" w:rsidRPr="00DA196C">
        <w:rPr>
          <w:rStyle w:val="Znakapoznpodarou"/>
          <w:rFonts w:ascii="Garamond" w:hAnsi="Garamond"/>
          <w:sz w:val="24"/>
          <w:szCs w:val="24"/>
        </w:rPr>
        <w:footnoteReference w:id="31"/>
      </w:r>
      <w:r w:rsidR="00BF3637" w:rsidRPr="00DA196C">
        <w:rPr>
          <w:rFonts w:ascii="Garamond" w:hAnsi="Garamond"/>
          <w:sz w:val="24"/>
          <w:szCs w:val="24"/>
        </w:rPr>
        <w:t xml:space="preserve"> Jestliže byl nečinný žalobce, znamenalo to </w:t>
      </w:r>
      <w:r w:rsidR="00AF186B" w:rsidRPr="00DA196C">
        <w:rPr>
          <w:rFonts w:ascii="Garamond" w:hAnsi="Garamond"/>
          <w:sz w:val="24"/>
          <w:szCs w:val="24"/>
        </w:rPr>
        <w:t xml:space="preserve">pro něj </w:t>
      </w:r>
      <w:r w:rsidR="00BF3637" w:rsidRPr="00DA196C">
        <w:rPr>
          <w:rFonts w:ascii="Garamond" w:hAnsi="Garamond"/>
          <w:sz w:val="24"/>
          <w:szCs w:val="24"/>
        </w:rPr>
        <w:t xml:space="preserve">prohru sporu. </w:t>
      </w:r>
      <w:r w:rsidR="007B6259" w:rsidRPr="00DA196C">
        <w:rPr>
          <w:rFonts w:ascii="Garamond" w:hAnsi="Garamond"/>
          <w:sz w:val="24"/>
          <w:szCs w:val="24"/>
        </w:rPr>
        <w:t xml:space="preserve">Další možností bylo obeslání </w:t>
      </w:r>
      <w:proofErr w:type="spellStart"/>
      <w:r w:rsidR="007B6259" w:rsidRPr="00E20293">
        <w:rPr>
          <w:rFonts w:ascii="Garamond" w:hAnsi="Garamond"/>
          <w:i/>
          <w:sz w:val="24"/>
          <w:szCs w:val="24"/>
        </w:rPr>
        <w:t>edicto</w:t>
      </w:r>
      <w:proofErr w:type="spellEnd"/>
      <w:r w:rsidR="007B6259" w:rsidRPr="00DA196C">
        <w:rPr>
          <w:rFonts w:ascii="Garamond" w:hAnsi="Garamond"/>
          <w:sz w:val="24"/>
          <w:szCs w:val="24"/>
        </w:rPr>
        <w:t xml:space="preserve">, které probíhalo tak, že byl vydán </w:t>
      </w:r>
      <w:proofErr w:type="spellStart"/>
      <w:r w:rsidR="007B6259" w:rsidRPr="00DA196C">
        <w:rPr>
          <w:rFonts w:ascii="Garamond" w:hAnsi="Garamond"/>
          <w:sz w:val="24"/>
          <w:szCs w:val="24"/>
        </w:rPr>
        <w:t>obesílací</w:t>
      </w:r>
      <w:proofErr w:type="spellEnd"/>
      <w:r w:rsidR="007B6259" w:rsidRPr="00DA196C">
        <w:rPr>
          <w:rFonts w:ascii="Garamond" w:hAnsi="Garamond"/>
          <w:sz w:val="24"/>
          <w:szCs w:val="24"/>
        </w:rPr>
        <w:t xml:space="preserve"> dekret a tento byl následně vyvěšen. Tento způsob obeslání se užíval zejména, byl-li žalovaný neznámého pobytu. Třetí možností pak bylo obeslání  </w:t>
      </w:r>
      <w:proofErr w:type="spellStart"/>
      <w:r w:rsidR="007B6259" w:rsidRPr="00321BCF">
        <w:rPr>
          <w:rFonts w:ascii="Garamond" w:hAnsi="Garamond"/>
          <w:i/>
          <w:sz w:val="24"/>
          <w:szCs w:val="24"/>
        </w:rPr>
        <w:t>litteris</w:t>
      </w:r>
      <w:proofErr w:type="spellEnd"/>
      <w:r w:rsidR="007B6259" w:rsidRPr="00DA196C">
        <w:rPr>
          <w:rFonts w:ascii="Garamond" w:hAnsi="Garamond"/>
          <w:sz w:val="24"/>
          <w:szCs w:val="24"/>
        </w:rPr>
        <w:t>, kdy soud vystavil výzvu k obeslání, žalovaný ji doručil obesílajícímu úřadu v jiném obvodu a tento úřad nakonec provedl obeslání žalovaného. Jak již z</w:t>
      </w:r>
      <w:r w:rsidR="00D11C06" w:rsidRPr="00DA196C">
        <w:rPr>
          <w:rFonts w:ascii="Garamond" w:hAnsi="Garamond"/>
          <w:sz w:val="24"/>
          <w:szCs w:val="24"/>
        </w:rPr>
        <w:t xml:space="preserve"> popsaného</w:t>
      </w:r>
      <w:r w:rsidR="007B6259" w:rsidRPr="00DA196C">
        <w:rPr>
          <w:rFonts w:ascii="Garamond" w:hAnsi="Garamond"/>
          <w:sz w:val="24"/>
          <w:szCs w:val="24"/>
        </w:rPr>
        <w:t> průběhu tohoto způsobu obeslání plyne, užívalo</w:t>
      </w:r>
      <w:r w:rsidR="00D11C06" w:rsidRPr="00DA196C">
        <w:rPr>
          <w:rFonts w:ascii="Garamond" w:hAnsi="Garamond"/>
          <w:sz w:val="24"/>
          <w:szCs w:val="24"/>
        </w:rPr>
        <w:t xml:space="preserve"> se jej v případech, kdy žalovaný bydlel v jiném obvodu, než kde se nacházel soud.</w:t>
      </w:r>
      <w:r w:rsidR="008B491F" w:rsidRPr="00DA196C">
        <w:rPr>
          <w:rStyle w:val="Znakapoznpodarou"/>
          <w:rFonts w:ascii="Garamond" w:hAnsi="Garamond"/>
          <w:sz w:val="24"/>
          <w:szCs w:val="24"/>
        </w:rPr>
        <w:footnoteReference w:id="32"/>
      </w:r>
    </w:p>
    <w:p w:rsidR="005551DA" w:rsidRPr="00DA196C" w:rsidRDefault="00FA602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Výše </w:t>
      </w:r>
      <w:r w:rsidR="00321BCF">
        <w:rPr>
          <w:rFonts w:ascii="Garamond" w:hAnsi="Garamond"/>
          <w:sz w:val="24"/>
          <w:szCs w:val="24"/>
        </w:rPr>
        <w:t>zmíněný</w:t>
      </w:r>
      <w:r w:rsidRPr="00DA196C">
        <w:rPr>
          <w:rFonts w:ascii="Garamond" w:hAnsi="Garamond"/>
          <w:sz w:val="24"/>
          <w:szCs w:val="24"/>
        </w:rPr>
        <w:t xml:space="preserve"> denunciační </w:t>
      </w:r>
      <w:r w:rsidR="00321BCF" w:rsidRPr="00DA196C">
        <w:rPr>
          <w:rFonts w:ascii="Garamond" w:hAnsi="Garamond"/>
          <w:sz w:val="24"/>
          <w:szCs w:val="24"/>
        </w:rPr>
        <w:t xml:space="preserve">proces </w:t>
      </w:r>
      <w:r w:rsidR="00321BCF">
        <w:rPr>
          <w:rFonts w:ascii="Garamond" w:hAnsi="Garamond"/>
          <w:sz w:val="24"/>
          <w:szCs w:val="24"/>
        </w:rPr>
        <w:t>byl v 5. s</w:t>
      </w:r>
      <w:r w:rsidRPr="00DA196C">
        <w:rPr>
          <w:rFonts w:ascii="Garamond" w:hAnsi="Garamond"/>
          <w:sz w:val="24"/>
          <w:szCs w:val="24"/>
        </w:rPr>
        <w:t xml:space="preserve">toletí nahrazen procesem </w:t>
      </w:r>
      <w:proofErr w:type="spellStart"/>
      <w:r w:rsidRPr="00DA196C">
        <w:rPr>
          <w:rFonts w:ascii="Garamond" w:hAnsi="Garamond"/>
          <w:sz w:val="24"/>
          <w:szCs w:val="24"/>
        </w:rPr>
        <w:t>libellovým</w:t>
      </w:r>
      <w:proofErr w:type="spellEnd"/>
      <w:r w:rsidRPr="00DA196C">
        <w:rPr>
          <w:rFonts w:ascii="Garamond" w:hAnsi="Garamond"/>
          <w:sz w:val="24"/>
          <w:szCs w:val="24"/>
        </w:rPr>
        <w:t xml:space="preserve">. Zde probíhalo obeslání žalovaného tak, že žalobce učinil u příslušného soudního úřadu podání zvané </w:t>
      </w:r>
      <w:proofErr w:type="spellStart"/>
      <w:r w:rsidRPr="00321BCF">
        <w:rPr>
          <w:rFonts w:ascii="Garamond" w:hAnsi="Garamond"/>
          <w:i/>
          <w:sz w:val="24"/>
          <w:szCs w:val="24"/>
        </w:rPr>
        <w:t>libellus</w:t>
      </w:r>
      <w:proofErr w:type="spellEnd"/>
      <w:r w:rsidRPr="00321BCF">
        <w:rPr>
          <w:rFonts w:ascii="Garamond" w:hAnsi="Garamond"/>
          <w:i/>
          <w:sz w:val="24"/>
          <w:szCs w:val="24"/>
        </w:rPr>
        <w:t xml:space="preserve"> </w:t>
      </w:r>
      <w:proofErr w:type="spellStart"/>
      <w:r w:rsidRPr="00321BCF">
        <w:rPr>
          <w:rFonts w:ascii="Garamond" w:hAnsi="Garamond"/>
          <w:i/>
          <w:sz w:val="24"/>
          <w:szCs w:val="24"/>
        </w:rPr>
        <w:t>conventionis</w:t>
      </w:r>
      <w:proofErr w:type="spellEnd"/>
      <w:r w:rsidRPr="00DA196C">
        <w:rPr>
          <w:rFonts w:ascii="Garamond" w:hAnsi="Garamond"/>
          <w:sz w:val="24"/>
          <w:szCs w:val="24"/>
        </w:rPr>
        <w:t xml:space="preserve">. Jednalo se o jakousi žádost žalobce o soudní obeslání žalovaného, přičemž </w:t>
      </w:r>
      <w:r w:rsidRPr="00DA196C">
        <w:rPr>
          <w:rFonts w:ascii="Garamond" w:hAnsi="Garamond"/>
          <w:sz w:val="24"/>
          <w:szCs w:val="24"/>
        </w:rPr>
        <w:lastRenderedPageBreak/>
        <w:t xml:space="preserve">podání obsahovalo jednostranné určení sporné věci, především vymezení předmětu žaloby a žalobního důvodu. </w:t>
      </w:r>
      <w:r w:rsidR="00CF0043" w:rsidRPr="00DA196C">
        <w:rPr>
          <w:rFonts w:ascii="Garamond" w:hAnsi="Garamond"/>
          <w:sz w:val="24"/>
          <w:szCs w:val="24"/>
        </w:rPr>
        <w:t xml:space="preserve">Žalobce musel v souvislosti s tímto podáním také složit jistotu, že se bude řádně účastnit sporu. </w:t>
      </w:r>
      <w:r w:rsidRPr="00DA196C">
        <w:rPr>
          <w:rFonts w:ascii="Garamond" w:hAnsi="Garamond"/>
          <w:sz w:val="24"/>
          <w:szCs w:val="24"/>
        </w:rPr>
        <w:t xml:space="preserve">Obeslání doručoval žalovanému exekutor, který jej zároveň vyrozuměl, aby žalobce buď uspokojil, nebo se proti žalobě bránil. </w:t>
      </w:r>
      <w:r w:rsidR="00E60013" w:rsidRPr="00DA196C">
        <w:rPr>
          <w:rFonts w:ascii="Garamond" w:hAnsi="Garamond"/>
          <w:sz w:val="24"/>
          <w:szCs w:val="24"/>
        </w:rPr>
        <w:t xml:space="preserve">Žalovaný byl povinen </w:t>
      </w:r>
      <w:proofErr w:type="spellStart"/>
      <w:r w:rsidR="00E60013" w:rsidRPr="00321BCF">
        <w:rPr>
          <w:rFonts w:ascii="Garamond" w:hAnsi="Garamond"/>
          <w:i/>
          <w:sz w:val="24"/>
          <w:szCs w:val="24"/>
        </w:rPr>
        <w:t>libellus</w:t>
      </w:r>
      <w:proofErr w:type="spellEnd"/>
      <w:r w:rsidR="00E60013" w:rsidRPr="00321BCF">
        <w:rPr>
          <w:rFonts w:ascii="Garamond" w:hAnsi="Garamond"/>
          <w:i/>
          <w:sz w:val="24"/>
          <w:szCs w:val="24"/>
        </w:rPr>
        <w:t xml:space="preserve"> </w:t>
      </w:r>
      <w:proofErr w:type="spellStart"/>
      <w:r w:rsidR="00E60013" w:rsidRPr="00321BCF">
        <w:rPr>
          <w:rFonts w:ascii="Garamond" w:hAnsi="Garamond"/>
          <w:i/>
          <w:sz w:val="24"/>
          <w:szCs w:val="24"/>
        </w:rPr>
        <w:t>conventionis</w:t>
      </w:r>
      <w:proofErr w:type="spellEnd"/>
      <w:r w:rsidR="00E60013" w:rsidRPr="00DA196C">
        <w:rPr>
          <w:rFonts w:ascii="Garamond" w:hAnsi="Garamond"/>
          <w:sz w:val="24"/>
          <w:szCs w:val="24"/>
        </w:rPr>
        <w:t xml:space="preserve"> přijmout, </w:t>
      </w:r>
      <w:r w:rsidR="00CF0043" w:rsidRPr="00DA196C">
        <w:rPr>
          <w:rFonts w:ascii="Garamond" w:hAnsi="Garamond"/>
          <w:sz w:val="24"/>
          <w:szCs w:val="24"/>
        </w:rPr>
        <w:t>vyjádřit své stanovisko k žalobě</w:t>
      </w:r>
      <w:r w:rsidRPr="00DA196C">
        <w:rPr>
          <w:rFonts w:ascii="Garamond" w:hAnsi="Garamond"/>
          <w:sz w:val="24"/>
          <w:szCs w:val="24"/>
        </w:rPr>
        <w:t xml:space="preserve"> </w:t>
      </w:r>
      <w:r w:rsidR="00E60013" w:rsidRPr="00DA196C">
        <w:rPr>
          <w:rFonts w:ascii="Garamond" w:hAnsi="Garamond"/>
          <w:sz w:val="24"/>
          <w:szCs w:val="24"/>
        </w:rPr>
        <w:t xml:space="preserve">pomocí tzv. </w:t>
      </w:r>
      <w:proofErr w:type="spellStart"/>
      <w:r w:rsidRPr="00321BCF">
        <w:rPr>
          <w:rFonts w:ascii="Garamond" w:hAnsi="Garamond"/>
          <w:i/>
          <w:sz w:val="24"/>
          <w:szCs w:val="24"/>
        </w:rPr>
        <w:t>libellus</w:t>
      </w:r>
      <w:proofErr w:type="spellEnd"/>
      <w:r w:rsidRPr="00321BCF">
        <w:rPr>
          <w:rFonts w:ascii="Garamond" w:hAnsi="Garamond"/>
          <w:i/>
          <w:sz w:val="24"/>
          <w:szCs w:val="24"/>
        </w:rPr>
        <w:t xml:space="preserve"> </w:t>
      </w:r>
      <w:proofErr w:type="spellStart"/>
      <w:r w:rsidRPr="00321BCF">
        <w:rPr>
          <w:rFonts w:ascii="Garamond" w:hAnsi="Garamond"/>
          <w:i/>
          <w:sz w:val="24"/>
          <w:szCs w:val="24"/>
        </w:rPr>
        <w:t>contradictionis</w:t>
      </w:r>
      <w:proofErr w:type="spellEnd"/>
      <w:r w:rsidR="00E60013" w:rsidRPr="00DA196C">
        <w:rPr>
          <w:rFonts w:ascii="Garamond" w:hAnsi="Garamond"/>
          <w:sz w:val="24"/>
          <w:szCs w:val="24"/>
        </w:rPr>
        <w:t xml:space="preserve"> a zaplatit exekutorovi soudní poplatek</w:t>
      </w:r>
      <w:r w:rsidRPr="00DA196C">
        <w:rPr>
          <w:rFonts w:ascii="Garamond" w:hAnsi="Garamond"/>
          <w:sz w:val="24"/>
          <w:szCs w:val="24"/>
        </w:rPr>
        <w:t>.</w:t>
      </w:r>
      <w:r w:rsidR="00E60013" w:rsidRPr="00DA196C">
        <w:rPr>
          <w:rFonts w:ascii="Garamond" w:hAnsi="Garamond"/>
          <w:sz w:val="24"/>
          <w:szCs w:val="24"/>
        </w:rPr>
        <w:t xml:space="preserve"> Dále se musel zaručit, že se bude řádně účastnit sporu.</w:t>
      </w:r>
      <w:r w:rsidR="00E60013" w:rsidRPr="00DA196C">
        <w:rPr>
          <w:rStyle w:val="Znakapoznpodarou"/>
          <w:rFonts w:ascii="Garamond" w:hAnsi="Garamond"/>
          <w:sz w:val="24"/>
          <w:szCs w:val="24"/>
        </w:rPr>
        <w:footnoteReference w:id="33"/>
      </w:r>
      <w:r w:rsidRPr="00DA196C">
        <w:rPr>
          <w:rFonts w:ascii="Garamond" w:hAnsi="Garamond"/>
          <w:sz w:val="24"/>
          <w:szCs w:val="24"/>
        </w:rPr>
        <w:t xml:space="preserve"> </w:t>
      </w:r>
    </w:p>
    <w:p w:rsidR="00D11C06" w:rsidRPr="00DA196C" w:rsidRDefault="00CF004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Před projednáním věci samé se ještě soudce přesvědčil, zda jsou splněny všechny formální podmínky pro vedení řízení. Následovalo ústní přednesení sporné věci žalobcem (</w:t>
      </w:r>
      <w:proofErr w:type="spellStart"/>
      <w:r w:rsidRPr="00321BCF">
        <w:rPr>
          <w:rFonts w:ascii="Garamond" w:hAnsi="Garamond"/>
          <w:i/>
          <w:sz w:val="24"/>
          <w:szCs w:val="24"/>
        </w:rPr>
        <w:t>narratio</w:t>
      </w:r>
      <w:proofErr w:type="spellEnd"/>
      <w:r w:rsidRPr="00321BCF">
        <w:rPr>
          <w:rFonts w:ascii="Garamond" w:hAnsi="Garamond"/>
          <w:i/>
          <w:sz w:val="24"/>
          <w:szCs w:val="24"/>
        </w:rPr>
        <w:t xml:space="preserve"> </w:t>
      </w:r>
      <w:proofErr w:type="spellStart"/>
      <w:r w:rsidRPr="00321BCF">
        <w:rPr>
          <w:rFonts w:ascii="Garamond" w:hAnsi="Garamond"/>
          <w:i/>
          <w:sz w:val="24"/>
          <w:szCs w:val="24"/>
        </w:rPr>
        <w:t>negotii</w:t>
      </w:r>
      <w:proofErr w:type="spellEnd"/>
      <w:r w:rsidRPr="00DA196C">
        <w:rPr>
          <w:rFonts w:ascii="Garamond" w:hAnsi="Garamond"/>
          <w:sz w:val="24"/>
          <w:szCs w:val="24"/>
        </w:rPr>
        <w:t>). Násle</w:t>
      </w:r>
      <w:r w:rsidR="004059A9" w:rsidRPr="00DA196C">
        <w:rPr>
          <w:rFonts w:ascii="Garamond" w:hAnsi="Garamond"/>
          <w:sz w:val="24"/>
          <w:szCs w:val="24"/>
        </w:rPr>
        <w:t xml:space="preserve">dně se k věci, co se skutkového stavu týče, </w:t>
      </w:r>
      <w:r w:rsidRPr="00DA196C">
        <w:rPr>
          <w:rFonts w:ascii="Garamond" w:hAnsi="Garamond"/>
          <w:sz w:val="24"/>
          <w:szCs w:val="24"/>
        </w:rPr>
        <w:t>vy</w:t>
      </w:r>
      <w:r w:rsidR="004B24E7" w:rsidRPr="00DA196C">
        <w:rPr>
          <w:rFonts w:ascii="Garamond" w:hAnsi="Garamond"/>
          <w:sz w:val="24"/>
          <w:szCs w:val="24"/>
        </w:rPr>
        <w:t>jádřil žalovaný (</w:t>
      </w:r>
      <w:proofErr w:type="spellStart"/>
      <w:r w:rsidR="004B24E7" w:rsidRPr="00321BCF">
        <w:rPr>
          <w:rFonts w:ascii="Garamond" w:hAnsi="Garamond"/>
          <w:i/>
          <w:sz w:val="24"/>
          <w:szCs w:val="24"/>
        </w:rPr>
        <w:t>contradictio</w:t>
      </w:r>
      <w:proofErr w:type="spellEnd"/>
      <w:r w:rsidR="004B24E7" w:rsidRPr="00DA196C">
        <w:rPr>
          <w:rFonts w:ascii="Garamond" w:hAnsi="Garamond"/>
          <w:sz w:val="24"/>
          <w:szCs w:val="24"/>
        </w:rPr>
        <w:t>). Poté, co strany před soudem učinily svá podání</w:t>
      </w:r>
      <w:r w:rsidR="004B24E7" w:rsidRPr="00DA196C">
        <w:rPr>
          <w:rStyle w:val="Znakapoznpodarou"/>
          <w:rFonts w:ascii="Garamond" w:hAnsi="Garamond"/>
          <w:sz w:val="24"/>
          <w:szCs w:val="24"/>
        </w:rPr>
        <w:footnoteReference w:id="34"/>
      </w:r>
      <w:r w:rsidR="004B24E7" w:rsidRPr="00DA196C">
        <w:rPr>
          <w:rFonts w:ascii="Garamond" w:hAnsi="Garamond"/>
          <w:sz w:val="24"/>
          <w:szCs w:val="24"/>
        </w:rPr>
        <w:t xml:space="preserve">, nastala </w:t>
      </w:r>
      <w:proofErr w:type="spellStart"/>
      <w:r w:rsidR="004B24E7" w:rsidRPr="00DA196C">
        <w:rPr>
          <w:rFonts w:ascii="Garamond" w:hAnsi="Garamond"/>
          <w:sz w:val="24"/>
          <w:szCs w:val="24"/>
        </w:rPr>
        <w:t>litiskontestace</w:t>
      </w:r>
      <w:proofErr w:type="spellEnd"/>
      <w:r w:rsidR="004B24E7" w:rsidRPr="00DA196C">
        <w:rPr>
          <w:rFonts w:ascii="Garamond" w:hAnsi="Garamond"/>
          <w:sz w:val="24"/>
          <w:szCs w:val="24"/>
        </w:rPr>
        <w:t xml:space="preserve">. Důsledkem </w:t>
      </w:r>
      <w:proofErr w:type="spellStart"/>
      <w:r w:rsidR="004B24E7" w:rsidRPr="00DA196C">
        <w:rPr>
          <w:rFonts w:ascii="Garamond" w:hAnsi="Garamond"/>
          <w:sz w:val="24"/>
          <w:szCs w:val="24"/>
        </w:rPr>
        <w:t>litiskontestace</w:t>
      </w:r>
      <w:proofErr w:type="spellEnd"/>
      <w:r w:rsidR="004B24E7" w:rsidRPr="00DA196C">
        <w:rPr>
          <w:rFonts w:ascii="Garamond" w:hAnsi="Garamond"/>
          <w:sz w:val="24"/>
          <w:szCs w:val="24"/>
        </w:rPr>
        <w:t xml:space="preserve"> byla nemožnost podání nové žaloby, pokud ještě trvalo řízení o původní žalobě (</w:t>
      </w:r>
      <w:r w:rsidR="004B24E7" w:rsidRPr="00321BCF">
        <w:rPr>
          <w:rFonts w:ascii="Garamond" w:hAnsi="Garamond"/>
          <w:i/>
          <w:sz w:val="24"/>
          <w:szCs w:val="24"/>
        </w:rPr>
        <w:t xml:space="preserve">lis </w:t>
      </w:r>
      <w:proofErr w:type="spellStart"/>
      <w:r w:rsidR="004B24E7" w:rsidRPr="00321BCF">
        <w:rPr>
          <w:rFonts w:ascii="Garamond" w:hAnsi="Garamond"/>
          <w:i/>
          <w:sz w:val="24"/>
          <w:szCs w:val="24"/>
        </w:rPr>
        <w:t>pendens</w:t>
      </w:r>
      <w:proofErr w:type="spellEnd"/>
      <w:r w:rsidR="004B24E7" w:rsidRPr="00DA196C">
        <w:rPr>
          <w:rFonts w:ascii="Garamond" w:hAnsi="Garamond"/>
          <w:sz w:val="24"/>
          <w:szCs w:val="24"/>
        </w:rPr>
        <w:t xml:space="preserve">). Žalovaný nemohl po </w:t>
      </w:r>
      <w:proofErr w:type="spellStart"/>
      <w:r w:rsidR="004B24E7" w:rsidRPr="00DA196C">
        <w:rPr>
          <w:rFonts w:ascii="Garamond" w:hAnsi="Garamond"/>
          <w:sz w:val="24"/>
          <w:szCs w:val="24"/>
        </w:rPr>
        <w:t>litiskontestaci</w:t>
      </w:r>
      <w:proofErr w:type="spellEnd"/>
      <w:r w:rsidR="004B24E7" w:rsidRPr="00DA196C">
        <w:rPr>
          <w:rFonts w:ascii="Garamond" w:hAnsi="Garamond"/>
          <w:sz w:val="24"/>
          <w:szCs w:val="24"/>
        </w:rPr>
        <w:t xml:space="preserve"> již odmítnout soudce ani uplatnit žádné námitky. Od </w:t>
      </w:r>
      <w:proofErr w:type="spellStart"/>
      <w:r w:rsidR="004B24E7" w:rsidRPr="00DA196C">
        <w:rPr>
          <w:rFonts w:ascii="Garamond" w:hAnsi="Garamond"/>
          <w:sz w:val="24"/>
          <w:szCs w:val="24"/>
        </w:rPr>
        <w:t>litiskontestace</w:t>
      </w:r>
      <w:proofErr w:type="spellEnd"/>
      <w:r w:rsidR="004B24E7" w:rsidRPr="00DA196C">
        <w:rPr>
          <w:rFonts w:ascii="Garamond" w:hAnsi="Garamond"/>
          <w:sz w:val="24"/>
          <w:szCs w:val="24"/>
        </w:rPr>
        <w:t xml:space="preserve"> počínala běžet lhůta 3 let pro vyřízení sporu. Následně</w:t>
      </w:r>
      <w:r w:rsidRPr="00DA196C">
        <w:rPr>
          <w:rFonts w:ascii="Garamond" w:hAnsi="Garamond"/>
          <w:sz w:val="24"/>
          <w:szCs w:val="24"/>
        </w:rPr>
        <w:t xml:space="preserve"> obě strany složily přísahu </w:t>
      </w:r>
      <w:proofErr w:type="spellStart"/>
      <w:r w:rsidRPr="00321BCF">
        <w:rPr>
          <w:rFonts w:ascii="Garamond" w:hAnsi="Garamond"/>
          <w:i/>
          <w:sz w:val="24"/>
          <w:szCs w:val="24"/>
        </w:rPr>
        <w:t>ius</w:t>
      </w:r>
      <w:proofErr w:type="spellEnd"/>
      <w:r w:rsidRPr="00321BCF">
        <w:rPr>
          <w:rFonts w:ascii="Garamond" w:hAnsi="Garamond"/>
          <w:i/>
          <w:sz w:val="24"/>
          <w:szCs w:val="24"/>
        </w:rPr>
        <w:t xml:space="preserve"> </w:t>
      </w:r>
      <w:proofErr w:type="spellStart"/>
      <w:r w:rsidRPr="00321BCF">
        <w:rPr>
          <w:rFonts w:ascii="Garamond" w:hAnsi="Garamond"/>
          <w:i/>
          <w:sz w:val="24"/>
          <w:szCs w:val="24"/>
        </w:rPr>
        <w:t>iurandum</w:t>
      </w:r>
      <w:proofErr w:type="spellEnd"/>
      <w:r w:rsidRPr="00321BCF">
        <w:rPr>
          <w:rFonts w:ascii="Garamond" w:hAnsi="Garamond"/>
          <w:i/>
          <w:sz w:val="24"/>
          <w:szCs w:val="24"/>
        </w:rPr>
        <w:t xml:space="preserve"> proper </w:t>
      </w:r>
      <w:proofErr w:type="spellStart"/>
      <w:r w:rsidRPr="00321BCF">
        <w:rPr>
          <w:rFonts w:ascii="Garamond" w:hAnsi="Garamond"/>
          <w:i/>
          <w:sz w:val="24"/>
          <w:szCs w:val="24"/>
        </w:rPr>
        <w:t>calumniam</w:t>
      </w:r>
      <w:proofErr w:type="spellEnd"/>
      <w:r w:rsidR="00945D37" w:rsidRPr="00DA196C">
        <w:rPr>
          <w:rFonts w:ascii="Garamond" w:hAnsi="Garamond"/>
          <w:sz w:val="24"/>
          <w:szCs w:val="24"/>
        </w:rPr>
        <w:t xml:space="preserve">, tedy že vedou spor poctivě, a totéž </w:t>
      </w:r>
      <w:r w:rsidR="004059A9" w:rsidRPr="00DA196C">
        <w:rPr>
          <w:rFonts w:ascii="Garamond" w:hAnsi="Garamond"/>
          <w:sz w:val="24"/>
          <w:szCs w:val="24"/>
        </w:rPr>
        <w:t xml:space="preserve">učinili i advokáti, kteří </w:t>
      </w:r>
      <w:r w:rsidR="004B24E7" w:rsidRPr="00DA196C">
        <w:rPr>
          <w:rFonts w:ascii="Garamond" w:hAnsi="Garamond"/>
          <w:sz w:val="24"/>
          <w:szCs w:val="24"/>
        </w:rPr>
        <w:t>poté</w:t>
      </w:r>
      <w:r w:rsidR="004059A9" w:rsidRPr="00DA196C">
        <w:rPr>
          <w:rFonts w:ascii="Garamond" w:hAnsi="Garamond"/>
          <w:sz w:val="24"/>
          <w:szCs w:val="24"/>
        </w:rPr>
        <w:t xml:space="preserve"> rozebrali případ z právní stránky.</w:t>
      </w:r>
      <w:r w:rsidR="00BC4148" w:rsidRPr="00DA196C">
        <w:rPr>
          <w:rStyle w:val="Znakapoznpodarou"/>
          <w:rFonts w:ascii="Garamond" w:hAnsi="Garamond"/>
          <w:sz w:val="24"/>
          <w:szCs w:val="24"/>
        </w:rPr>
        <w:footnoteReference w:id="35"/>
      </w:r>
      <w:r w:rsidR="004059A9" w:rsidRPr="00DA196C">
        <w:rPr>
          <w:rFonts w:ascii="Garamond" w:hAnsi="Garamond"/>
          <w:sz w:val="24"/>
          <w:szCs w:val="24"/>
        </w:rPr>
        <w:t xml:space="preserve"> </w:t>
      </w:r>
    </w:p>
    <w:p w:rsidR="00DA72B2" w:rsidRPr="00DA196C" w:rsidRDefault="004B24E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Následovalo provádění a hodnocení důkazů</w:t>
      </w:r>
      <w:r w:rsidR="00BC4148" w:rsidRPr="00DA196C">
        <w:rPr>
          <w:rFonts w:ascii="Garamond" w:hAnsi="Garamond"/>
          <w:sz w:val="24"/>
          <w:szCs w:val="24"/>
        </w:rPr>
        <w:t xml:space="preserve"> a vyvrcholením řízení bylo vydání konečného rozsudku (</w:t>
      </w:r>
      <w:proofErr w:type="spellStart"/>
      <w:r w:rsidR="00BC4148" w:rsidRPr="00321BCF">
        <w:rPr>
          <w:rFonts w:ascii="Garamond" w:hAnsi="Garamond"/>
          <w:i/>
          <w:sz w:val="24"/>
          <w:szCs w:val="24"/>
        </w:rPr>
        <w:t>sententia</w:t>
      </w:r>
      <w:proofErr w:type="spellEnd"/>
      <w:r w:rsidR="00BC4148" w:rsidRPr="00321BCF">
        <w:rPr>
          <w:rFonts w:ascii="Garamond" w:hAnsi="Garamond"/>
          <w:i/>
          <w:sz w:val="24"/>
          <w:szCs w:val="24"/>
        </w:rPr>
        <w:t xml:space="preserve"> </w:t>
      </w:r>
      <w:proofErr w:type="spellStart"/>
      <w:r w:rsidR="00BC4148" w:rsidRPr="00321BCF">
        <w:rPr>
          <w:rFonts w:ascii="Garamond" w:hAnsi="Garamond"/>
          <w:i/>
          <w:sz w:val="24"/>
          <w:szCs w:val="24"/>
        </w:rPr>
        <w:t>terminalis</w:t>
      </w:r>
      <w:proofErr w:type="spellEnd"/>
      <w:r w:rsidR="00BC4148" w:rsidRPr="00DA196C">
        <w:rPr>
          <w:rFonts w:ascii="Garamond" w:hAnsi="Garamond"/>
          <w:sz w:val="24"/>
          <w:szCs w:val="24"/>
        </w:rPr>
        <w:t>) soudcem</w:t>
      </w:r>
      <w:r w:rsidR="00442DBA" w:rsidRPr="00DA196C">
        <w:rPr>
          <w:rFonts w:ascii="Garamond" w:hAnsi="Garamond"/>
          <w:sz w:val="24"/>
          <w:szCs w:val="24"/>
        </w:rPr>
        <w:t xml:space="preserve">, který musel být vyhotoven písemně a </w:t>
      </w:r>
      <w:r w:rsidR="00144132" w:rsidRPr="00DA196C">
        <w:rPr>
          <w:rFonts w:ascii="Garamond" w:hAnsi="Garamond"/>
          <w:sz w:val="24"/>
          <w:szCs w:val="24"/>
        </w:rPr>
        <w:t>stranám vyhlášen</w:t>
      </w:r>
      <w:r w:rsidR="00BC4148" w:rsidRPr="00DA196C">
        <w:rPr>
          <w:rFonts w:ascii="Garamond" w:hAnsi="Garamond"/>
          <w:sz w:val="24"/>
          <w:szCs w:val="24"/>
        </w:rPr>
        <w:t>.</w:t>
      </w:r>
      <w:r w:rsidR="005A14D7" w:rsidRPr="00DA196C">
        <w:rPr>
          <w:rFonts w:ascii="Garamond" w:hAnsi="Garamond"/>
          <w:sz w:val="24"/>
          <w:szCs w:val="24"/>
        </w:rPr>
        <w:t xml:space="preserve"> Jestliže soudce dospěl během řízení k závěru, že byla dána žalobcem tvrzená právní povinnost žalovaného, vynesl odsuzující rozsudek. V opačném případě vynesl rozsudek osvobozující. V průběhu řízení bylo možno vydávat též rozsudky částečné</w:t>
      </w:r>
      <w:r w:rsidR="00DA72B2" w:rsidRPr="00DA196C">
        <w:rPr>
          <w:rFonts w:ascii="Garamond" w:hAnsi="Garamond"/>
          <w:sz w:val="24"/>
          <w:szCs w:val="24"/>
        </w:rPr>
        <w:t xml:space="preserve">. Novinkou oproti procesu </w:t>
      </w:r>
      <w:proofErr w:type="spellStart"/>
      <w:r w:rsidR="00DA72B2" w:rsidRPr="00DA196C">
        <w:rPr>
          <w:rFonts w:ascii="Garamond" w:hAnsi="Garamond"/>
          <w:sz w:val="24"/>
          <w:szCs w:val="24"/>
        </w:rPr>
        <w:t>legisakčnímu</w:t>
      </w:r>
      <w:proofErr w:type="spellEnd"/>
      <w:r w:rsidR="00DA72B2" w:rsidRPr="00DA196C">
        <w:rPr>
          <w:rFonts w:ascii="Garamond" w:hAnsi="Garamond"/>
          <w:sz w:val="24"/>
          <w:szCs w:val="24"/>
        </w:rPr>
        <w:t xml:space="preserve"> a formulovému bylo zrušení zásady pekuniární kondemnace. To při </w:t>
      </w:r>
      <w:proofErr w:type="spellStart"/>
      <w:r w:rsidR="00DA72B2" w:rsidRPr="00DA196C">
        <w:rPr>
          <w:rFonts w:ascii="Garamond" w:hAnsi="Garamond"/>
          <w:sz w:val="24"/>
          <w:szCs w:val="24"/>
        </w:rPr>
        <w:t>reivindikační</w:t>
      </w:r>
      <w:proofErr w:type="spellEnd"/>
      <w:r w:rsidR="00DA72B2" w:rsidRPr="00DA196C">
        <w:rPr>
          <w:rFonts w:ascii="Garamond" w:hAnsi="Garamond"/>
          <w:sz w:val="24"/>
          <w:szCs w:val="24"/>
        </w:rPr>
        <w:t xml:space="preserve"> žalobě znamenalo, že na rozdíl od dřívějších dob bylo možno</w:t>
      </w:r>
      <w:r w:rsidR="005D1988" w:rsidRPr="00DA196C">
        <w:rPr>
          <w:rFonts w:ascii="Garamond" w:hAnsi="Garamond"/>
          <w:sz w:val="24"/>
          <w:szCs w:val="24"/>
        </w:rPr>
        <w:t xml:space="preserve"> v úřednickém procesu uložit žalovanému povinnost věc vydat a </w:t>
      </w:r>
      <w:r w:rsidR="006B17D9" w:rsidRPr="00DA196C">
        <w:rPr>
          <w:rFonts w:ascii="Garamond" w:hAnsi="Garamond"/>
          <w:sz w:val="24"/>
          <w:szCs w:val="24"/>
        </w:rPr>
        <w:t xml:space="preserve">následně </w:t>
      </w:r>
      <w:r w:rsidR="005D1988" w:rsidRPr="00DA196C">
        <w:rPr>
          <w:rFonts w:ascii="Garamond" w:hAnsi="Garamond"/>
          <w:sz w:val="24"/>
          <w:szCs w:val="24"/>
        </w:rPr>
        <w:t>vynutit i skutečné vydání věci</w:t>
      </w:r>
      <w:r w:rsidR="00171B3A" w:rsidRPr="00DA196C">
        <w:rPr>
          <w:rFonts w:ascii="Garamond" w:hAnsi="Garamond"/>
          <w:sz w:val="24"/>
          <w:szCs w:val="24"/>
        </w:rPr>
        <w:t xml:space="preserve"> (násilným odnětím věci)</w:t>
      </w:r>
      <w:r w:rsidR="003C6264" w:rsidRPr="00DA196C">
        <w:rPr>
          <w:rFonts w:ascii="Garamond" w:hAnsi="Garamond"/>
          <w:sz w:val="24"/>
          <w:szCs w:val="24"/>
        </w:rPr>
        <w:t>, jestliže ji žalovaný nechtěl vydat dobrovolně a mohl tak učinit</w:t>
      </w:r>
      <w:r w:rsidR="005D1988" w:rsidRPr="00DA196C">
        <w:rPr>
          <w:rFonts w:ascii="Garamond" w:hAnsi="Garamond"/>
          <w:sz w:val="24"/>
          <w:szCs w:val="24"/>
        </w:rPr>
        <w:t>.</w:t>
      </w:r>
      <w:r w:rsidR="005D1988" w:rsidRPr="00DA196C">
        <w:rPr>
          <w:rStyle w:val="Znakapoznpodarou"/>
          <w:rFonts w:ascii="Garamond" w:hAnsi="Garamond"/>
          <w:sz w:val="24"/>
          <w:szCs w:val="24"/>
        </w:rPr>
        <w:footnoteReference w:id="36"/>
      </w:r>
      <w:r w:rsidR="005D1988" w:rsidRPr="00DA196C">
        <w:rPr>
          <w:rFonts w:ascii="Garamond" w:hAnsi="Garamond"/>
          <w:sz w:val="24"/>
          <w:szCs w:val="24"/>
        </w:rPr>
        <w:t xml:space="preserve"> </w:t>
      </w:r>
    </w:p>
    <w:p w:rsidR="004B24E7" w:rsidRPr="00DA196C" w:rsidRDefault="00BC414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Na tento rozsudek molo nyní nově navazovat řízení odvolací</w:t>
      </w:r>
      <w:r w:rsidR="00321BCF">
        <w:rPr>
          <w:rFonts w:ascii="Garamond" w:hAnsi="Garamond"/>
          <w:sz w:val="24"/>
          <w:szCs w:val="24"/>
        </w:rPr>
        <w:t>,</w:t>
      </w:r>
      <w:r w:rsidRPr="00DA196C">
        <w:rPr>
          <w:rStyle w:val="Znakapoznpodarou"/>
          <w:rFonts w:ascii="Garamond" w:hAnsi="Garamond"/>
          <w:sz w:val="24"/>
          <w:szCs w:val="24"/>
        </w:rPr>
        <w:footnoteReference w:id="37"/>
      </w:r>
      <w:r w:rsidR="00144132" w:rsidRPr="00DA196C">
        <w:rPr>
          <w:rFonts w:ascii="Garamond" w:hAnsi="Garamond"/>
          <w:sz w:val="24"/>
          <w:szCs w:val="24"/>
        </w:rPr>
        <w:t xml:space="preserve"> kdy docházelo k přezkoumání rozsudku nižšího soudu soudem vyšším.</w:t>
      </w:r>
      <w:r w:rsidR="00527CED" w:rsidRPr="00DA196C">
        <w:rPr>
          <w:rFonts w:ascii="Garamond" w:hAnsi="Garamond"/>
          <w:sz w:val="24"/>
          <w:szCs w:val="24"/>
        </w:rPr>
        <w:t xml:space="preserve"> Odvoláním se strana sporu domáhala nového projednání sporné věci a vydání nového rozsudku. Nebylo možno podat odvolání proti </w:t>
      </w:r>
      <w:r w:rsidR="00832D2E" w:rsidRPr="00DA196C">
        <w:rPr>
          <w:rFonts w:ascii="Garamond" w:hAnsi="Garamond"/>
          <w:sz w:val="24"/>
          <w:szCs w:val="24"/>
        </w:rPr>
        <w:t>rozsudku vynesenému císařem, proti rozsudku vydanému so</w:t>
      </w:r>
      <w:r w:rsidR="00321BCF">
        <w:rPr>
          <w:rFonts w:ascii="Garamond" w:hAnsi="Garamond"/>
          <w:sz w:val="24"/>
          <w:szCs w:val="24"/>
        </w:rPr>
        <w:t>udcem dosazeným císařem s tím, ž</w:t>
      </w:r>
      <w:r w:rsidR="00832D2E" w:rsidRPr="00DA196C">
        <w:rPr>
          <w:rFonts w:ascii="Garamond" w:hAnsi="Garamond"/>
          <w:sz w:val="24"/>
          <w:szCs w:val="24"/>
        </w:rPr>
        <w:t xml:space="preserve">e </w:t>
      </w:r>
      <w:r w:rsidR="00832D2E" w:rsidRPr="00DA196C">
        <w:rPr>
          <w:rFonts w:ascii="Garamond" w:hAnsi="Garamond"/>
          <w:sz w:val="24"/>
          <w:szCs w:val="24"/>
        </w:rPr>
        <w:lastRenderedPageBreak/>
        <w:t xml:space="preserve">je odvolání nepřípustné a také jestliže se strana odvolání vzdala. Odvolání bylo podáváno u soudu, který rozsudek vydal a to buď ústně po vyhlášení rozsudku, nebo písemně skrz tzv. </w:t>
      </w:r>
      <w:proofErr w:type="spellStart"/>
      <w:r w:rsidR="00832D2E" w:rsidRPr="00321BCF">
        <w:rPr>
          <w:rFonts w:ascii="Garamond" w:hAnsi="Garamond"/>
          <w:i/>
          <w:sz w:val="24"/>
          <w:szCs w:val="24"/>
        </w:rPr>
        <w:t>libelli</w:t>
      </w:r>
      <w:proofErr w:type="spellEnd"/>
      <w:r w:rsidR="00832D2E" w:rsidRPr="00321BCF">
        <w:rPr>
          <w:rFonts w:ascii="Garamond" w:hAnsi="Garamond"/>
          <w:i/>
          <w:sz w:val="24"/>
          <w:szCs w:val="24"/>
        </w:rPr>
        <w:t xml:space="preserve"> </w:t>
      </w:r>
      <w:proofErr w:type="spellStart"/>
      <w:r w:rsidR="00832D2E" w:rsidRPr="00321BCF">
        <w:rPr>
          <w:rFonts w:ascii="Garamond" w:hAnsi="Garamond"/>
          <w:i/>
          <w:sz w:val="24"/>
          <w:szCs w:val="24"/>
        </w:rPr>
        <w:t>appellatorii</w:t>
      </w:r>
      <w:proofErr w:type="spellEnd"/>
      <w:r w:rsidR="00832D2E" w:rsidRPr="00DA196C">
        <w:rPr>
          <w:rFonts w:ascii="Garamond" w:hAnsi="Garamond"/>
          <w:sz w:val="24"/>
          <w:szCs w:val="24"/>
        </w:rPr>
        <w:t>, kdy toto podání muselo obsahovat jména stran a označení rozsudku. Pro písemné podání byla stanovena nejdříve lhůta 2 – 3 dny, za Justiniána pak 10 dní.</w:t>
      </w:r>
      <w:r w:rsidR="00B538AC" w:rsidRPr="00DA196C">
        <w:rPr>
          <w:rFonts w:ascii="Garamond" w:hAnsi="Garamond"/>
          <w:sz w:val="24"/>
          <w:szCs w:val="24"/>
        </w:rPr>
        <w:t xml:space="preserve"> Soud následně odevzdal spisy týkající se daného procesu odvolateli, který tyto následně předložil u odvolacího soudu, kde bylo zahájeno nové řízení a celý případ znovu projednáván. </w:t>
      </w:r>
    </w:p>
    <w:p w:rsidR="00442436" w:rsidRPr="00DA196C" w:rsidRDefault="00442436" w:rsidP="00FA1FF7">
      <w:pPr>
        <w:pStyle w:val="Nadpis2"/>
        <w:contextualSpacing/>
      </w:pPr>
      <w:bookmarkStart w:id="7" w:name="_Toc36031936"/>
      <w:r w:rsidRPr="00DA196C">
        <w:t xml:space="preserve">Předmět </w:t>
      </w:r>
      <w:proofErr w:type="spellStart"/>
      <w:r w:rsidRPr="00DA196C">
        <w:t>reivindikace</w:t>
      </w:r>
      <w:bookmarkEnd w:id="7"/>
      <w:proofErr w:type="spellEnd"/>
    </w:p>
    <w:p w:rsidR="006915D9" w:rsidRPr="00DA196C" w:rsidRDefault="006915D9"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Obecně mohla být předmětem </w:t>
      </w:r>
      <w:proofErr w:type="spellStart"/>
      <w:r w:rsidRPr="00DA196C">
        <w:rPr>
          <w:rFonts w:ascii="Garamond" w:hAnsi="Garamond"/>
          <w:sz w:val="24"/>
          <w:szCs w:val="24"/>
        </w:rPr>
        <w:t>reivindikace</w:t>
      </w:r>
      <w:proofErr w:type="spellEnd"/>
      <w:r w:rsidRPr="00DA196C">
        <w:rPr>
          <w:rFonts w:ascii="Garamond" w:hAnsi="Garamond"/>
          <w:sz w:val="24"/>
          <w:szCs w:val="24"/>
        </w:rPr>
        <w:t xml:space="preserve"> jakákoli individuálně určená jednotlivá věc, ke které mohl mít žalobce vlastnické právo.</w:t>
      </w:r>
      <w:r w:rsidR="003B4E3A" w:rsidRPr="00DA196C">
        <w:rPr>
          <w:rFonts w:ascii="Garamond" w:hAnsi="Garamond"/>
          <w:sz w:val="24"/>
          <w:szCs w:val="24"/>
        </w:rPr>
        <w:t xml:space="preserve"> </w:t>
      </w:r>
      <w:r w:rsidRPr="00DA196C">
        <w:rPr>
          <w:rFonts w:ascii="Garamond" w:hAnsi="Garamond"/>
          <w:sz w:val="24"/>
          <w:szCs w:val="24"/>
        </w:rPr>
        <w:t>Výjimk</w:t>
      </w:r>
      <w:r w:rsidR="00321BCF">
        <w:rPr>
          <w:rFonts w:ascii="Garamond" w:hAnsi="Garamond"/>
          <w:sz w:val="24"/>
          <w:szCs w:val="24"/>
        </w:rPr>
        <w:t xml:space="preserve">ou bylo </w:t>
      </w:r>
      <w:proofErr w:type="spellStart"/>
      <w:r w:rsidRPr="00321BCF">
        <w:rPr>
          <w:rFonts w:ascii="Garamond" w:hAnsi="Garamond"/>
          <w:i/>
          <w:sz w:val="24"/>
          <w:szCs w:val="24"/>
        </w:rPr>
        <w:t>vindicatio</w:t>
      </w:r>
      <w:proofErr w:type="spellEnd"/>
      <w:r w:rsidRPr="00321BCF">
        <w:rPr>
          <w:rFonts w:ascii="Garamond" w:hAnsi="Garamond"/>
          <w:i/>
          <w:sz w:val="24"/>
          <w:szCs w:val="24"/>
        </w:rPr>
        <w:t xml:space="preserve"> </w:t>
      </w:r>
      <w:proofErr w:type="spellStart"/>
      <w:r w:rsidRPr="00321BCF">
        <w:rPr>
          <w:rFonts w:ascii="Garamond" w:hAnsi="Garamond"/>
          <w:i/>
          <w:sz w:val="24"/>
          <w:szCs w:val="24"/>
        </w:rPr>
        <w:t>gregis</w:t>
      </w:r>
      <w:proofErr w:type="spellEnd"/>
      <w:r w:rsidR="00321BCF">
        <w:rPr>
          <w:rFonts w:ascii="Garamond" w:hAnsi="Garamond"/>
          <w:sz w:val="24"/>
          <w:szCs w:val="24"/>
        </w:rPr>
        <w:t xml:space="preserve">, kdy </w:t>
      </w:r>
      <w:r w:rsidRPr="00DA196C">
        <w:rPr>
          <w:rFonts w:ascii="Garamond" w:hAnsi="Garamond"/>
          <w:sz w:val="24"/>
          <w:szCs w:val="24"/>
        </w:rPr>
        <w:t xml:space="preserve">bylo předmětem </w:t>
      </w:r>
      <w:proofErr w:type="spellStart"/>
      <w:r w:rsidRPr="00DA196C">
        <w:rPr>
          <w:rFonts w:ascii="Garamond" w:hAnsi="Garamond"/>
          <w:sz w:val="24"/>
          <w:szCs w:val="24"/>
        </w:rPr>
        <w:t>reivindikace</w:t>
      </w:r>
      <w:proofErr w:type="spellEnd"/>
      <w:r w:rsidRPr="00DA196C">
        <w:rPr>
          <w:rFonts w:ascii="Garamond" w:hAnsi="Garamond"/>
          <w:sz w:val="24"/>
          <w:szCs w:val="24"/>
        </w:rPr>
        <w:t xml:space="preserve"> stádo</w:t>
      </w:r>
      <w:r w:rsidR="003B4E3A" w:rsidRPr="00DA196C">
        <w:rPr>
          <w:rFonts w:ascii="Garamond" w:hAnsi="Garamond"/>
          <w:sz w:val="24"/>
          <w:szCs w:val="24"/>
        </w:rPr>
        <w:t>, tedy věc hromadná</w:t>
      </w:r>
      <w:r w:rsidRPr="00DA196C">
        <w:rPr>
          <w:rFonts w:ascii="Garamond" w:hAnsi="Garamond"/>
          <w:sz w:val="24"/>
          <w:szCs w:val="24"/>
        </w:rPr>
        <w:t xml:space="preserve"> </w:t>
      </w:r>
      <w:r w:rsidR="00316DF2" w:rsidRPr="00DA196C">
        <w:rPr>
          <w:rFonts w:ascii="Garamond" w:hAnsi="Garamond"/>
          <w:sz w:val="24"/>
          <w:szCs w:val="24"/>
        </w:rPr>
        <w:t>(</w:t>
      </w:r>
      <w:r w:rsidR="00316DF2" w:rsidRPr="00321BCF">
        <w:rPr>
          <w:rFonts w:ascii="Garamond" w:hAnsi="Garamond"/>
          <w:i/>
          <w:sz w:val="24"/>
          <w:szCs w:val="24"/>
        </w:rPr>
        <w:t xml:space="preserve">corpus ex </w:t>
      </w:r>
      <w:proofErr w:type="spellStart"/>
      <w:r w:rsidR="00316DF2" w:rsidRPr="00321BCF">
        <w:rPr>
          <w:rFonts w:ascii="Garamond" w:hAnsi="Garamond"/>
          <w:i/>
          <w:sz w:val="24"/>
          <w:szCs w:val="24"/>
        </w:rPr>
        <w:t>distantibus</w:t>
      </w:r>
      <w:proofErr w:type="spellEnd"/>
      <w:r w:rsidR="00316DF2" w:rsidRPr="00DA196C">
        <w:rPr>
          <w:rFonts w:ascii="Garamond" w:hAnsi="Garamond"/>
          <w:sz w:val="24"/>
          <w:szCs w:val="24"/>
        </w:rPr>
        <w:t>)</w:t>
      </w:r>
      <w:r w:rsidR="003B4E3A" w:rsidRPr="00DA196C">
        <w:rPr>
          <w:rFonts w:ascii="Garamond" w:hAnsi="Garamond"/>
          <w:sz w:val="24"/>
          <w:szCs w:val="24"/>
        </w:rPr>
        <w:t xml:space="preserve">, nicméně </w:t>
      </w:r>
      <w:proofErr w:type="spellStart"/>
      <w:r w:rsidR="003B4E3A" w:rsidRPr="00DA196C">
        <w:rPr>
          <w:rFonts w:ascii="Garamond" w:hAnsi="Garamond"/>
          <w:sz w:val="24"/>
          <w:szCs w:val="24"/>
        </w:rPr>
        <w:t>vindikovaná</w:t>
      </w:r>
      <w:proofErr w:type="spellEnd"/>
      <w:r w:rsidR="003B4E3A" w:rsidRPr="00DA196C">
        <w:rPr>
          <w:rFonts w:ascii="Garamond" w:hAnsi="Garamond"/>
          <w:sz w:val="24"/>
          <w:szCs w:val="24"/>
        </w:rPr>
        <w:t xml:space="preserve"> jako celek</w:t>
      </w:r>
      <w:r w:rsidRPr="00DA196C">
        <w:rPr>
          <w:rFonts w:ascii="Garamond" w:hAnsi="Garamond"/>
          <w:sz w:val="24"/>
          <w:szCs w:val="24"/>
        </w:rPr>
        <w:t>.</w:t>
      </w:r>
      <w:r w:rsidR="003B4E3A" w:rsidRPr="00DA196C">
        <w:rPr>
          <w:rStyle w:val="Znakapoznpodarou"/>
          <w:rFonts w:ascii="Garamond" w:hAnsi="Garamond"/>
          <w:sz w:val="24"/>
          <w:szCs w:val="24"/>
        </w:rPr>
        <w:footnoteReference w:id="38"/>
      </w:r>
      <w:r w:rsidR="003B4E3A" w:rsidRPr="00DA196C">
        <w:rPr>
          <w:rFonts w:ascii="Garamond" w:hAnsi="Garamond"/>
          <w:sz w:val="24"/>
          <w:szCs w:val="24"/>
        </w:rPr>
        <w:t xml:space="preserve"> Co se ostatních hromadných věcí týče, tak žádná výjimka stanovena nebyla, tedy bylo třeba domáhat se vydání po jednotlivých kusech.</w:t>
      </w:r>
      <w:r w:rsidR="000C7CDF" w:rsidRPr="00DA196C">
        <w:rPr>
          <w:rFonts w:ascii="Garamond" w:hAnsi="Garamond"/>
          <w:sz w:val="24"/>
          <w:szCs w:val="24"/>
        </w:rPr>
        <w:t xml:space="preserve"> Bylo možno </w:t>
      </w:r>
      <w:proofErr w:type="spellStart"/>
      <w:r w:rsidR="000C7CDF" w:rsidRPr="00DA196C">
        <w:rPr>
          <w:rFonts w:ascii="Garamond" w:hAnsi="Garamond"/>
          <w:sz w:val="24"/>
          <w:szCs w:val="24"/>
        </w:rPr>
        <w:t>vindikovat</w:t>
      </w:r>
      <w:proofErr w:type="spellEnd"/>
      <w:r w:rsidR="000C7CDF" w:rsidRPr="00DA196C">
        <w:rPr>
          <w:rFonts w:ascii="Garamond" w:hAnsi="Garamond"/>
          <w:sz w:val="24"/>
          <w:szCs w:val="24"/>
        </w:rPr>
        <w:t xml:space="preserve"> též pouze zbytek věci.</w:t>
      </w:r>
      <w:r w:rsidR="000C7CDF" w:rsidRPr="00DA196C">
        <w:rPr>
          <w:rStyle w:val="Znakapoznpodarou"/>
          <w:rFonts w:ascii="Garamond" w:hAnsi="Garamond"/>
          <w:sz w:val="24"/>
          <w:szCs w:val="24"/>
        </w:rPr>
        <w:footnoteReference w:id="39"/>
      </w:r>
    </w:p>
    <w:p w:rsidR="000C7CDF" w:rsidRPr="00DA196C" w:rsidRDefault="007F7AE6"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Další výjimkou byla tzv. </w:t>
      </w:r>
      <w:proofErr w:type="spellStart"/>
      <w:r w:rsidRPr="00321BCF">
        <w:rPr>
          <w:rFonts w:ascii="Garamond" w:hAnsi="Garamond"/>
          <w:i/>
          <w:sz w:val="24"/>
          <w:szCs w:val="24"/>
        </w:rPr>
        <w:t>vindicatio</w:t>
      </w:r>
      <w:proofErr w:type="spellEnd"/>
      <w:r w:rsidRPr="00321BCF">
        <w:rPr>
          <w:rFonts w:ascii="Garamond" w:hAnsi="Garamond"/>
          <w:i/>
          <w:sz w:val="24"/>
          <w:szCs w:val="24"/>
        </w:rPr>
        <w:t xml:space="preserve"> </w:t>
      </w:r>
      <w:proofErr w:type="spellStart"/>
      <w:r w:rsidRPr="00321BCF">
        <w:rPr>
          <w:rFonts w:ascii="Garamond" w:hAnsi="Garamond"/>
          <w:i/>
          <w:sz w:val="24"/>
          <w:szCs w:val="24"/>
        </w:rPr>
        <w:t>partis</w:t>
      </w:r>
      <w:proofErr w:type="spellEnd"/>
      <w:r w:rsidRPr="00DA196C">
        <w:rPr>
          <w:rFonts w:ascii="Garamond" w:hAnsi="Garamond"/>
          <w:sz w:val="24"/>
          <w:szCs w:val="24"/>
        </w:rPr>
        <w:t xml:space="preserve">, při které docházelo k vindikaci určitě stanovené části věci. Mohlo dokonce dojít </w:t>
      </w:r>
      <w:proofErr w:type="spellStart"/>
      <w:r w:rsidRPr="00DA196C">
        <w:rPr>
          <w:rFonts w:ascii="Garamond" w:hAnsi="Garamond"/>
          <w:sz w:val="24"/>
          <w:szCs w:val="24"/>
        </w:rPr>
        <w:t>vindikování</w:t>
      </w:r>
      <w:proofErr w:type="spellEnd"/>
      <w:r w:rsidRPr="00DA196C">
        <w:rPr>
          <w:rFonts w:ascii="Garamond" w:hAnsi="Garamond"/>
          <w:sz w:val="24"/>
          <w:szCs w:val="24"/>
        </w:rPr>
        <w:t xml:space="preserve"> poměrné části věci a to pomocí </w:t>
      </w:r>
      <w:proofErr w:type="spellStart"/>
      <w:r w:rsidRPr="00321BCF">
        <w:rPr>
          <w:rFonts w:ascii="Garamond" w:hAnsi="Garamond"/>
          <w:i/>
          <w:sz w:val="24"/>
          <w:szCs w:val="24"/>
        </w:rPr>
        <w:t>vindicatio</w:t>
      </w:r>
      <w:proofErr w:type="spellEnd"/>
      <w:r w:rsidRPr="00321BCF">
        <w:rPr>
          <w:rFonts w:ascii="Garamond" w:hAnsi="Garamond"/>
          <w:i/>
          <w:sz w:val="24"/>
          <w:szCs w:val="24"/>
        </w:rPr>
        <w:t xml:space="preserve"> </w:t>
      </w:r>
      <w:proofErr w:type="spellStart"/>
      <w:r w:rsidRPr="00321BCF">
        <w:rPr>
          <w:rFonts w:ascii="Garamond" w:hAnsi="Garamond"/>
          <w:i/>
          <w:sz w:val="24"/>
          <w:szCs w:val="24"/>
        </w:rPr>
        <w:t>incertae</w:t>
      </w:r>
      <w:proofErr w:type="spellEnd"/>
      <w:r w:rsidRPr="00321BCF">
        <w:rPr>
          <w:rFonts w:ascii="Garamond" w:hAnsi="Garamond"/>
          <w:i/>
          <w:sz w:val="24"/>
          <w:szCs w:val="24"/>
        </w:rPr>
        <w:t xml:space="preserve"> </w:t>
      </w:r>
      <w:proofErr w:type="spellStart"/>
      <w:r w:rsidRPr="00321BCF">
        <w:rPr>
          <w:rFonts w:ascii="Garamond" w:hAnsi="Garamond"/>
          <w:i/>
          <w:sz w:val="24"/>
          <w:szCs w:val="24"/>
        </w:rPr>
        <w:t>partis</w:t>
      </w:r>
      <w:proofErr w:type="spellEnd"/>
      <w:r w:rsidRPr="00DA196C">
        <w:rPr>
          <w:rFonts w:ascii="Garamond" w:hAnsi="Garamond"/>
          <w:sz w:val="24"/>
          <w:szCs w:val="24"/>
        </w:rPr>
        <w:t>.</w:t>
      </w:r>
      <w:r w:rsidR="00754FA5" w:rsidRPr="00DA196C">
        <w:rPr>
          <w:rStyle w:val="Znakapoznpodarou"/>
          <w:rFonts w:ascii="Garamond" w:hAnsi="Garamond"/>
          <w:sz w:val="24"/>
          <w:szCs w:val="24"/>
        </w:rPr>
        <w:footnoteReference w:id="40"/>
      </w:r>
      <w:r w:rsidR="0021573D" w:rsidRPr="00DA196C">
        <w:rPr>
          <w:rFonts w:ascii="Garamond" w:hAnsi="Garamond"/>
          <w:sz w:val="24"/>
          <w:szCs w:val="24"/>
        </w:rPr>
        <w:t xml:space="preserve"> </w:t>
      </w:r>
      <w:r w:rsidR="001548F1" w:rsidRPr="00DA196C">
        <w:rPr>
          <w:rFonts w:ascii="Garamond" w:hAnsi="Garamond"/>
          <w:sz w:val="24"/>
          <w:szCs w:val="24"/>
        </w:rPr>
        <w:t>Jestliže se jednalo o smísení věcí, které bylo možno oddělit a ke smísení nedošlo z vůle vlastníků, m</w:t>
      </w:r>
      <w:r w:rsidR="007613FD" w:rsidRPr="00DA196C">
        <w:rPr>
          <w:rFonts w:ascii="Garamond" w:hAnsi="Garamond"/>
          <w:sz w:val="24"/>
          <w:szCs w:val="24"/>
        </w:rPr>
        <w:t>ohl</w:t>
      </w:r>
      <w:r w:rsidR="001548F1" w:rsidRPr="00DA196C">
        <w:rPr>
          <w:rFonts w:ascii="Garamond" w:hAnsi="Garamond"/>
          <w:sz w:val="24"/>
          <w:szCs w:val="24"/>
        </w:rPr>
        <w:t xml:space="preserve"> každý </w:t>
      </w:r>
      <w:proofErr w:type="spellStart"/>
      <w:r w:rsidR="001548F1" w:rsidRPr="00DA196C">
        <w:rPr>
          <w:rFonts w:ascii="Garamond" w:hAnsi="Garamond"/>
          <w:sz w:val="24"/>
          <w:szCs w:val="24"/>
        </w:rPr>
        <w:t>vindikovat</w:t>
      </w:r>
      <w:proofErr w:type="spellEnd"/>
      <w:r w:rsidR="001548F1" w:rsidRPr="00DA196C">
        <w:rPr>
          <w:rFonts w:ascii="Garamond" w:hAnsi="Garamond"/>
          <w:sz w:val="24"/>
          <w:szCs w:val="24"/>
        </w:rPr>
        <w:t xml:space="preserve"> svou část. Jestliže ale došlo ke smísení z jejich vůle, pak </w:t>
      </w:r>
      <w:r w:rsidR="007613FD" w:rsidRPr="00DA196C">
        <w:rPr>
          <w:rFonts w:ascii="Garamond" w:hAnsi="Garamond"/>
          <w:sz w:val="24"/>
          <w:szCs w:val="24"/>
        </w:rPr>
        <w:t>bylo</w:t>
      </w:r>
      <w:r w:rsidR="001548F1" w:rsidRPr="00DA196C">
        <w:rPr>
          <w:rFonts w:ascii="Garamond" w:hAnsi="Garamond"/>
          <w:sz w:val="24"/>
          <w:szCs w:val="24"/>
        </w:rPr>
        <w:t xml:space="preserve"> třeba užít žalobu na rozdělení spoluvlastnictví (</w:t>
      </w:r>
      <w:proofErr w:type="spellStart"/>
      <w:r w:rsidR="001548F1" w:rsidRPr="00321BCF">
        <w:rPr>
          <w:rFonts w:ascii="Garamond" w:hAnsi="Garamond"/>
          <w:i/>
          <w:sz w:val="24"/>
          <w:szCs w:val="24"/>
        </w:rPr>
        <w:t>actio</w:t>
      </w:r>
      <w:proofErr w:type="spellEnd"/>
      <w:r w:rsidR="001548F1" w:rsidRPr="00321BCF">
        <w:rPr>
          <w:rFonts w:ascii="Garamond" w:hAnsi="Garamond"/>
          <w:i/>
          <w:sz w:val="24"/>
          <w:szCs w:val="24"/>
        </w:rPr>
        <w:t xml:space="preserve"> </w:t>
      </w:r>
      <w:proofErr w:type="spellStart"/>
      <w:r w:rsidR="001548F1" w:rsidRPr="00321BCF">
        <w:rPr>
          <w:rFonts w:ascii="Garamond" w:hAnsi="Garamond"/>
          <w:i/>
          <w:sz w:val="24"/>
          <w:szCs w:val="24"/>
        </w:rPr>
        <w:t>communi</w:t>
      </w:r>
      <w:proofErr w:type="spellEnd"/>
      <w:r w:rsidR="001548F1" w:rsidRPr="00321BCF">
        <w:rPr>
          <w:rFonts w:ascii="Garamond" w:hAnsi="Garamond"/>
          <w:i/>
          <w:sz w:val="24"/>
          <w:szCs w:val="24"/>
        </w:rPr>
        <w:t xml:space="preserve"> </w:t>
      </w:r>
      <w:proofErr w:type="spellStart"/>
      <w:r w:rsidR="001548F1" w:rsidRPr="00321BCF">
        <w:rPr>
          <w:rFonts w:ascii="Garamond" w:hAnsi="Garamond"/>
          <w:i/>
          <w:sz w:val="24"/>
          <w:szCs w:val="24"/>
        </w:rPr>
        <w:t>dividundo</w:t>
      </w:r>
      <w:proofErr w:type="spellEnd"/>
      <w:r w:rsidR="001548F1" w:rsidRPr="00DA196C">
        <w:rPr>
          <w:rFonts w:ascii="Garamond" w:hAnsi="Garamond"/>
          <w:sz w:val="24"/>
          <w:szCs w:val="24"/>
        </w:rPr>
        <w:t>).</w:t>
      </w:r>
      <w:r w:rsidR="001548F1" w:rsidRPr="00DA196C">
        <w:rPr>
          <w:rStyle w:val="Znakapoznpodarou"/>
          <w:rFonts w:ascii="Garamond" w:hAnsi="Garamond"/>
          <w:sz w:val="24"/>
          <w:szCs w:val="24"/>
        </w:rPr>
        <w:footnoteReference w:id="41"/>
      </w:r>
      <w:r w:rsidR="001548F1" w:rsidRPr="00DA196C">
        <w:rPr>
          <w:rFonts w:ascii="Garamond" w:hAnsi="Garamond"/>
          <w:sz w:val="24"/>
          <w:szCs w:val="24"/>
        </w:rPr>
        <w:t xml:space="preserve"> </w:t>
      </w:r>
      <w:proofErr w:type="gramStart"/>
      <w:r w:rsidR="001548F1" w:rsidRPr="00DA196C">
        <w:rPr>
          <w:rFonts w:ascii="Garamond" w:hAnsi="Garamond"/>
          <w:sz w:val="24"/>
          <w:szCs w:val="24"/>
        </w:rPr>
        <w:t>Při</w:t>
      </w:r>
      <w:proofErr w:type="gramEnd"/>
      <w:r w:rsidR="001548F1" w:rsidRPr="00DA196C">
        <w:rPr>
          <w:rFonts w:ascii="Garamond" w:hAnsi="Garamond"/>
          <w:sz w:val="24"/>
          <w:szCs w:val="24"/>
        </w:rPr>
        <w:t xml:space="preserve"> spojení věcí </w:t>
      </w:r>
      <w:r w:rsidR="007613FD" w:rsidRPr="00DA196C">
        <w:rPr>
          <w:rFonts w:ascii="Garamond" w:hAnsi="Garamond"/>
          <w:sz w:val="24"/>
          <w:szCs w:val="24"/>
        </w:rPr>
        <w:t>bylo</w:t>
      </w:r>
      <w:r w:rsidR="001548F1" w:rsidRPr="00DA196C">
        <w:rPr>
          <w:rFonts w:ascii="Garamond" w:hAnsi="Garamond"/>
          <w:sz w:val="24"/>
          <w:szCs w:val="24"/>
        </w:rPr>
        <w:t xml:space="preserve"> pak rozhodujícím kritériem, </w:t>
      </w:r>
      <w:proofErr w:type="gramStart"/>
      <w:r w:rsidR="007613FD" w:rsidRPr="00DA196C">
        <w:rPr>
          <w:rFonts w:ascii="Garamond" w:hAnsi="Garamond"/>
          <w:sz w:val="24"/>
          <w:szCs w:val="24"/>
        </w:rPr>
        <w:t>která</w:t>
      </w:r>
      <w:proofErr w:type="gramEnd"/>
      <w:r w:rsidR="007613FD" w:rsidRPr="00DA196C">
        <w:rPr>
          <w:rFonts w:ascii="Garamond" w:hAnsi="Garamond"/>
          <w:sz w:val="24"/>
          <w:szCs w:val="24"/>
        </w:rPr>
        <w:t xml:space="preserve"> z oněch věcí byla věcí hlavní. </w:t>
      </w:r>
      <w:proofErr w:type="spellStart"/>
      <w:r w:rsidR="007613FD" w:rsidRPr="00DA196C">
        <w:rPr>
          <w:rFonts w:ascii="Garamond" w:hAnsi="Garamond"/>
          <w:sz w:val="24"/>
          <w:szCs w:val="24"/>
        </w:rPr>
        <w:t>Reivindikační</w:t>
      </w:r>
      <w:proofErr w:type="spellEnd"/>
      <w:r w:rsidR="007613FD" w:rsidRPr="00DA196C">
        <w:rPr>
          <w:rFonts w:ascii="Garamond" w:hAnsi="Garamond"/>
          <w:sz w:val="24"/>
          <w:szCs w:val="24"/>
        </w:rPr>
        <w:t xml:space="preserve"> žalobu mohl uplatit pouze vlastník věci hlavní, jelikož zde nedocházelo ke vzniku spoluvlastnictví, ale vlastník věci hlavní se stával vlastníkem celé věci.</w:t>
      </w:r>
      <w:r w:rsidR="007613FD" w:rsidRPr="00DA196C">
        <w:rPr>
          <w:rStyle w:val="Znakapoznpodarou"/>
          <w:rFonts w:ascii="Garamond" w:hAnsi="Garamond"/>
          <w:sz w:val="24"/>
          <w:szCs w:val="24"/>
        </w:rPr>
        <w:footnoteReference w:id="42"/>
      </w:r>
    </w:p>
    <w:p w:rsidR="007E3907" w:rsidRPr="00DA196C" w:rsidRDefault="00A67CC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Je třeba se též zmínit o plodech věci, která byla předmětem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žaloby. </w:t>
      </w:r>
      <w:r w:rsidR="00544FEF" w:rsidRPr="00DA196C">
        <w:rPr>
          <w:rFonts w:ascii="Garamond" w:hAnsi="Garamond"/>
          <w:sz w:val="24"/>
          <w:szCs w:val="24"/>
        </w:rPr>
        <w:t xml:space="preserve">Žalovaný byl povinen k plnění </w:t>
      </w:r>
      <w:proofErr w:type="spellStart"/>
      <w:r w:rsidR="00544FEF" w:rsidRPr="00AF70D0">
        <w:rPr>
          <w:rFonts w:ascii="Garamond" w:hAnsi="Garamond"/>
          <w:i/>
          <w:sz w:val="24"/>
          <w:szCs w:val="24"/>
        </w:rPr>
        <w:t>cum</w:t>
      </w:r>
      <w:proofErr w:type="spellEnd"/>
      <w:r w:rsidR="00544FEF" w:rsidRPr="00AF70D0">
        <w:rPr>
          <w:rFonts w:ascii="Garamond" w:hAnsi="Garamond"/>
          <w:i/>
          <w:sz w:val="24"/>
          <w:szCs w:val="24"/>
        </w:rPr>
        <w:t xml:space="preserve"> omni causa</w:t>
      </w:r>
      <w:r w:rsidR="00544FEF" w:rsidRPr="00DA196C">
        <w:rPr>
          <w:rFonts w:ascii="Garamond" w:hAnsi="Garamond"/>
          <w:sz w:val="24"/>
          <w:szCs w:val="24"/>
        </w:rPr>
        <w:t xml:space="preserve">, tedy všeho, co by náleželo žalobci, kdyby mu byla věc vydána v době zahájení procesu. </w:t>
      </w:r>
      <w:r w:rsidR="004267FE" w:rsidRPr="00DA196C">
        <w:rPr>
          <w:rFonts w:ascii="Garamond" w:hAnsi="Garamond"/>
          <w:sz w:val="24"/>
          <w:szCs w:val="24"/>
        </w:rPr>
        <w:t>Obecně tedy byl žalovaný povinen vydat věc se vším</w:t>
      </w:r>
      <w:r w:rsidR="00AF70D0">
        <w:rPr>
          <w:rFonts w:ascii="Garamond" w:hAnsi="Garamond"/>
          <w:sz w:val="24"/>
          <w:szCs w:val="24"/>
        </w:rPr>
        <w:t>, co k věci náleželo</w:t>
      </w:r>
      <w:r w:rsidR="00434692" w:rsidRPr="00DA196C">
        <w:rPr>
          <w:rFonts w:ascii="Garamond" w:hAnsi="Garamond"/>
          <w:sz w:val="24"/>
          <w:szCs w:val="24"/>
        </w:rPr>
        <w:t>,</w:t>
      </w:r>
      <w:r w:rsidR="004267FE" w:rsidRPr="00DA196C">
        <w:rPr>
          <w:rFonts w:ascii="Garamond" w:hAnsi="Garamond"/>
          <w:sz w:val="24"/>
          <w:szCs w:val="24"/>
        </w:rPr>
        <w:t xml:space="preserve"> </w:t>
      </w:r>
      <w:r w:rsidR="00AF70D0">
        <w:rPr>
          <w:rFonts w:ascii="Garamond" w:hAnsi="Garamond"/>
          <w:sz w:val="24"/>
          <w:szCs w:val="24"/>
        </w:rPr>
        <w:t xml:space="preserve">tedy </w:t>
      </w:r>
      <w:r w:rsidR="004267FE" w:rsidRPr="00DA196C">
        <w:rPr>
          <w:rFonts w:ascii="Garamond" w:hAnsi="Garamond"/>
          <w:sz w:val="24"/>
          <w:szCs w:val="24"/>
        </w:rPr>
        <w:t xml:space="preserve">také plody věci, to ale patrně až za dob </w:t>
      </w:r>
      <w:proofErr w:type="spellStart"/>
      <w:r w:rsidR="004267FE" w:rsidRPr="00DA196C">
        <w:rPr>
          <w:rFonts w:ascii="Garamond" w:hAnsi="Garamond"/>
          <w:sz w:val="24"/>
          <w:szCs w:val="24"/>
        </w:rPr>
        <w:t>justiniánského</w:t>
      </w:r>
      <w:proofErr w:type="spellEnd"/>
      <w:r w:rsidR="004267FE" w:rsidRPr="00DA196C">
        <w:rPr>
          <w:rFonts w:ascii="Garamond" w:hAnsi="Garamond"/>
          <w:sz w:val="24"/>
          <w:szCs w:val="24"/>
        </w:rPr>
        <w:t xml:space="preserve"> práva.</w:t>
      </w:r>
      <w:r w:rsidR="00434692" w:rsidRPr="00DA196C">
        <w:rPr>
          <w:rStyle w:val="Znakapoznpodarou"/>
          <w:rFonts w:ascii="Garamond" w:hAnsi="Garamond"/>
          <w:sz w:val="24"/>
          <w:szCs w:val="24"/>
        </w:rPr>
        <w:footnoteReference w:id="43"/>
      </w:r>
      <w:r w:rsidR="004267FE" w:rsidRPr="00DA196C">
        <w:rPr>
          <w:rFonts w:ascii="Garamond" w:hAnsi="Garamond"/>
          <w:sz w:val="24"/>
          <w:szCs w:val="24"/>
        </w:rPr>
        <w:t xml:space="preserve"> </w:t>
      </w:r>
      <w:r w:rsidR="00544FEF" w:rsidRPr="00DA196C">
        <w:rPr>
          <w:rFonts w:ascii="Garamond" w:hAnsi="Garamond"/>
          <w:sz w:val="24"/>
          <w:szCs w:val="24"/>
        </w:rPr>
        <w:t>Poctivý držitel (</w:t>
      </w:r>
      <w:proofErr w:type="spellStart"/>
      <w:r w:rsidR="00544FEF" w:rsidRPr="00AF70D0">
        <w:rPr>
          <w:rFonts w:ascii="Garamond" w:hAnsi="Garamond"/>
          <w:i/>
          <w:sz w:val="24"/>
          <w:szCs w:val="24"/>
        </w:rPr>
        <w:t>bonae</w:t>
      </w:r>
      <w:proofErr w:type="spellEnd"/>
      <w:r w:rsidR="00544FEF" w:rsidRPr="00AF70D0">
        <w:rPr>
          <w:rFonts w:ascii="Garamond" w:hAnsi="Garamond"/>
          <w:i/>
          <w:sz w:val="24"/>
          <w:szCs w:val="24"/>
        </w:rPr>
        <w:t xml:space="preserve"> </w:t>
      </w:r>
      <w:proofErr w:type="spellStart"/>
      <w:r w:rsidR="00544FEF" w:rsidRPr="00AF70D0">
        <w:rPr>
          <w:rFonts w:ascii="Garamond" w:hAnsi="Garamond"/>
          <w:i/>
          <w:sz w:val="24"/>
          <w:szCs w:val="24"/>
        </w:rPr>
        <w:t>fidei</w:t>
      </w:r>
      <w:proofErr w:type="spellEnd"/>
      <w:r w:rsidR="00544FEF" w:rsidRPr="00AF70D0">
        <w:rPr>
          <w:rFonts w:ascii="Garamond" w:hAnsi="Garamond"/>
          <w:i/>
          <w:sz w:val="24"/>
          <w:szCs w:val="24"/>
        </w:rPr>
        <w:t xml:space="preserve"> </w:t>
      </w:r>
      <w:proofErr w:type="spellStart"/>
      <w:r w:rsidR="00544FEF" w:rsidRPr="00AF70D0">
        <w:rPr>
          <w:rFonts w:ascii="Garamond" w:hAnsi="Garamond"/>
          <w:i/>
          <w:sz w:val="24"/>
          <w:szCs w:val="24"/>
        </w:rPr>
        <w:t>possessor</w:t>
      </w:r>
      <w:proofErr w:type="spellEnd"/>
      <w:r w:rsidR="00544FEF" w:rsidRPr="00DA196C">
        <w:rPr>
          <w:rFonts w:ascii="Garamond" w:hAnsi="Garamond"/>
          <w:sz w:val="24"/>
          <w:szCs w:val="24"/>
        </w:rPr>
        <w:t xml:space="preserve">) byl povinen vydat či nahradit takové plody </w:t>
      </w:r>
      <w:proofErr w:type="spellStart"/>
      <w:r w:rsidRPr="00DA196C">
        <w:rPr>
          <w:rFonts w:ascii="Garamond" w:hAnsi="Garamond"/>
          <w:sz w:val="24"/>
          <w:szCs w:val="24"/>
        </w:rPr>
        <w:t>vindikované</w:t>
      </w:r>
      <w:proofErr w:type="spellEnd"/>
      <w:r w:rsidRPr="00DA196C">
        <w:rPr>
          <w:rFonts w:ascii="Garamond" w:hAnsi="Garamond"/>
          <w:sz w:val="24"/>
          <w:szCs w:val="24"/>
        </w:rPr>
        <w:t xml:space="preserve"> </w:t>
      </w:r>
      <w:r w:rsidR="00544FEF" w:rsidRPr="00DA196C">
        <w:rPr>
          <w:rFonts w:ascii="Garamond" w:hAnsi="Garamond"/>
          <w:sz w:val="24"/>
          <w:szCs w:val="24"/>
        </w:rPr>
        <w:t xml:space="preserve">věci, které měl v době zahájení procesu a </w:t>
      </w:r>
      <w:r w:rsidRPr="00DA196C">
        <w:rPr>
          <w:rFonts w:ascii="Garamond" w:hAnsi="Garamond"/>
          <w:sz w:val="24"/>
          <w:szCs w:val="24"/>
        </w:rPr>
        <w:t>které vytěžil po jeho zahájení</w:t>
      </w:r>
      <w:r w:rsidR="00316DF2" w:rsidRPr="00DA196C">
        <w:rPr>
          <w:rFonts w:ascii="Garamond" w:hAnsi="Garamond"/>
          <w:sz w:val="24"/>
          <w:szCs w:val="24"/>
        </w:rPr>
        <w:t xml:space="preserve"> (</w:t>
      </w:r>
      <w:proofErr w:type="spellStart"/>
      <w:r w:rsidR="00316DF2" w:rsidRPr="00AF70D0">
        <w:rPr>
          <w:rFonts w:ascii="Garamond" w:hAnsi="Garamond"/>
          <w:i/>
          <w:sz w:val="24"/>
          <w:szCs w:val="24"/>
        </w:rPr>
        <w:t>fructus</w:t>
      </w:r>
      <w:proofErr w:type="spellEnd"/>
      <w:r w:rsidR="00316DF2" w:rsidRPr="00AF70D0">
        <w:rPr>
          <w:rFonts w:ascii="Garamond" w:hAnsi="Garamond"/>
          <w:i/>
          <w:sz w:val="24"/>
          <w:szCs w:val="24"/>
        </w:rPr>
        <w:t xml:space="preserve"> </w:t>
      </w:r>
      <w:proofErr w:type="spellStart"/>
      <w:r w:rsidR="00316DF2" w:rsidRPr="00AF70D0">
        <w:rPr>
          <w:rFonts w:ascii="Garamond" w:hAnsi="Garamond"/>
          <w:i/>
          <w:sz w:val="24"/>
          <w:szCs w:val="24"/>
        </w:rPr>
        <w:t>exstantes</w:t>
      </w:r>
      <w:proofErr w:type="spellEnd"/>
      <w:r w:rsidR="00316DF2" w:rsidRPr="00DA196C">
        <w:rPr>
          <w:rFonts w:ascii="Garamond" w:hAnsi="Garamond"/>
          <w:sz w:val="24"/>
          <w:szCs w:val="24"/>
        </w:rPr>
        <w:t>)</w:t>
      </w:r>
      <w:r w:rsidRPr="00DA196C">
        <w:rPr>
          <w:rFonts w:ascii="Garamond" w:hAnsi="Garamond"/>
          <w:sz w:val="24"/>
          <w:szCs w:val="24"/>
        </w:rPr>
        <w:t>, případně které vlastním zaviněním nevytěžil, ač tak mohl učinit. Nepoctivý držitel (</w:t>
      </w:r>
      <w:proofErr w:type="spellStart"/>
      <w:r w:rsidRPr="00AF70D0">
        <w:rPr>
          <w:rFonts w:ascii="Garamond" w:hAnsi="Garamond"/>
          <w:i/>
          <w:sz w:val="24"/>
          <w:szCs w:val="24"/>
        </w:rPr>
        <w:t>malae</w:t>
      </w:r>
      <w:proofErr w:type="spellEnd"/>
      <w:r w:rsidRPr="00AF70D0">
        <w:rPr>
          <w:rFonts w:ascii="Garamond" w:hAnsi="Garamond"/>
          <w:i/>
          <w:sz w:val="24"/>
          <w:szCs w:val="24"/>
        </w:rPr>
        <w:t xml:space="preserve"> </w:t>
      </w:r>
      <w:proofErr w:type="spellStart"/>
      <w:r w:rsidRPr="00AF70D0">
        <w:rPr>
          <w:rFonts w:ascii="Garamond" w:hAnsi="Garamond"/>
          <w:i/>
          <w:sz w:val="24"/>
          <w:szCs w:val="24"/>
        </w:rPr>
        <w:t>fidei</w:t>
      </w:r>
      <w:proofErr w:type="spellEnd"/>
      <w:r w:rsidRPr="00AF70D0">
        <w:rPr>
          <w:rFonts w:ascii="Garamond" w:hAnsi="Garamond"/>
          <w:i/>
          <w:sz w:val="24"/>
          <w:szCs w:val="24"/>
        </w:rPr>
        <w:t xml:space="preserve"> </w:t>
      </w:r>
      <w:proofErr w:type="spellStart"/>
      <w:r w:rsidRPr="00AF70D0">
        <w:rPr>
          <w:rFonts w:ascii="Garamond" w:hAnsi="Garamond"/>
          <w:i/>
          <w:sz w:val="24"/>
          <w:szCs w:val="24"/>
        </w:rPr>
        <w:t>possessor</w:t>
      </w:r>
      <w:proofErr w:type="spellEnd"/>
      <w:r w:rsidRPr="00DA196C">
        <w:rPr>
          <w:rFonts w:ascii="Garamond" w:hAnsi="Garamond"/>
          <w:sz w:val="24"/>
          <w:szCs w:val="24"/>
        </w:rPr>
        <w:t xml:space="preserve">) by povinen vydat či </w:t>
      </w:r>
      <w:r w:rsidRPr="00DA196C">
        <w:rPr>
          <w:rFonts w:ascii="Garamond" w:hAnsi="Garamond"/>
          <w:sz w:val="24"/>
          <w:szCs w:val="24"/>
        </w:rPr>
        <w:lastRenderedPageBreak/>
        <w:t>nahradit nad rámec výše uvedeného také takové plody, které před zahájením procesu spotřeboval</w:t>
      </w:r>
      <w:r w:rsidR="00316DF2" w:rsidRPr="00DA196C">
        <w:rPr>
          <w:rFonts w:ascii="Garamond" w:hAnsi="Garamond"/>
          <w:sz w:val="24"/>
          <w:szCs w:val="24"/>
        </w:rPr>
        <w:t xml:space="preserve"> (</w:t>
      </w:r>
      <w:proofErr w:type="spellStart"/>
      <w:r w:rsidR="00316DF2" w:rsidRPr="00AF70D0">
        <w:rPr>
          <w:rFonts w:ascii="Garamond" w:hAnsi="Garamond"/>
          <w:i/>
          <w:sz w:val="24"/>
          <w:szCs w:val="24"/>
        </w:rPr>
        <w:t>fructus</w:t>
      </w:r>
      <w:proofErr w:type="spellEnd"/>
      <w:r w:rsidR="00316DF2" w:rsidRPr="00AF70D0">
        <w:rPr>
          <w:rFonts w:ascii="Garamond" w:hAnsi="Garamond"/>
          <w:i/>
          <w:sz w:val="24"/>
          <w:szCs w:val="24"/>
        </w:rPr>
        <w:t xml:space="preserve"> </w:t>
      </w:r>
      <w:proofErr w:type="spellStart"/>
      <w:r w:rsidR="00316DF2" w:rsidRPr="00AF70D0">
        <w:rPr>
          <w:rFonts w:ascii="Garamond" w:hAnsi="Garamond"/>
          <w:i/>
          <w:sz w:val="24"/>
          <w:szCs w:val="24"/>
        </w:rPr>
        <w:t>consumpti</w:t>
      </w:r>
      <w:proofErr w:type="spellEnd"/>
      <w:r w:rsidR="00316DF2" w:rsidRPr="00DA196C">
        <w:rPr>
          <w:rFonts w:ascii="Garamond" w:hAnsi="Garamond"/>
          <w:sz w:val="24"/>
          <w:szCs w:val="24"/>
        </w:rPr>
        <w:t>)</w:t>
      </w:r>
      <w:r w:rsidRPr="00DA196C">
        <w:rPr>
          <w:rFonts w:ascii="Garamond" w:hAnsi="Garamond"/>
          <w:sz w:val="24"/>
          <w:szCs w:val="24"/>
        </w:rPr>
        <w:t xml:space="preserve"> nebo vlastním zaviněním nevytěžil, ač mohl, a také plody, které by mohl po zahájení procesu těžit z </w:t>
      </w:r>
      <w:proofErr w:type="spellStart"/>
      <w:r w:rsidRPr="00DA196C">
        <w:rPr>
          <w:rFonts w:ascii="Garamond" w:hAnsi="Garamond"/>
          <w:sz w:val="24"/>
          <w:szCs w:val="24"/>
        </w:rPr>
        <w:t>vindikované</w:t>
      </w:r>
      <w:proofErr w:type="spellEnd"/>
      <w:r w:rsidRPr="00DA196C">
        <w:rPr>
          <w:rFonts w:ascii="Garamond" w:hAnsi="Garamond"/>
          <w:sz w:val="24"/>
          <w:szCs w:val="24"/>
        </w:rPr>
        <w:t xml:space="preserve"> věci její vlastník. Na plody věci, které nepoctivý držitel spotřeboval nebo opomenul vytěžit před začátkem procesu, se vztahovala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žaloba směřující k vydání věci hlavní a nebylo tedy tř</w:t>
      </w:r>
      <w:r w:rsidR="007B45F5" w:rsidRPr="00DA196C">
        <w:rPr>
          <w:rFonts w:ascii="Garamond" w:hAnsi="Garamond"/>
          <w:sz w:val="24"/>
          <w:szCs w:val="24"/>
        </w:rPr>
        <w:t xml:space="preserve">eba tyto plody </w:t>
      </w:r>
      <w:proofErr w:type="spellStart"/>
      <w:r w:rsidR="007B45F5" w:rsidRPr="00DA196C">
        <w:rPr>
          <w:rFonts w:ascii="Garamond" w:hAnsi="Garamond"/>
          <w:sz w:val="24"/>
          <w:szCs w:val="24"/>
        </w:rPr>
        <w:t>vindikovat</w:t>
      </w:r>
      <w:proofErr w:type="spellEnd"/>
      <w:r w:rsidR="007B45F5" w:rsidRPr="00DA196C">
        <w:rPr>
          <w:rFonts w:ascii="Garamond" w:hAnsi="Garamond"/>
          <w:sz w:val="24"/>
          <w:szCs w:val="24"/>
        </w:rPr>
        <w:t xml:space="preserve"> zvlášť</w:t>
      </w:r>
      <w:r w:rsidRPr="00DA196C">
        <w:rPr>
          <w:rFonts w:ascii="Garamond" w:hAnsi="Garamond"/>
          <w:sz w:val="24"/>
          <w:szCs w:val="24"/>
        </w:rPr>
        <w:t>.</w:t>
      </w:r>
      <w:r w:rsidRPr="00DA196C">
        <w:rPr>
          <w:rStyle w:val="Znakapoznpodarou"/>
          <w:rFonts w:ascii="Garamond" w:hAnsi="Garamond"/>
          <w:sz w:val="24"/>
          <w:szCs w:val="24"/>
        </w:rPr>
        <w:footnoteReference w:id="44"/>
      </w:r>
    </w:p>
    <w:p w:rsidR="003F137D" w:rsidRPr="00DA196C" w:rsidRDefault="001F7AB2"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Kromě toho</w:t>
      </w:r>
      <w:r w:rsidR="003F137D" w:rsidRPr="00DA196C">
        <w:rPr>
          <w:rFonts w:ascii="Garamond" w:hAnsi="Garamond"/>
          <w:sz w:val="24"/>
          <w:szCs w:val="24"/>
        </w:rPr>
        <w:t xml:space="preserve">, co bylo předmětem </w:t>
      </w:r>
      <w:proofErr w:type="spellStart"/>
      <w:r w:rsidR="003F137D" w:rsidRPr="00DA196C">
        <w:rPr>
          <w:rFonts w:ascii="Garamond" w:hAnsi="Garamond"/>
          <w:sz w:val="24"/>
          <w:szCs w:val="24"/>
        </w:rPr>
        <w:t>reivindikace</w:t>
      </w:r>
      <w:proofErr w:type="spellEnd"/>
      <w:r w:rsidR="003F137D" w:rsidRPr="00DA196C">
        <w:rPr>
          <w:rFonts w:ascii="Garamond" w:hAnsi="Garamond"/>
          <w:sz w:val="24"/>
          <w:szCs w:val="24"/>
        </w:rPr>
        <w:t xml:space="preserve">, je z procesního hlediska </w:t>
      </w:r>
      <w:r w:rsidRPr="00DA196C">
        <w:rPr>
          <w:rFonts w:ascii="Garamond" w:hAnsi="Garamond"/>
          <w:sz w:val="24"/>
          <w:szCs w:val="24"/>
        </w:rPr>
        <w:t>velmi důležitá také</w:t>
      </w:r>
      <w:r w:rsidR="003F137D" w:rsidRPr="00DA196C">
        <w:rPr>
          <w:rFonts w:ascii="Garamond" w:hAnsi="Garamond"/>
          <w:sz w:val="24"/>
          <w:szCs w:val="24"/>
        </w:rPr>
        <w:t xml:space="preserve"> otázka, jak musel být předmět v </w:t>
      </w:r>
      <w:proofErr w:type="spellStart"/>
      <w:r w:rsidR="003F137D" w:rsidRPr="00DA196C">
        <w:rPr>
          <w:rFonts w:ascii="Garamond" w:hAnsi="Garamond"/>
          <w:sz w:val="24"/>
          <w:szCs w:val="24"/>
        </w:rPr>
        <w:t>reivindikační</w:t>
      </w:r>
      <w:proofErr w:type="spellEnd"/>
      <w:r w:rsidR="003F137D" w:rsidRPr="00DA196C">
        <w:rPr>
          <w:rFonts w:ascii="Garamond" w:hAnsi="Garamond"/>
          <w:sz w:val="24"/>
          <w:szCs w:val="24"/>
        </w:rPr>
        <w:t xml:space="preserve"> žalobě vymezen. </w:t>
      </w:r>
      <w:r w:rsidR="000B6B91" w:rsidRPr="00DA196C">
        <w:rPr>
          <w:rFonts w:ascii="Garamond" w:hAnsi="Garamond"/>
          <w:sz w:val="24"/>
          <w:szCs w:val="24"/>
        </w:rPr>
        <w:t xml:space="preserve">Jak uvádějí Kincl, </w:t>
      </w:r>
      <w:proofErr w:type="spellStart"/>
      <w:r w:rsidR="000B6B91" w:rsidRPr="00DA196C">
        <w:rPr>
          <w:rFonts w:ascii="Garamond" w:hAnsi="Garamond"/>
          <w:sz w:val="24"/>
          <w:szCs w:val="24"/>
        </w:rPr>
        <w:t>Urfus</w:t>
      </w:r>
      <w:proofErr w:type="spellEnd"/>
      <w:r w:rsidR="000B6B91" w:rsidRPr="00DA196C">
        <w:rPr>
          <w:rFonts w:ascii="Garamond" w:hAnsi="Garamond"/>
          <w:sz w:val="24"/>
          <w:szCs w:val="24"/>
        </w:rPr>
        <w:t xml:space="preserve">, </w:t>
      </w:r>
      <w:proofErr w:type="spellStart"/>
      <w:r w:rsidR="000B6B91" w:rsidRPr="00DA196C">
        <w:rPr>
          <w:rFonts w:ascii="Garamond" w:hAnsi="Garamond"/>
          <w:sz w:val="24"/>
          <w:szCs w:val="24"/>
        </w:rPr>
        <w:t>Skřejpek</w:t>
      </w:r>
      <w:proofErr w:type="spellEnd"/>
      <w:r w:rsidR="000B6B91" w:rsidRPr="00DA196C">
        <w:rPr>
          <w:rFonts w:ascii="Garamond" w:hAnsi="Garamond"/>
          <w:sz w:val="24"/>
          <w:szCs w:val="24"/>
        </w:rPr>
        <w:t xml:space="preserve">: </w:t>
      </w:r>
      <w:r w:rsidR="003F137D" w:rsidRPr="00DA196C">
        <w:rPr>
          <w:rFonts w:ascii="Garamond" w:hAnsi="Garamond"/>
          <w:i/>
          <w:sz w:val="24"/>
          <w:szCs w:val="24"/>
        </w:rPr>
        <w:t>„Vindikace musila směřovat vždy k určité věci. Žalobce byl proto povinen označit přesně předmět svého vlastnického práva, které hodlal před soudem prokázat. Výjimku tvořila vindikace poměrné části, došlo-li k smísení nebo slití sypkých či kapalných věcí.“</w:t>
      </w:r>
      <w:r w:rsidR="003F137D" w:rsidRPr="00DA196C">
        <w:rPr>
          <w:rStyle w:val="Znakapoznpodarou"/>
          <w:rFonts w:ascii="Garamond" w:hAnsi="Garamond"/>
          <w:sz w:val="24"/>
          <w:szCs w:val="24"/>
        </w:rPr>
        <w:footnoteReference w:id="45"/>
      </w:r>
      <w:r w:rsidR="007613FD" w:rsidRPr="00DA196C">
        <w:rPr>
          <w:rFonts w:ascii="Garamond" w:hAnsi="Garamond"/>
          <w:sz w:val="24"/>
          <w:szCs w:val="24"/>
        </w:rPr>
        <w:t xml:space="preserve"> </w:t>
      </w:r>
      <w:r w:rsidR="005C205F" w:rsidRPr="00DA196C">
        <w:rPr>
          <w:rFonts w:ascii="Garamond" w:hAnsi="Garamond"/>
          <w:sz w:val="24"/>
          <w:szCs w:val="24"/>
        </w:rPr>
        <w:t>Žalobce tedy musel věc v žalobě jednoznačně identifikovat tak, aby nebyla zaměnitelná s jinými věcmi téhož druhu. Bylo potřeba uvést druh, váhu, míru, počet, barvu, tvar atd. Jestliže se jednalo o otroka</w:t>
      </w:r>
      <w:r w:rsidR="003A4787" w:rsidRPr="00DA196C">
        <w:rPr>
          <w:rFonts w:ascii="Garamond" w:hAnsi="Garamond"/>
          <w:sz w:val="24"/>
          <w:szCs w:val="24"/>
        </w:rPr>
        <w:t>, bylo třeba uvést jméno, ale bylo vhodné specifikovat jej blíže i uvedením věku. U pozemku bylo třeba jej specifikovat názvem a polohou.</w:t>
      </w:r>
      <w:r w:rsidR="003A4787" w:rsidRPr="00DA196C">
        <w:rPr>
          <w:rStyle w:val="Znakapoznpodarou"/>
          <w:rFonts w:ascii="Garamond" w:hAnsi="Garamond"/>
          <w:sz w:val="24"/>
          <w:szCs w:val="24"/>
        </w:rPr>
        <w:footnoteReference w:id="46"/>
      </w:r>
    </w:p>
    <w:p w:rsidR="007613FD" w:rsidRPr="00DA196C" w:rsidRDefault="007613FD"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Chybné či nedostatečně určité označení </w:t>
      </w:r>
      <w:proofErr w:type="spellStart"/>
      <w:r w:rsidRPr="00DA196C">
        <w:rPr>
          <w:rFonts w:ascii="Garamond" w:hAnsi="Garamond"/>
          <w:sz w:val="24"/>
          <w:szCs w:val="24"/>
        </w:rPr>
        <w:t>vindikované</w:t>
      </w:r>
      <w:proofErr w:type="spellEnd"/>
      <w:r w:rsidRPr="00DA196C">
        <w:rPr>
          <w:rFonts w:ascii="Garamond" w:hAnsi="Garamond"/>
          <w:sz w:val="24"/>
          <w:szCs w:val="24"/>
        </w:rPr>
        <w:t xml:space="preserve"> věci žalobcem mělo za následek neúspěch ve sporu. Nicméně chy</w:t>
      </w:r>
      <w:r w:rsidR="00AF70D0">
        <w:rPr>
          <w:rFonts w:ascii="Garamond" w:hAnsi="Garamond"/>
          <w:sz w:val="24"/>
          <w:szCs w:val="24"/>
        </w:rPr>
        <w:t>bné označení věci, které nebránilo</w:t>
      </w:r>
      <w:r w:rsidRPr="00DA196C">
        <w:rPr>
          <w:rFonts w:ascii="Garamond" w:hAnsi="Garamond"/>
          <w:sz w:val="24"/>
          <w:szCs w:val="24"/>
        </w:rPr>
        <w:t xml:space="preserve"> správné identifikaci </w:t>
      </w:r>
      <w:proofErr w:type="spellStart"/>
      <w:r w:rsidRPr="00DA196C">
        <w:rPr>
          <w:rFonts w:ascii="Garamond" w:hAnsi="Garamond"/>
          <w:sz w:val="24"/>
          <w:szCs w:val="24"/>
        </w:rPr>
        <w:t>vindikované</w:t>
      </w:r>
      <w:proofErr w:type="spellEnd"/>
      <w:r w:rsidRPr="00DA196C">
        <w:rPr>
          <w:rFonts w:ascii="Garamond" w:hAnsi="Garamond"/>
          <w:sz w:val="24"/>
          <w:szCs w:val="24"/>
        </w:rPr>
        <w:t xml:space="preserve"> věci, ke ztrátě procesu nevedlo.</w:t>
      </w:r>
      <w:r w:rsidRPr="00DA196C">
        <w:rPr>
          <w:rStyle w:val="Znakapoznpodarou"/>
          <w:rFonts w:ascii="Garamond" w:hAnsi="Garamond"/>
          <w:sz w:val="24"/>
          <w:szCs w:val="24"/>
        </w:rPr>
        <w:footnoteReference w:id="47"/>
      </w:r>
    </w:p>
    <w:p w:rsidR="00D93F59" w:rsidRPr="00DA196C" w:rsidRDefault="00442436" w:rsidP="00FA1FF7">
      <w:pPr>
        <w:pStyle w:val="Nadpis2"/>
        <w:contextualSpacing/>
      </w:pPr>
      <w:bookmarkStart w:id="8" w:name="_Toc36031937"/>
      <w:r w:rsidRPr="00DA196C">
        <w:t xml:space="preserve">Obecně o současné právní úpravě </w:t>
      </w:r>
      <w:proofErr w:type="spellStart"/>
      <w:r w:rsidRPr="00DA196C">
        <w:t>reivindikace</w:t>
      </w:r>
      <w:bookmarkEnd w:id="8"/>
      <w:proofErr w:type="spellEnd"/>
    </w:p>
    <w:p w:rsidR="00DC0940" w:rsidRPr="00DA196C" w:rsidRDefault="00DC0940"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Základ současné právní úpravy reivindikační žaloby nalezneme v ustanoveních § 1040 a § 1041 občanského zákoníku</w:t>
      </w:r>
      <w:r w:rsidRPr="00DA196C">
        <w:rPr>
          <w:rStyle w:val="Znakapoznpodarou"/>
          <w:rFonts w:ascii="Garamond" w:hAnsi="Garamond"/>
          <w:sz w:val="24"/>
          <w:szCs w:val="24"/>
        </w:rPr>
        <w:footnoteReference w:id="48"/>
      </w:r>
      <w:r w:rsidRPr="00DA196C">
        <w:rPr>
          <w:rFonts w:ascii="Garamond" w:hAnsi="Garamond"/>
          <w:sz w:val="24"/>
          <w:szCs w:val="24"/>
        </w:rPr>
        <w:t xml:space="preserve">. </w:t>
      </w:r>
    </w:p>
    <w:p w:rsidR="004C480A" w:rsidRPr="00DA196C" w:rsidRDefault="00DC0940"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Ustanovení § 1040 odst. 1 říká, že: </w:t>
      </w:r>
      <w:r w:rsidRPr="00DA196C">
        <w:rPr>
          <w:rFonts w:ascii="Garamond" w:hAnsi="Garamond"/>
          <w:i/>
          <w:sz w:val="24"/>
          <w:szCs w:val="24"/>
        </w:rPr>
        <w:t>„Kdo věc neprávem zadržuje, může být vlastníkem žalován, aby ji vydal.“</w:t>
      </w:r>
      <w:r w:rsidRPr="00DA196C">
        <w:rPr>
          <w:rFonts w:ascii="Garamond" w:hAnsi="Garamond"/>
          <w:sz w:val="24"/>
          <w:szCs w:val="24"/>
        </w:rPr>
        <w:t xml:space="preserve"> </w:t>
      </w:r>
      <w:r w:rsidR="00C076BC" w:rsidRPr="00DA196C">
        <w:rPr>
          <w:rFonts w:ascii="Garamond" w:hAnsi="Garamond"/>
          <w:sz w:val="24"/>
          <w:szCs w:val="24"/>
        </w:rPr>
        <w:t>Z citovaného ustanovení občanského zákoníku plyne, že stejně jako v římském právu, i dnes slouží reivindikační žaloba k och</w:t>
      </w:r>
      <w:r w:rsidR="008A07FA" w:rsidRPr="00DA196C">
        <w:rPr>
          <w:rFonts w:ascii="Garamond" w:hAnsi="Garamond"/>
          <w:sz w:val="24"/>
          <w:szCs w:val="24"/>
        </w:rPr>
        <w:t>raně vlastnického práva nedržícího vlastníka</w:t>
      </w:r>
      <w:r w:rsidR="00C076BC" w:rsidRPr="00DA196C">
        <w:rPr>
          <w:rFonts w:ascii="Garamond" w:hAnsi="Garamond"/>
          <w:sz w:val="24"/>
          <w:szCs w:val="24"/>
        </w:rPr>
        <w:t xml:space="preserve"> věci proti </w:t>
      </w:r>
      <w:proofErr w:type="spellStart"/>
      <w:r w:rsidR="00367277" w:rsidRPr="00DA196C">
        <w:rPr>
          <w:rFonts w:ascii="Garamond" w:hAnsi="Garamond"/>
          <w:sz w:val="24"/>
          <w:szCs w:val="24"/>
        </w:rPr>
        <w:t>nevla</w:t>
      </w:r>
      <w:r w:rsidR="00AF70D0">
        <w:rPr>
          <w:rFonts w:ascii="Garamond" w:hAnsi="Garamond"/>
          <w:sz w:val="24"/>
          <w:szCs w:val="24"/>
        </w:rPr>
        <w:t>stníkovi</w:t>
      </w:r>
      <w:proofErr w:type="spellEnd"/>
      <w:r w:rsidR="00AF70D0">
        <w:rPr>
          <w:rFonts w:ascii="Garamond" w:hAnsi="Garamond"/>
          <w:sz w:val="24"/>
          <w:szCs w:val="24"/>
        </w:rPr>
        <w:t xml:space="preserve">, který </w:t>
      </w:r>
      <w:r w:rsidR="00367277" w:rsidRPr="00DA196C">
        <w:rPr>
          <w:rFonts w:ascii="Garamond" w:hAnsi="Garamond"/>
          <w:sz w:val="24"/>
          <w:szCs w:val="24"/>
        </w:rPr>
        <w:t xml:space="preserve">věc neprávem </w:t>
      </w:r>
      <w:r w:rsidR="00AF70D0">
        <w:rPr>
          <w:rFonts w:ascii="Garamond" w:hAnsi="Garamond"/>
          <w:sz w:val="24"/>
          <w:szCs w:val="24"/>
        </w:rPr>
        <w:t>zadržuje.</w:t>
      </w:r>
    </w:p>
    <w:p w:rsidR="0054186C" w:rsidRPr="00DA196C" w:rsidRDefault="0054186C"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lastRenderedPageBreak/>
        <w:t xml:space="preserve">Ustanovení </w:t>
      </w:r>
      <w:r w:rsidR="003B6052" w:rsidRPr="00DA196C">
        <w:rPr>
          <w:rFonts w:ascii="Garamond" w:hAnsi="Garamond"/>
          <w:sz w:val="24"/>
          <w:szCs w:val="24"/>
        </w:rPr>
        <w:t xml:space="preserve">§ 1041 odst. 1 zní: </w:t>
      </w:r>
      <w:r w:rsidR="003B6052" w:rsidRPr="00DA196C">
        <w:rPr>
          <w:rFonts w:ascii="Garamond" w:hAnsi="Garamond"/>
          <w:i/>
          <w:sz w:val="24"/>
          <w:szCs w:val="24"/>
        </w:rPr>
        <w:t xml:space="preserve">„Kdo se domáhá, aby mu věc byla vydána, musí ji popsat takovými znaky, kterými se rozeznává od jiných věcí téhož druhu.“ </w:t>
      </w:r>
      <w:r w:rsidR="003B6052" w:rsidRPr="00DA196C">
        <w:rPr>
          <w:rFonts w:ascii="Garamond" w:hAnsi="Garamond"/>
          <w:sz w:val="24"/>
          <w:szCs w:val="24"/>
        </w:rPr>
        <w:t xml:space="preserve">Z citovaného zákonného ustanovení je zjevné, že </w:t>
      </w:r>
      <w:r w:rsidR="00AE3FEC" w:rsidRPr="00DA196C">
        <w:rPr>
          <w:rFonts w:ascii="Garamond" w:hAnsi="Garamond"/>
          <w:sz w:val="24"/>
          <w:szCs w:val="24"/>
        </w:rPr>
        <w:t>pro úspěšné uplatnění svého práva na soudě, musí žalobce vindikovanou věc popsat tak, aby nebyla zaměnitelná s jinými věcmi téhož druhu, tedy aby bylo možno spolehlivě rozeznat, že ta která věc je skutečně právě tou věcí, k níž má žalobce vlastnické právo.</w:t>
      </w:r>
      <w:r w:rsidR="006142B1" w:rsidRPr="00DA196C">
        <w:rPr>
          <w:rFonts w:ascii="Garamond" w:hAnsi="Garamond"/>
          <w:sz w:val="24"/>
          <w:szCs w:val="24"/>
        </w:rPr>
        <w:t xml:space="preserve"> </w:t>
      </w:r>
      <w:r w:rsidR="00533D8A" w:rsidRPr="00DA196C">
        <w:rPr>
          <w:rFonts w:ascii="Garamond" w:hAnsi="Garamond"/>
          <w:sz w:val="24"/>
          <w:szCs w:val="24"/>
        </w:rPr>
        <w:t xml:space="preserve">Toto se tedy shoduje i s římskoprávní úpravou, která taktéž kladla požadavek na přesné označení </w:t>
      </w:r>
      <w:proofErr w:type="spellStart"/>
      <w:r w:rsidR="00533D8A" w:rsidRPr="00DA196C">
        <w:rPr>
          <w:rFonts w:ascii="Garamond" w:hAnsi="Garamond"/>
          <w:sz w:val="24"/>
          <w:szCs w:val="24"/>
        </w:rPr>
        <w:t>vindikované</w:t>
      </w:r>
      <w:proofErr w:type="spellEnd"/>
      <w:r w:rsidR="00533D8A" w:rsidRPr="00DA196C">
        <w:rPr>
          <w:rFonts w:ascii="Garamond" w:hAnsi="Garamond"/>
          <w:sz w:val="24"/>
          <w:szCs w:val="24"/>
        </w:rPr>
        <w:t xml:space="preserve"> věci. Zmíněné</w:t>
      </w:r>
      <w:r w:rsidR="003614F1" w:rsidRPr="00DA196C">
        <w:rPr>
          <w:rFonts w:ascii="Garamond" w:hAnsi="Garamond"/>
          <w:sz w:val="24"/>
          <w:szCs w:val="24"/>
        </w:rPr>
        <w:t xml:space="preserve"> pravidlo do jisté míry zmírňuje judikatura, kdy například podle usnesení Nejvyššího soudu ze dne 3. 10. 2002, sp. zn. 22 Cdo 1474/2002 </w:t>
      </w:r>
      <w:r w:rsidR="003614F1" w:rsidRPr="00DA196C">
        <w:rPr>
          <w:rFonts w:ascii="Garamond" w:hAnsi="Garamond"/>
          <w:i/>
          <w:sz w:val="24"/>
          <w:szCs w:val="24"/>
        </w:rPr>
        <w:t>„po žalobci nelze vždy žádat, aby věc, jejíhož vydání se domáhá, popsal způsobem, který by ji odlišil od všech existujících věcí stejného druhu. Postačí, popíše-li ji obecněji. Pokud by žalovaný tvrdil, že má v držbě (detenci) více věcí, které by odpovídaly takto specifikované věci, bylo by na něm ohledně tohoto tvrzení důkazní břemeno; v případě, že by v řízení vyšlo najevo, že tomu tak skutečně je, musel by žalobce popis věcí upřesnit.“</w:t>
      </w:r>
      <w:r w:rsidR="003614F1" w:rsidRPr="00DA196C">
        <w:rPr>
          <w:rFonts w:ascii="Garamond" w:hAnsi="Garamond"/>
          <w:sz w:val="24"/>
          <w:szCs w:val="24"/>
        </w:rPr>
        <w:t xml:space="preserve"> </w:t>
      </w:r>
    </w:p>
    <w:p w:rsidR="00BD0A71" w:rsidRPr="00DA196C" w:rsidRDefault="00BD0A71"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Předmětem </w:t>
      </w:r>
      <w:proofErr w:type="spellStart"/>
      <w:r w:rsidRPr="00DA196C">
        <w:rPr>
          <w:rFonts w:ascii="Garamond" w:hAnsi="Garamond"/>
          <w:sz w:val="24"/>
          <w:szCs w:val="24"/>
        </w:rPr>
        <w:t>reivindikace</w:t>
      </w:r>
      <w:proofErr w:type="spellEnd"/>
      <w:r w:rsidRPr="00DA196C">
        <w:rPr>
          <w:rFonts w:ascii="Garamond" w:hAnsi="Garamond"/>
          <w:sz w:val="24"/>
          <w:szCs w:val="24"/>
        </w:rPr>
        <w:t xml:space="preserve"> je věc v právním smyslu tak, jak stanovuje ustanovení § 489 a následující občanského zákoníku. V současné právní úpravě může být předmětem reivindikace jak věc hmotná, tak i nehmotná</w:t>
      </w:r>
      <w:r w:rsidRPr="00DA196C">
        <w:rPr>
          <w:rStyle w:val="Znakapoznpodarou"/>
          <w:rFonts w:ascii="Garamond" w:hAnsi="Garamond"/>
          <w:sz w:val="24"/>
          <w:szCs w:val="24"/>
        </w:rPr>
        <w:footnoteReference w:id="49"/>
      </w:r>
      <w:r w:rsidRPr="00DA196C">
        <w:rPr>
          <w:rFonts w:ascii="Garamond" w:hAnsi="Garamond"/>
          <w:sz w:val="24"/>
          <w:szCs w:val="24"/>
        </w:rPr>
        <w:t>, avšak z povahy věci je v praxi reivindikační žaloba užívána především co se věcí hmotných týče.</w:t>
      </w:r>
      <w:r w:rsidR="00E171EF" w:rsidRPr="00DA196C">
        <w:rPr>
          <w:rFonts w:ascii="Garamond" w:hAnsi="Garamond"/>
          <w:sz w:val="24"/>
          <w:szCs w:val="24"/>
        </w:rPr>
        <w:t xml:space="preserve"> </w:t>
      </w:r>
      <w:r w:rsidR="00E171EF" w:rsidRPr="00DA196C">
        <w:rPr>
          <w:rFonts w:ascii="Garamond" w:hAnsi="Garamond"/>
          <w:i/>
          <w:sz w:val="24"/>
          <w:szCs w:val="24"/>
        </w:rPr>
        <w:t>„Vindikovat lze jen takové věci, které lze odlišit od jiných věcí téhož druhu, tedy i věci zastupitelné, lze-li je individualizovat (pokud nebyly např. smíšeny s jinými stejnými věcmi, např. i bankovky určené identifikačními znaky – viz níže). Vlastnické právo k věcem smíseným s jinými, není-li obnovení předešlého stavu možné, zaniká (§ 1078 odst. 1), resp. vzniká podílové spoluvlastnictví (§ 1079). Původnímu vlastníkovi v těchto případech poskytují ochranu ustanovení o smísení (§ 1078 a násl.).“</w:t>
      </w:r>
      <w:r w:rsidR="00E171EF" w:rsidRPr="00DA196C">
        <w:rPr>
          <w:rStyle w:val="Znakapoznpodarou"/>
          <w:rFonts w:ascii="Garamond" w:hAnsi="Garamond"/>
          <w:i/>
          <w:sz w:val="24"/>
          <w:szCs w:val="24"/>
        </w:rPr>
        <w:footnoteReference w:id="50"/>
      </w:r>
    </w:p>
    <w:p w:rsidR="0012214A" w:rsidRPr="00DA196C" w:rsidRDefault="0012214A" w:rsidP="00FA1FF7">
      <w:pPr>
        <w:spacing w:after="0" w:line="360" w:lineRule="auto"/>
        <w:ind w:firstLine="708"/>
        <w:contextualSpacing/>
        <w:jc w:val="both"/>
        <w:rPr>
          <w:rFonts w:ascii="Garamond" w:hAnsi="Garamond"/>
          <w:i/>
          <w:sz w:val="24"/>
          <w:szCs w:val="24"/>
        </w:rPr>
      </w:pPr>
      <w:r w:rsidRPr="00DA196C">
        <w:rPr>
          <w:rFonts w:ascii="Garamond" w:hAnsi="Garamond"/>
          <w:sz w:val="24"/>
          <w:szCs w:val="24"/>
        </w:rPr>
        <w:t>Ustanovení</w:t>
      </w:r>
      <w:r w:rsidR="00AE3FEC" w:rsidRPr="00DA196C">
        <w:rPr>
          <w:rFonts w:ascii="Garamond" w:hAnsi="Garamond"/>
          <w:sz w:val="24"/>
          <w:szCs w:val="24"/>
        </w:rPr>
        <w:t xml:space="preserve"> § 1041 odst. 2 zní: </w:t>
      </w:r>
      <w:r w:rsidR="00AE3FEC" w:rsidRPr="00DA196C">
        <w:rPr>
          <w:rFonts w:ascii="Garamond" w:hAnsi="Garamond"/>
          <w:i/>
          <w:sz w:val="24"/>
          <w:szCs w:val="24"/>
        </w:rPr>
        <w:t>„Vydání movité věci, kterou nelze rozeznat podle odstavce 1, zejména jedná-li se o peníze nebo o cenné papíry na doručitele smíšené s jinými věcmi téhož druhu, se lze domáhat, jen lze-li z okolností seznat vlastnické právo osoby, jež právo uplatňuje, a nedostatek dobré víry osoby, na níž je požadováno vydání věci.“</w:t>
      </w:r>
      <w:r w:rsidR="00AE3FEC" w:rsidRPr="00DA196C">
        <w:rPr>
          <w:rFonts w:ascii="Garamond" w:hAnsi="Garamond"/>
          <w:sz w:val="24"/>
          <w:szCs w:val="24"/>
        </w:rPr>
        <w:t xml:space="preserve"> </w:t>
      </w:r>
      <w:r w:rsidRPr="00DA196C">
        <w:rPr>
          <w:rFonts w:ascii="Garamond" w:hAnsi="Garamond"/>
          <w:sz w:val="24"/>
          <w:szCs w:val="24"/>
        </w:rPr>
        <w:t xml:space="preserve">Předmětné ustanovení se vztahuje na případy, kdy se sice jedná o věci, které zpravidla nelze individualizovat (zejména věci druhově určené), avšak v konkrétním případě lze z jiných skutečností než popisem věcí samotných zjistit, že se jedná právě o tyto konkrétní věci, lze je jistým způsobem v tomto konkrétním případě individualizovat. </w:t>
      </w:r>
      <w:r w:rsidRPr="00DA196C">
        <w:rPr>
          <w:rFonts w:ascii="Garamond" w:hAnsi="Garamond"/>
          <w:i/>
          <w:sz w:val="24"/>
          <w:szCs w:val="24"/>
        </w:rPr>
        <w:t>„Tak např. někdo odcizí hromadu uhlí; vlastník dokáže, že zloděj uhlí dovezl do sklepa a že tam žádné vlastní uhlí předtím ani potom neměl (je tak vyloučeno smísení).“</w:t>
      </w:r>
      <w:r w:rsidRPr="00DA196C">
        <w:rPr>
          <w:rStyle w:val="Znakapoznpodarou"/>
          <w:rFonts w:ascii="Garamond" w:hAnsi="Garamond"/>
          <w:i/>
          <w:sz w:val="24"/>
          <w:szCs w:val="24"/>
        </w:rPr>
        <w:footnoteReference w:id="51"/>
      </w:r>
    </w:p>
    <w:p w:rsidR="00AF70D0" w:rsidRDefault="00804C00"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plodů a užitků věci týče, dle ustanovení § 996 odst. 2 občanského zákoníku po dobu poctivé držby </w:t>
      </w:r>
      <w:r w:rsidRPr="00DA196C">
        <w:rPr>
          <w:rFonts w:ascii="Garamond" w:hAnsi="Garamond"/>
          <w:i/>
          <w:sz w:val="24"/>
          <w:szCs w:val="24"/>
        </w:rPr>
        <w:t>„Poctivému držiteli náležejí všechny plody věci, jakmile se oddělí. Jeho jsou také všechny již vybrané užitky, které za držby dospěly.“</w:t>
      </w:r>
      <w:r w:rsidRPr="00DA196C">
        <w:rPr>
          <w:rFonts w:ascii="Garamond" w:hAnsi="Garamond"/>
          <w:sz w:val="24"/>
          <w:szCs w:val="24"/>
        </w:rPr>
        <w:t xml:space="preserve"> </w:t>
      </w:r>
      <w:r w:rsidR="00D20AF9" w:rsidRPr="00DA196C">
        <w:rPr>
          <w:rFonts w:ascii="Garamond" w:hAnsi="Garamond"/>
          <w:sz w:val="24"/>
          <w:szCs w:val="24"/>
        </w:rPr>
        <w:t xml:space="preserve">V případě nepoctivého držitele nacházíme právní úpravu </w:t>
      </w:r>
      <w:r w:rsidR="00D20AF9" w:rsidRPr="00DA196C">
        <w:rPr>
          <w:rFonts w:ascii="Garamond" w:hAnsi="Garamond"/>
          <w:sz w:val="24"/>
          <w:szCs w:val="24"/>
        </w:rPr>
        <w:lastRenderedPageBreak/>
        <w:t xml:space="preserve">v ustanovení § 1000 občanského zákoníku, dle kterého </w:t>
      </w:r>
      <w:r w:rsidR="00D20AF9" w:rsidRPr="00DA196C">
        <w:rPr>
          <w:rFonts w:ascii="Garamond" w:hAnsi="Garamond"/>
          <w:i/>
          <w:sz w:val="24"/>
          <w:szCs w:val="24"/>
        </w:rPr>
        <w:t xml:space="preserve">„Nepoctivý držitel vydá veškerý užitek, kterého držbou nabyl, a nahradí ten, který by získala zkrácená osoba, jakož i všechnu </w:t>
      </w:r>
      <w:proofErr w:type="gramStart"/>
      <w:r w:rsidR="00D20AF9" w:rsidRPr="00DA196C">
        <w:rPr>
          <w:rFonts w:ascii="Garamond" w:hAnsi="Garamond"/>
          <w:i/>
          <w:sz w:val="24"/>
          <w:szCs w:val="24"/>
        </w:rPr>
        <w:t>škodu</w:t>
      </w:r>
      <w:proofErr w:type="gramEnd"/>
      <w:r w:rsidR="00D20AF9" w:rsidRPr="00DA196C">
        <w:rPr>
          <w:rFonts w:ascii="Garamond" w:hAnsi="Garamond"/>
          <w:i/>
          <w:sz w:val="24"/>
          <w:szCs w:val="24"/>
        </w:rPr>
        <w:t>, která vzešla z jeho držby.“</w:t>
      </w:r>
      <w:r w:rsidR="001E2F4B" w:rsidRPr="00DA196C">
        <w:rPr>
          <w:rFonts w:ascii="Garamond" w:hAnsi="Garamond"/>
          <w:sz w:val="24"/>
          <w:szCs w:val="24"/>
        </w:rPr>
        <w:t xml:space="preserve"> Nepoctivý držitel tedy musí vydat žalobci spolu s věcí veškeré plody a užitky za celou dobu své držby, a musí též nahradit spotřebované plody a užitky a takové plody a užitky, které by normálně mohl těžit žalobce jakožto vlastník věci.</w:t>
      </w:r>
    </w:p>
    <w:p w:rsidR="00804C00" w:rsidRPr="00DA196C" w:rsidRDefault="00AF70D0" w:rsidP="00FA1FF7">
      <w:pPr>
        <w:spacing w:line="360" w:lineRule="auto"/>
        <w:contextualSpacing/>
        <w:jc w:val="both"/>
        <w:rPr>
          <w:rFonts w:ascii="Garamond" w:hAnsi="Garamond"/>
          <w:sz w:val="24"/>
          <w:szCs w:val="24"/>
        </w:rPr>
      </w:pPr>
      <w:r>
        <w:rPr>
          <w:rFonts w:ascii="Garamond" w:hAnsi="Garamond"/>
          <w:sz w:val="24"/>
          <w:szCs w:val="24"/>
        </w:rPr>
        <w:br w:type="page"/>
      </w:r>
    </w:p>
    <w:p w:rsidR="00442436" w:rsidRPr="00DA196C" w:rsidRDefault="00442436" w:rsidP="00FA1FF7">
      <w:pPr>
        <w:pStyle w:val="Nadpis1"/>
        <w:contextualSpacing/>
      </w:pPr>
      <w:bookmarkStart w:id="9" w:name="_Toc36031938"/>
      <w:r w:rsidRPr="00DA196C">
        <w:lastRenderedPageBreak/>
        <w:t>Aktivní legitimace</w:t>
      </w:r>
      <w:bookmarkEnd w:id="9"/>
    </w:p>
    <w:p w:rsidR="00442436" w:rsidRPr="00DA196C" w:rsidRDefault="00442436" w:rsidP="00FA1FF7">
      <w:pPr>
        <w:pStyle w:val="Nadpis2"/>
        <w:contextualSpacing/>
      </w:pPr>
      <w:bookmarkStart w:id="10" w:name="_Toc36031939"/>
      <w:r w:rsidRPr="00DA196C">
        <w:t>Aktivní legitimace v římském právu</w:t>
      </w:r>
      <w:bookmarkEnd w:id="10"/>
    </w:p>
    <w:p w:rsidR="00D14407" w:rsidRPr="00DA196C" w:rsidRDefault="00D1440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S otázkou aktivní legitimace úzce souvisí problematika vlatsnictví</w:t>
      </w:r>
      <w:r w:rsidR="00BA20CE" w:rsidRPr="00DA196C">
        <w:rPr>
          <w:rFonts w:ascii="Garamond" w:hAnsi="Garamond"/>
          <w:sz w:val="24"/>
          <w:szCs w:val="24"/>
        </w:rPr>
        <w:t xml:space="preserve">. Je zde důležité především rozdělení na vlastnictví kíritské a bonitární, </w:t>
      </w:r>
      <w:r w:rsidR="00AF70D0">
        <w:rPr>
          <w:rFonts w:ascii="Garamond" w:hAnsi="Garamond"/>
          <w:sz w:val="24"/>
          <w:szCs w:val="24"/>
        </w:rPr>
        <w:t xml:space="preserve">které se uplatňovalo až do dob </w:t>
      </w:r>
      <w:proofErr w:type="spellStart"/>
      <w:r w:rsidR="00AF70D0">
        <w:rPr>
          <w:rFonts w:ascii="Garamond" w:hAnsi="Garamond"/>
          <w:sz w:val="24"/>
          <w:szCs w:val="24"/>
        </w:rPr>
        <w:t>j</w:t>
      </w:r>
      <w:r w:rsidR="00BA20CE" w:rsidRPr="00DA196C">
        <w:rPr>
          <w:rFonts w:ascii="Garamond" w:hAnsi="Garamond"/>
          <w:sz w:val="24"/>
          <w:szCs w:val="24"/>
        </w:rPr>
        <w:t>ustiniánského</w:t>
      </w:r>
      <w:proofErr w:type="spellEnd"/>
      <w:r w:rsidR="00BA20CE" w:rsidRPr="00DA196C">
        <w:rPr>
          <w:rFonts w:ascii="Garamond" w:hAnsi="Garamond"/>
          <w:sz w:val="24"/>
          <w:szCs w:val="24"/>
        </w:rPr>
        <w:t xml:space="preserve"> práva</w:t>
      </w:r>
      <w:r w:rsidR="000705C3" w:rsidRPr="00DA196C">
        <w:rPr>
          <w:rFonts w:ascii="Garamond" w:hAnsi="Garamond"/>
          <w:sz w:val="24"/>
          <w:szCs w:val="24"/>
        </w:rPr>
        <w:t xml:space="preserve">, </w:t>
      </w:r>
      <w:r w:rsidR="00935A18" w:rsidRPr="00DA196C">
        <w:rPr>
          <w:rFonts w:ascii="Garamond" w:hAnsi="Garamond"/>
          <w:sz w:val="24"/>
          <w:szCs w:val="24"/>
        </w:rPr>
        <w:t>kdy bylo zavedeno</w:t>
      </w:r>
      <w:r w:rsidR="000705C3" w:rsidRPr="00DA196C">
        <w:rPr>
          <w:rFonts w:ascii="Garamond" w:hAnsi="Garamond"/>
          <w:sz w:val="24"/>
          <w:szCs w:val="24"/>
        </w:rPr>
        <w:t xml:space="preserve"> pouze jediné </w:t>
      </w:r>
      <w:proofErr w:type="spellStart"/>
      <w:r w:rsidR="000705C3" w:rsidRPr="00DA196C">
        <w:rPr>
          <w:rFonts w:ascii="Garamond" w:hAnsi="Garamond"/>
          <w:sz w:val="24"/>
          <w:szCs w:val="24"/>
        </w:rPr>
        <w:t>vlatsnictví</w:t>
      </w:r>
      <w:proofErr w:type="spellEnd"/>
      <w:r w:rsidR="000705C3" w:rsidRPr="00DA196C">
        <w:rPr>
          <w:rStyle w:val="Znakapoznpodarou"/>
          <w:rFonts w:ascii="Garamond" w:hAnsi="Garamond"/>
          <w:sz w:val="24"/>
          <w:szCs w:val="24"/>
        </w:rPr>
        <w:footnoteReference w:id="52"/>
      </w:r>
      <w:r w:rsidR="00BA20CE" w:rsidRPr="00DA196C">
        <w:rPr>
          <w:rFonts w:ascii="Garamond" w:hAnsi="Garamond"/>
          <w:sz w:val="24"/>
          <w:szCs w:val="24"/>
        </w:rPr>
        <w:t>.</w:t>
      </w:r>
    </w:p>
    <w:p w:rsidR="00D14407" w:rsidRPr="00DA196C" w:rsidRDefault="00D14407" w:rsidP="00FA1FF7">
      <w:pPr>
        <w:spacing w:after="0" w:line="360" w:lineRule="auto"/>
        <w:ind w:firstLine="708"/>
        <w:contextualSpacing/>
        <w:jc w:val="both"/>
        <w:rPr>
          <w:rFonts w:ascii="Garamond" w:hAnsi="Garamond"/>
          <w:sz w:val="24"/>
          <w:szCs w:val="24"/>
        </w:rPr>
      </w:pPr>
      <w:proofErr w:type="spellStart"/>
      <w:r w:rsidRPr="00DA196C">
        <w:rPr>
          <w:rFonts w:ascii="Garamond" w:hAnsi="Garamond"/>
          <w:sz w:val="24"/>
          <w:szCs w:val="24"/>
        </w:rPr>
        <w:t>Kvíritské</w:t>
      </w:r>
      <w:proofErr w:type="spellEnd"/>
      <w:r w:rsidRPr="00DA196C">
        <w:rPr>
          <w:rFonts w:ascii="Garamond" w:hAnsi="Garamond"/>
          <w:sz w:val="24"/>
          <w:szCs w:val="24"/>
        </w:rPr>
        <w:t xml:space="preserve"> vlastnictví (</w:t>
      </w:r>
      <w:r w:rsidRPr="00AF70D0">
        <w:rPr>
          <w:rFonts w:ascii="Garamond" w:hAnsi="Garamond"/>
          <w:i/>
          <w:sz w:val="24"/>
          <w:szCs w:val="24"/>
        </w:rPr>
        <w:t>dominium ex iure Quiritium</w:t>
      </w:r>
      <w:r w:rsidRPr="00DA196C">
        <w:rPr>
          <w:rFonts w:ascii="Garamond" w:hAnsi="Garamond"/>
          <w:sz w:val="24"/>
          <w:szCs w:val="24"/>
        </w:rPr>
        <w:t>), nebo též civilní vlastnictví, bylo vlastnickým vztahem, který byl chráněný římským civilním právem. Subjektem mohl být výlučně římský občan. Předmětem kvíritského vlastnictví mohly být věci movité nebo italské pozemky. Vlastnické vztahy jiných osob než římských občanů nebyly původně vůbec považovány za vlastnictví v právním smyslu a nebyly proto chráněny. Postupem času však docházelo k rozvoji obchodu a bylo tedy nutné jednak chránit majetek těchto osob přicházejících za obchodem do Říma, ale také chránit neformální způsoby převodu vlastnického práva (z praktických důvodů začala při prodeji mancipačních věcí převažovat tradice nad mancipací), proto se vyvinulo vlastnictví bonitární (</w:t>
      </w:r>
      <w:r w:rsidRPr="00AF70D0">
        <w:rPr>
          <w:rFonts w:ascii="Garamond" w:hAnsi="Garamond"/>
          <w:i/>
          <w:sz w:val="24"/>
          <w:szCs w:val="24"/>
        </w:rPr>
        <w:t>in bonis habere</w:t>
      </w:r>
      <w:r w:rsidRPr="00DA196C">
        <w:rPr>
          <w:rFonts w:ascii="Garamond" w:hAnsi="Garamond"/>
          <w:sz w:val="24"/>
          <w:szCs w:val="24"/>
        </w:rPr>
        <w:t xml:space="preserve">). </w:t>
      </w:r>
      <w:r w:rsidR="00BA20CE" w:rsidRPr="00DA196C">
        <w:rPr>
          <w:rFonts w:ascii="Garamond" w:hAnsi="Garamond"/>
          <w:sz w:val="24"/>
          <w:szCs w:val="24"/>
        </w:rPr>
        <w:t>Kvíritskému vlastníkovi náležela žaloba reivindikační, zatímco b</w:t>
      </w:r>
      <w:r w:rsidRPr="00DA196C">
        <w:rPr>
          <w:rFonts w:ascii="Garamond" w:hAnsi="Garamond"/>
          <w:sz w:val="24"/>
          <w:szCs w:val="24"/>
        </w:rPr>
        <w:t xml:space="preserve">onitárnímu vlastníkovi náležela </w:t>
      </w:r>
      <w:r w:rsidRPr="00AF70D0">
        <w:rPr>
          <w:rFonts w:ascii="Garamond" w:hAnsi="Garamond"/>
          <w:i/>
          <w:sz w:val="24"/>
          <w:szCs w:val="24"/>
        </w:rPr>
        <w:t>actio Publiciana</w:t>
      </w:r>
      <w:r w:rsidRPr="00DA196C">
        <w:rPr>
          <w:rFonts w:ascii="Garamond" w:hAnsi="Garamond"/>
          <w:sz w:val="24"/>
          <w:szCs w:val="24"/>
        </w:rPr>
        <w:t>, která byla obdobou žaloby reivindikační.</w:t>
      </w:r>
      <w:r w:rsidRPr="00DA196C">
        <w:rPr>
          <w:rStyle w:val="Znakapoznpodarou"/>
          <w:rFonts w:ascii="Garamond" w:hAnsi="Garamond"/>
          <w:sz w:val="24"/>
          <w:szCs w:val="24"/>
        </w:rPr>
        <w:footnoteReference w:id="53"/>
      </w:r>
    </w:p>
    <w:p w:rsidR="00B6158E" w:rsidRPr="00DA196C" w:rsidRDefault="0028275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Před </w:t>
      </w:r>
      <w:proofErr w:type="spellStart"/>
      <w:r w:rsidRPr="00DA196C">
        <w:rPr>
          <w:rFonts w:ascii="Garamond" w:hAnsi="Garamond"/>
          <w:sz w:val="24"/>
          <w:szCs w:val="24"/>
        </w:rPr>
        <w:t>Justinánem</w:t>
      </w:r>
      <w:proofErr w:type="spellEnd"/>
      <w:r w:rsidRPr="00DA196C">
        <w:rPr>
          <w:rFonts w:ascii="Garamond" w:hAnsi="Garamond"/>
          <w:sz w:val="24"/>
          <w:szCs w:val="24"/>
        </w:rPr>
        <w:t xml:space="preserve"> byl tedy a</w:t>
      </w:r>
      <w:r w:rsidR="000705C3" w:rsidRPr="00DA196C">
        <w:rPr>
          <w:rFonts w:ascii="Garamond" w:hAnsi="Garamond"/>
          <w:sz w:val="24"/>
          <w:szCs w:val="24"/>
        </w:rPr>
        <w:t xml:space="preserve">ktivně legitimován k podání </w:t>
      </w:r>
      <w:proofErr w:type="spellStart"/>
      <w:r w:rsidR="000705C3" w:rsidRPr="00DA196C">
        <w:rPr>
          <w:rFonts w:ascii="Garamond" w:hAnsi="Garamond"/>
          <w:sz w:val="24"/>
          <w:szCs w:val="24"/>
        </w:rPr>
        <w:t>reivindikační</w:t>
      </w:r>
      <w:proofErr w:type="spellEnd"/>
      <w:r w:rsidR="000705C3" w:rsidRPr="00DA196C">
        <w:rPr>
          <w:rFonts w:ascii="Garamond" w:hAnsi="Garamond"/>
          <w:sz w:val="24"/>
          <w:szCs w:val="24"/>
        </w:rPr>
        <w:t xml:space="preserve"> žaloby</w:t>
      </w:r>
      <w:r w:rsidRPr="00DA196C">
        <w:rPr>
          <w:rFonts w:ascii="Garamond" w:hAnsi="Garamond"/>
          <w:sz w:val="24"/>
          <w:szCs w:val="24"/>
        </w:rPr>
        <w:t xml:space="preserve"> </w:t>
      </w:r>
      <w:r w:rsidR="008B4F15" w:rsidRPr="00DA196C">
        <w:rPr>
          <w:rFonts w:ascii="Garamond" w:hAnsi="Garamond"/>
          <w:sz w:val="24"/>
          <w:szCs w:val="24"/>
        </w:rPr>
        <w:t xml:space="preserve">pouze </w:t>
      </w:r>
      <w:proofErr w:type="spellStart"/>
      <w:r w:rsidR="000705C3" w:rsidRPr="00DA196C">
        <w:rPr>
          <w:rFonts w:ascii="Garamond" w:hAnsi="Garamond"/>
          <w:sz w:val="24"/>
          <w:szCs w:val="24"/>
        </w:rPr>
        <w:t>kvíritský</w:t>
      </w:r>
      <w:proofErr w:type="spellEnd"/>
      <w:r w:rsidR="000705C3" w:rsidRPr="00DA196C">
        <w:rPr>
          <w:rFonts w:ascii="Garamond" w:hAnsi="Garamond"/>
          <w:sz w:val="24"/>
          <w:szCs w:val="24"/>
        </w:rPr>
        <w:t xml:space="preserve"> vla</w:t>
      </w:r>
      <w:r w:rsidRPr="00DA196C">
        <w:rPr>
          <w:rFonts w:ascii="Garamond" w:hAnsi="Garamond"/>
          <w:sz w:val="24"/>
          <w:szCs w:val="24"/>
        </w:rPr>
        <w:t>s</w:t>
      </w:r>
      <w:r w:rsidR="000705C3" w:rsidRPr="00DA196C">
        <w:rPr>
          <w:rFonts w:ascii="Garamond" w:hAnsi="Garamond"/>
          <w:sz w:val="24"/>
          <w:szCs w:val="24"/>
        </w:rPr>
        <w:t>tník</w:t>
      </w:r>
      <w:r w:rsidRPr="00DA196C">
        <w:rPr>
          <w:rFonts w:ascii="Garamond" w:hAnsi="Garamond"/>
          <w:sz w:val="24"/>
          <w:szCs w:val="24"/>
        </w:rPr>
        <w:t>,</w:t>
      </w:r>
      <w:r w:rsidR="008B4F15" w:rsidRPr="00DA196C">
        <w:rPr>
          <w:rFonts w:ascii="Garamond" w:hAnsi="Garamond"/>
          <w:sz w:val="24"/>
          <w:szCs w:val="24"/>
        </w:rPr>
        <w:t xml:space="preserve"> který pozbyl držbu k </w:t>
      </w:r>
      <w:r w:rsidRPr="00DA196C">
        <w:rPr>
          <w:rFonts w:ascii="Garamond" w:hAnsi="Garamond"/>
          <w:sz w:val="24"/>
          <w:szCs w:val="24"/>
        </w:rPr>
        <w:t>věci</w:t>
      </w:r>
      <w:r w:rsidR="008B4F15" w:rsidRPr="00DA196C">
        <w:rPr>
          <w:rFonts w:ascii="Garamond" w:hAnsi="Garamond"/>
          <w:sz w:val="24"/>
          <w:szCs w:val="24"/>
        </w:rPr>
        <w:t>, jež byla předmětem sporu</w:t>
      </w:r>
      <w:r w:rsidR="00AF70D0">
        <w:rPr>
          <w:rFonts w:ascii="Garamond" w:hAnsi="Garamond"/>
          <w:sz w:val="24"/>
          <w:szCs w:val="24"/>
        </w:rPr>
        <w:t>. V </w:t>
      </w:r>
      <w:proofErr w:type="spellStart"/>
      <w:r w:rsidR="00AF70D0">
        <w:rPr>
          <w:rFonts w:ascii="Garamond" w:hAnsi="Garamond"/>
          <w:sz w:val="24"/>
          <w:szCs w:val="24"/>
        </w:rPr>
        <w:t>j</w:t>
      </w:r>
      <w:r w:rsidRPr="00DA196C">
        <w:rPr>
          <w:rFonts w:ascii="Garamond" w:hAnsi="Garamond"/>
          <w:sz w:val="24"/>
          <w:szCs w:val="24"/>
        </w:rPr>
        <w:t>ustiniánském</w:t>
      </w:r>
      <w:proofErr w:type="spellEnd"/>
      <w:r w:rsidRPr="00DA196C">
        <w:rPr>
          <w:rFonts w:ascii="Garamond" w:hAnsi="Garamond"/>
          <w:sz w:val="24"/>
          <w:szCs w:val="24"/>
        </w:rPr>
        <w:t xml:space="preserve"> právu pak byl aktivně legitimován nedržící vlatník věci vůbec, neboť již nedocházelo k rozlišování na vlastnictví kvíritské a bonitární.</w:t>
      </w:r>
      <w:r w:rsidR="00B6158E" w:rsidRPr="00DA196C">
        <w:rPr>
          <w:rFonts w:ascii="Garamond" w:hAnsi="Garamond"/>
          <w:sz w:val="24"/>
          <w:szCs w:val="24"/>
        </w:rPr>
        <w:t xml:space="preserve"> </w:t>
      </w:r>
    </w:p>
    <w:p w:rsidR="00D14407" w:rsidRPr="00DA196C" w:rsidRDefault="007F7AE6"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Aktivně legitimovaným k podání v</w:t>
      </w:r>
      <w:r w:rsidR="00B6158E" w:rsidRPr="00DA196C">
        <w:rPr>
          <w:rFonts w:ascii="Garamond" w:hAnsi="Garamond"/>
          <w:sz w:val="24"/>
          <w:szCs w:val="24"/>
        </w:rPr>
        <w:t>la</w:t>
      </w:r>
      <w:r w:rsidR="008B4F15" w:rsidRPr="00DA196C">
        <w:rPr>
          <w:rFonts w:ascii="Garamond" w:hAnsi="Garamond"/>
          <w:sz w:val="24"/>
          <w:szCs w:val="24"/>
        </w:rPr>
        <w:t>s</w:t>
      </w:r>
      <w:r w:rsidRPr="00DA196C">
        <w:rPr>
          <w:rFonts w:ascii="Garamond" w:hAnsi="Garamond"/>
          <w:sz w:val="24"/>
          <w:szCs w:val="24"/>
        </w:rPr>
        <w:t>tnické žaloby</w:t>
      </w:r>
      <w:r w:rsidR="00B6158E" w:rsidRPr="00DA196C">
        <w:rPr>
          <w:rFonts w:ascii="Garamond" w:hAnsi="Garamond"/>
          <w:sz w:val="24"/>
          <w:szCs w:val="24"/>
        </w:rPr>
        <w:t xml:space="preserve"> </w:t>
      </w:r>
      <w:r w:rsidRPr="00DA196C">
        <w:rPr>
          <w:rFonts w:ascii="Garamond" w:hAnsi="Garamond"/>
          <w:sz w:val="24"/>
          <w:szCs w:val="24"/>
        </w:rPr>
        <w:t>byl též spoluvlastník</w:t>
      </w:r>
      <w:r w:rsidR="00B6158E" w:rsidRPr="00DA196C">
        <w:rPr>
          <w:rFonts w:ascii="Garamond" w:hAnsi="Garamond"/>
          <w:sz w:val="24"/>
          <w:szCs w:val="24"/>
        </w:rPr>
        <w:t xml:space="preserve"> </w:t>
      </w:r>
      <w:r w:rsidR="008B4F15" w:rsidRPr="00DA196C">
        <w:rPr>
          <w:rFonts w:ascii="Garamond" w:hAnsi="Garamond"/>
          <w:sz w:val="24"/>
          <w:szCs w:val="24"/>
        </w:rPr>
        <w:t xml:space="preserve">předmětné věci </w:t>
      </w:r>
      <w:r w:rsidR="00935A18" w:rsidRPr="00DA196C">
        <w:rPr>
          <w:rFonts w:ascii="Garamond" w:hAnsi="Garamond"/>
          <w:sz w:val="24"/>
          <w:szCs w:val="24"/>
        </w:rPr>
        <w:t xml:space="preserve">a </w:t>
      </w:r>
      <w:r w:rsidR="002F6988" w:rsidRPr="00DA196C">
        <w:rPr>
          <w:rFonts w:ascii="Garamond" w:hAnsi="Garamond"/>
          <w:sz w:val="24"/>
          <w:szCs w:val="24"/>
        </w:rPr>
        <w:t xml:space="preserve">v takovém případě </w:t>
      </w:r>
      <w:r w:rsidR="00935A18" w:rsidRPr="00DA196C">
        <w:rPr>
          <w:rFonts w:ascii="Garamond" w:hAnsi="Garamond"/>
          <w:sz w:val="24"/>
          <w:szCs w:val="24"/>
        </w:rPr>
        <w:t xml:space="preserve">byla </w:t>
      </w:r>
      <w:r w:rsidR="002F6988" w:rsidRPr="00DA196C">
        <w:rPr>
          <w:rFonts w:ascii="Garamond" w:hAnsi="Garamond"/>
          <w:sz w:val="24"/>
          <w:szCs w:val="24"/>
        </w:rPr>
        <w:t xml:space="preserve">žaloba </w:t>
      </w:r>
      <w:r w:rsidR="00935A18" w:rsidRPr="00DA196C">
        <w:rPr>
          <w:rFonts w:ascii="Garamond" w:hAnsi="Garamond"/>
          <w:sz w:val="24"/>
          <w:szCs w:val="24"/>
        </w:rPr>
        <w:t xml:space="preserve">označována </w:t>
      </w:r>
      <w:r w:rsidR="008B4F15" w:rsidRPr="00DA196C">
        <w:rPr>
          <w:rFonts w:ascii="Garamond" w:hAnsi="Garamond"/>
          <w:sz w:val="24"/>
          <w:szCs w:val="24"/>
        </w:rPr>
        <w:t xml:space="preserve">jako </w:t>
      </w:r>
      <w:proofErr w:type="spellStart"/>
      <w:r w:rsidR="008B4F15" w:rsidRPr="00AF70D0">
        <w:rPr>
          <w:rFonts w:ascii="Garamond" w:hAnsi="Garamond"/>
          <w:i/>
          <w:sz w:val="24"/>
          <w:szCs w:val="24"/>
        </w:rPr>
        <w:t>vindicatio</w:t>
      </w:r>
      <w:proofErr w:type="spellEnd"/>
      <w:r w:rsidR="008B4F15" w:rsidRPr="00AF70D0">
        <w:rPr>
          <w:rFonts w:ascii="Garamond" w:hAnsi="Garamond"/>
          <w:i/>
          <w:sz w:val="24"/>
          <w:szCs w:val="24"/>
        </w:rPr>
        <w:t xml:space="preserve"> </w:t>
      </w:r>
      <w:proofErr w:type="spellStart"/>
      <w:r w:rsidR="008B4F15" w:rsidRPr="00AF70D0">
        <w:rPr>
          <w:rFonts w:ascii="Garamond" w:hAnsi="Garamond"/>
          <w:i/>
          <w:sz w:val="24"/>
          <w:szCs w:val="24"/>
        </w:rPr>
        <w:t>partis</w:t>
      </w:r>
      <w:proofErr w:type="spellEnd"/>
      <w:r w:rsidR="008B4F15" w:rsidRPr="00DA196C">
        <w:rPr>
          <w:rFonts w:ascii="Garamond" w:hAnsi="Garamond"/>
          <w:sz w:val="24"/>
          <w:szCs w:val="24"/>
        </w:rPr>
        <w:t xml:space="preserve">. </w:t>
      </w:r>
      <w:proofErr w:type="spellStart"/>
      <w:r w:rsidR="008B4F15" w:rsidRPr="00DA196C">
        <w:rPr>
          <w:rFonts w:ascii="Garamond" w:hAnsi="Garamond"/>
          <w:sz w:val="24"/>
          <w:szCs w:val="24"/>
        </w:rPr>
        <w:t>Vindikovaná</w:t>
      </w:r>
      <w:proofErr w:type="spellEnd"/>
      <w:r w:rsidR="008B4F15" w:rsidRPr="00DA196C">
        <w:rPr>
          <w:rFonts w:ascii="Garamond" w:hAnsi="Garamond"/>
          <w:sz w:val="24"/>
          <w:szCs w:val="24"/>
        </w:rPr>
        <w:t xml:space="preserve"> část</w:t>
      </w:r>
      <w:r w:rsidR="00935A18" w:rsidRPr="00DA196C">
        <w:rPr>
          <w:rFonts w:ascii="Garamond" w:hAnsi="Garamond"/>
          <w:sz w:val="24"/>
          <w:szCs w:val="24"/>
        </w:rPr>
        <w:t xml:space="preserve"> věci</w:t>
      </w:r>
      <w:r w:rsidR="008B4F15" w:rsidRPr="00DA196C">
        <w:rPr>
          <w:rFonts w:ascii="Garamond" w:hAnsi="Garamond"/>
          <w:sz w:val="24"/>
          <w:szCs w:val="24"/>
        </w:rPr>
        <w:t xml:space="preserve"> musela být stanovena určitě. V</w:t>
      </w:r>
      <w:r w:rsidRPr="00DA196C">
        <w:rPr>
          <w:rFonts w:ascii="Garamond" w:hAnsi="Garamond"/>
          <w:sz w:val="24"/>
          <w:szCs w:val="24"/>
        </w:rPr>
        <w:t>ýji</w:t>
      </w:r>
      <w:r w:rsidR="00B6158E" w:rsidRPr="00DA196C">
        <w:rPr>
          <w:rFonts w:ascii="Garamond" w:hAnsi="Garamond"/>
          <w:sz w:val="24"/>
          <w:szCs w:val="24"/>
        </w:rPr>
        <w:t>mkou</w:t>
      </w:r>
      <w:r w:rsidR="008B4F15" w:rsidRPr="00DA196C">
        <w:rPr>
          <w:rFonts w:ascii="Garamond" w:hAnsi="Garamond"/>
          <w:sz w:val="24"/>
          <w:szCs w:val="24"/>
        </w:rPr>
        <w:t xml:space="preserve"> z tohoto pravidla</w:t>
      </w:r>
      <w:r w:rsidR="00B6158E" w:rsidRPr="00DA196C">
        <w:rPr>
          <w:rFonts w:ascii="Garamond" w:hAnsi="Garamond"/>
          <w:sz w:val="24"/>
          <w:szCs w:val="24"/>
        </w:rPr>
        <w:t xml:space="preserve"> byla </w:t>
      </w:r>
      <w:proofErr w:type="spellStart"/>
      <w:r w:rsidR="00B6158E" w:rsidRPr="00AF70D0">
        <w:rPr>
          <w:rFonts w:ascii="Garamond" w:hAnsi="Garamond"/>
          <w:i/>
          <w:sz w:val="24"/>
          <w:szCs w:val="24"/>
        </w:rPr>
        <w:t>vindicatio</w:t>
      </w:r>
      <w:proofErr w:type="spellEnd"/>
      <w:r w:rsidR="00B6158E" w:rsidRPr="00AF70D0">
        <w:rPr>
          <w:rFonts w:ascii="Garamond" w:hAnsi="Garamond"/>
          <w:i/>
          <w:sz w:val="24"/>
          <w:szCs w:val="24"/>
        </w:rPr>
        <w:t xml:space="preserve"> </w:t>
      </w:r>
      <w:proofErr w:type="spellStart"/>
      <w:r w:rsidR="00B6158E" w:rsidRPr="00AF70D0">
        <w:rPr>
          <w:rFonts w:ascii="Garamond" w:hAnsi="Garamond"/>
          <w:i/>
          <w:sz w:val="24"/>
          <w:szCs w:val="24"/>
        </w:rPr>
        <w:t>incertae</w:t>
      </w:r>
      <w:proofErr w:type="spellEnd"/>
      <w:r w:rsidR="00B6158E" w:rsidRPr="00AF70D0">
        <w:rPr>
          <w:rFonts w:ascii="Garamond" w:hAnsi="Garamond"/>
          <w:i/>
          <w:sz w:val="24"/>
          <w:szCs w:val="24"/>
        </w:rPr>
        <w:t xml:space="preserve"> </w:t>
      </w:r>
      <w:proofErr w:type="spellStart"/>
      <w:r w:rsidR="00B6158E" w:rsidRPr="00AF70D0">
        <w:rPr>
          <w:rFonts w:ascii="Garamond" w:hAnsi="Garamond"/>
          <w:i/>
          <w:sz w:val="24"/>
          <w:szCs w:val="24"/>
        </w:rPr>
        <w:t>partis</w:t>
      </w:r>
      <w:proofErr w:type="spellEnd"/>
      <w:r w:rsidR="00AF70D0">
        <w:rPr>
          <w:rFonts w:ascii="Garamond" w:hAnsi="Garamond"/>
          <w:i/>
          <w:sz w:val="24"/>
          <w:szCs w:val="24"/>
        </w:rPr>
        <w:t>,</w:t>
      </w:r>
      <w:r w:rsidR="0041352F" w:rsidRPr="00DA196C">
        <w:rPr>
          <w:rStyle w:val="Znakapoznpodarou"/>
          <w:rFonts w:ascii="Garamond" w:hAnsi="Garamond"/>
          <w:sz w:val="24"/>
          <w:szCs w:val="24"/>
        </w:rPr>
        <w:footnoteReference w:id="54"/>
      </w:r>
      <w:r w:rsidR="00935A18" w:rsidRPr="00DA196C">
        <w:rPr>
          <w:rFonts w:ascii="Garamond" w:hAnsi="Garamond"/>
          <w:sz w:val="24"/>
          <w:szCs w:val="24"/>
        </w:rPr>
        <w:t xml:space="preserve"> která byla užívána v případech,</w:t>
      </w:r>
      <w:r w:rsidR="00297B55" w:rsidRPr="00DA196C">
        <w:rPr>
          <w:rFonts w:ascii="Garamond" w:hAnsi="Garamond"/>
          <w:sz w:val="24"/>
          <w:szCs w:val="24"/>
        </w:rPr>
        <w:t xml:space="preserve"> kdy došlo ke smísení věcí a nebylo možno určit, kdo je vlatníkem té které jednotlivé věci. V případě vindicatio incertae partis se tedy jednalo o žalobu</w:t>
      </w:r>
      <w:r w:rsidRPr="00DA196C">
        <w:rPr>
          <w:rFonts w:ascii="Garamond" w:hAnsi="Garamond"/>
          <w:sz w:val="24"/>
          <w:szCs w:val="24"/>
        </w:rPr>
        <w:t xml:space="preserve"> spoluvlastníka</w:t>
      </w:r>
      <w:r w:rsidR="00297B55" w:rsidRPr="00DA196C">
        <w:rPr>
          <w:rFonts w:ascii="Garamond" w:hAnsi="Garamond"/>
          <w:sz w:val="24"/>
          <w:szCs w:val="24"/>
        </w:rPr>
        <w:t xml:space="preserve"> na vydání poměrné části věci</w:t>
      </w:r>
      <w:r w:rsidR="00AF70D0">
        <w:rPr>
          <w:rFonts w:ascii="Garamond" w:hAnsi="Garamond"/>
          <w:sz w:val="24"/>
          <w:szCs w:val="24"/>
        </w:rPr>
        <w:t>.</w:t>
      </w:r>
      <w:r w:rsidR="0041352F" w:rsidRPr="00DA196C">
        <w:rPr>
          <w:rStyle w:val="Znakapoznpodarou"/>
          <w:rFonts w:ascii="Garamond" w:hAnsi="Garamond"/>
          <w:sz w:val="24"/>
          <w:szCs w:val="24"/>
        </w:rPr>
        <w:footnoteReference w:id="55"/>
      </w:r>
    </w:p>
    <w:p w:rsidR="00896102" w:rsidRPr="00DA196C" w:rsidRDefault="00896102"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Aktivně legitimovaný, který hodlal uplatnit své </w:t>
      </w:r>
      <w:r w:rsidR="00694CF6" w:rsidRPr="00DA196C">
        <w:rPr>
          <w:rFonts w:ascii="Garamond" w:hAnsi="Garamond"/>
          <w:sz w:val="24"/>
          <w:szCs w:val="24"/>
        </w:rPr>
        <w:t xml:space="preserve">vlastnické </w:t>
      </w:r>
      <w:r w:rsidRPr="00DA196C">
        <w:rPr>
          <w:rFonts w:ascii="Garamond" w:hAnsi="Garamond"/>
          <w:sz w:val="24"/>
          <w:szCs w:val="24"/>
        </w:rPr>
        <w:t xml:space="preserve">právo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žalobou, mohl před podáním této žaloby využít </w:t>
      </w:r>
      <w:proofErr w:type="spellStart"/>
      <w:r w:rsidRPr="009F4413">
        <w:rPr>
          <w:rFonts w:ascii="Garamond" w:hAnsi="Garamond"/>
          <w:i/>
          <w:sz w:val="24"/>
          <w:szCs w:val="24"/>
        </w:rPr>
        <w:t>actio</w:t>
      </w:r>
      <w:proofErr w:type="spellEnd"/>
      <w:r w:rsidRPr="009F4413">
        <w:rPr>
          <w:rFonts w:ascii="Garamond" w:hAnsi="Garamond"/>
          <w:i/>
          <w:sz w:val="24"/>
          <w:szCs w:val="24"/>
        </w:rPr>
        <w:t xml:space="preserve"> ad </w:t>
      </w:r>
      <w:proofErr w:type="spellStart"/>
      <w:r w:rsidRPr="009F4413">
        <w:rPr>
          <w:rFonts w:ascii="Garamond" w:hAnsi="Garamond"/>
          <w:i/>
          <w:sz w:val="24"/>
          <w:szCs w:val="24"/>
        </w:rPr>
        <w:t>exhibendum</w:t>
      </w:r>
      <w:proofErr w:type="spellEnd"/>
      <w:r w:rsidRPr="00DA196C">
        <w:rPr>
          <w:rFonts w:ascii="Garamond" w:hAnsi="Garamond"/>
          <w:sz w:val="24"/>
          <w:szCs w:val="24"/>
        </w:rPr>
        <w:t xml:space="preserve">. </w:t>
      </w:r>
      <w:proofErr w:type="spellStart"/>
      <w:r w:rsidRPr="009F4413">
        <w:rPr>
          <w:rFonts w:ascii="Garamond" w:hAnsi="Garamond"/>
          <w:i/>
          <w:sz w:val="24"/>
          <w:szCs w:val="24"/>
        </w:rPr>
        <w:t>Actio</w:t>
      </w:r>
      <w:proofErr w:type="spellEnd"/>
      <w:r w:rsidRPr="009F4413">
        <w:rPr>
          <w:rFonts w:ascii="Garamond" w:hAnsi="Garamond"/>
          <w:i/>
          <w:sz w:val="24"/>
          <w:szCs w:val="24"/>
        </w:rPr>
        <w:t xml:space="preserve"> ad </w:t>
      </w:r>
      <w:proofErr w:type="spellStart"/>
      <w:r w:rsidRPr="009F4413">
        <w:rPr>
          <w:rFonts w:ascii="Garamond" w:hAnsi="Garamond"/>
          <w:i/>
          <w:sz w:val="24"/>
          <w:szCs w:val="24"/>
        </w:rPr>
        <w:t>exhibendum</w:t>
      </w:r>
      <w:proofErr w:type="spellEnd"/>
      <w:r w:rsidRPr="00DA196C">
        <w:rPr>
          <w:rFonts w:ascii="Garamond" w:hAnsi="Garamond"/>
          <w:sz w:val="24"/>
          <w:szCs w:val="24"/>
        </w:rPr>
        <w:t xml:space="preserve"> sloužila k tomu, aby </w:t>
      </w:r>
      <w:r w:rsidR="00694CF6" w:rsidRPr="00DA196C">
        <w:rPr>
          <w:rFonts w:ascii="Garamond" w:hAnsi="Garamond"/>
          <w:sz w:val="24"/>
          <w:szCs w:val="24"/>
        </w:rPr>
        <w:t xml:space="preserve">žalovaný, tedy </w:t>
      </w:r>
      <w:r w:rsidRPr="00DA196C">
        <w:rPr>
          <w:rFonts w:ascii="Garamond" w:hAnsi="Garamond"/>
          <w:sz w:val="24"/>
          <w:szCs w:val="24"/>
        </w:rPr>
        <w:t xml:space="preserve">držitel, případně i pouhý </w:t>
      </w:r>
      <w:proofErr w:type="spellStart"/>
      <w:r w:rsidRPr="00DA196C">
        <w:rPr>
          <w:rFonts w:ascii="Garamond" w:hAnsi="Garamond"/>
          <w:sz w:val="24"/>
          <w:szCs w:val="24"/>
        </w:rPr>
        <w:t>detentor</w:t>
      </w:r>
      <w:proofErr w:type="spellEnd"/>
      <w:r w:rsidR="009F4413">
        <w:rPr>
          <w:rFonts w:ascii="Garamond" w:hAnsi="Garamond"/>
          <w:sz w:val="24"/>
          <w:szCs w:val="24"/>
        </w:rPr>
        <w:t>,</w:t>
      </w:r>
      <w:r w:rsidR="00694CF6" w:rsidRPr="00DA196C">
        <w:rPr>
          <w:rStyle w:val="Znakapoznpodarou"/>
          <w:rFonts w:ascii="Garamond" w:hAnsi="Garamond"/>
          <w:sz w:val="24"/>
          <w:szCs w:val="24"/>
        </w:rPr>
        <w:footnoteReference w:id="56"/>
      </w:r>
      <w:r w:rsidRPr="00DA196C">
        <w:rPr>
          <w:rFonts w:ascii="Garamond" w:hAnsi="Garamond"/>
          <w:sz w:val="24"/>
          <w:szCs w:val="24"/>
        </w:rPr>
        <w:t xml:space="preserve"> předmětnou věc předložil </w:t>
      </w:r>
      <w:r w:rsidR="00694CF6" w:rsidRPr="00DA196C">
        <w:rPr>
          <w:rFonts w:ascii="Garamond" w:hAnsi="Garamond"/>
          <w:sz w:val="24"/>
          <w:szCs w:val="24"/>
        </w:rPr>
        <w:t xml:space="preserve">k soudu </w:t>
      </w:r>
      <w:r w:rsidRPr="00DA196C">
        <w:rPr>
          <w:rFonts w:ascii="Garamond" w:hAnsi="Garamond"/>
          <w:sz w:val="24"/>
          <w:szCs w:val="24"/>
        </w:rPr>
        <w:t xml:space="preserve">a </w:t>
      </w:r>
      <w:r w:rsidR="00694CF6" w:rsidRPr="00DA196C">
        <w:rPr>
          <w:rFonts w:ascii="Garamond" w:hAnsi="Garamond"/>
          <w:sz w:val="24"/>
          <w:szCs w:val="24"/>
        </w:rPr>
        <w:t xml:space="preserve">žalobce, tedy </w:t>
      </w:r>
      <w:r w:rsidRPr="00DA196C">
        <w:rPr>
          <w:rFonts w:ascii="Garamond" w:hAnsi="Garamond"/>
          <w:sz w:val="24"/>
          <w:szCs w:val="24"/>
        </w:rPr>
        <w:t xml:space="preserve">ten, kdo hodlal věc </w:t>
      </w:r>
      <w:proofErr w:type="spellStart"/>
      <w:r w:rsidRPr="00DA196C">
        <w:rPr>
          <w:rFonts w:ascii="Garamond" w:hAnsi="Garamond"/>
          <w:sz w:val="24"/>
          <w:szCs w:val="24"/>
        </w:rPr>
        <w:t>vindikovat</w:t>
      </w:r>
      <w:proofErr w:type="spellEnd"/>
      <w:r w:rsidRPr="00DA196C">
        <w:rPr>
          <w:rFonts w:ascii="Garamond" w:hAnsi="Garamond"/>
          <w:sz w:val="24"/>
          <w:szCs w:val="24"/>
        </w:rPr>
        <w:t xml:space="preserve">, se mohl přesvědčit, že se skutečně jedná o onu věc, jež má </w:t>
      </w:r>
      <w:r w:rsidRPr="00DA196C">
        <w:rPr>
          <w:rFonts w:ascii="Garamond" w:hAnsi="Garamond"/>
          <w:sz w:val="24"/>
          <w:szCs w:val="24"/>
        </w:rPr>
        <w:lastRenderedPageBreak/>
        <w:t xml:space="preserve">v úmyslu </w:t>
      </w:r>
      <w:proofErr w:type="spellStart"/>
      <w:r w:rsidRPr="00DA196C">
        <w:rPr>
          <w:rFonts w:ascii="Garamond" w:hAnsi="Garamond"/>
          <w:sz w:val="24"/>
          <w:szCs w:val="24"/>
        </w:rPr>
        <w:t>vindikovat</w:t>
      </w:r>
      <w:proofErr w:type="spellEnd"/>
      <w:r w:rsidRPr="00DA196C">
        <w:rPr>
          <w:rFonts w:ascii="Garamond" w:hAnsi="Garamond"/>
          <w:sz w:val="24"/>
          <w:szCs w:val="24"/>
        </w:rPr>
        <w:t>.</w:t>
      </w:r>
      <w:r w:rsidR="009F4413">
        <w:rPr>
          <w:rFonts w:ascii="Garamond" w:hAnsi="Garamond"/>
          <w:sz w:val="24"/>
          <w:szCs w:val="24"/>
        </w:rPr>
        <w:t xml:space="preserve"> Jestliže žalovaný věc nepředložil</w:t>
      </w:r>
      <w:r w:rsidR="00694CF6" w:rsidRPr="00DA196C">
        <w:rPr>
          <w:rFonts w:ascii="Garamond" w:hAnsi="Garamond"/>
          <w:sz w:val="24"/>
          <w:szCs w:val="24"/>
        </w:rPr>
        <w:t xml:space="preserve">, znamenalo to pro něj vydání takového odsuzujícího rozsudku, jako by prohrál spor při samotné </w:t>
      </w:r>
      <w:proofErr w:type="spellStart"/>
      <w:r w:rsidR="00694CF6" w:rsidRPr="00DA196C">
        <w:rPr>
          <w:rFonts w:ascii="Garamond" w:hAnsi="Garamond"/>
          <w:sz w:val="24"/>
          <w:szCs w:val="24"/>
        </w:rPr>
        <w:t>reivindikační</w:t>
      </w:r>
      <w:proofErr w:type="spellEnd"/>
      <w:r w:rsidR="00694CF6" w:rsidRPr="00DA196C">
        <w:rPr>
          <w:rFonts w:ascii="Garamond" w:hAnsi="Garamond"/>
          <w:sz w:val="24"/>
          <w:szCs w:val="24"/>
        </w:rPr>
        <w:t xml:space="preserve"> žalobě.</w:t>
      </w:r>
      <w:r w:rsidR="00694CF6" w:rsidRPr="00DA196C">
        <w:rPr>
          <w:rStyle w:val="Znakapoznpodarou"/>
          <w:rFonts w:ascii="Garamond" w:hAnsi="Garamond"/>
          <w:sz w:val="24"/>
          <w:szCs w:val="24"/>
        </w:rPr>
        <w:footnoteReference w:id="57"/>
      </w:r>
      <w:r w:rsidR="009F4413">
        <w:rPr>
          <w:rFonts w:ascii="Garamond" w:hAnsi="Garamond"/>
          <w:sz w:val="24"/>
          <w:szCs w:val="24"/>
        </w:rPr>
        <w:t xml:space="preserve"> Jestliže chtěl žalobce </w:t>
      </w:r>
      <w:proofErr w:type="spellStart"/>
      <w:r w:rsidR="00694CF6" w:rsidRPr="00DA196C">
        <w:rPr>
          <w:rFonts w:ascii="Garamond" w:hAnsi="Garamond"/>
          <w:sz w:val="24"/>
          <w:szCs w:val="24"/>
        </w:rPr>
        <w:t>vindikovat</w:t>
      </w:r>
      <w:proofErr w:type="spellEnd"/>
      <w:r w:rsidR="00694CF6" w:rsidRPr="00DA196C">
        <w:rPr>
          <w:rFonts w:ascii="Garamond" w:hAnsi="Garamond"/>
          <w:sz w:val="24"/>
          <w:szCs w:val="24"/>
        </w:rPr>
        <w:t xml:space="preserve"> věc vedlejší, sloužila tato </w:t>
      </w:r>
      <w:proofErr w:type="spellStart"/>
      <w:r w:rsidR="00694CF6" w:rsidRPr="009F4413">
        <w:rPr>
          <w:rFonts w:ascii="Garamond" w:hAnsi="Garamond"/>
          <w:i/>
          <w:sz w:val="24"/>
          <w:szCs w:val="24"/>
        </w:rPr>
        <w:t>actio</w:t>
      </w:r>
      <w:proofErr w:type="spellEnd"/>
      <w:r w:rsidR="00694CF6" w:rsidRPr="009F4413">
        <w:rPr>
          <w:rFonts w:ascii="Garamond" w:hAnsi="Garamond"/>
          <w:i/>
          <w:sz w:val="24"/>
          <w:szCs w:val="24"/>
        </w:rPr>
        <w:t xml:space="preserve"> ad </w:t>
      </w:r>
      <w:proofErr w:type="spellStart"/>
      <w:r w:rsidR="00694CF6" w:rsidRPr="009F4413">
        <w:rPr>
          <w:rFonts w:ascii="Garamond" w:hAnsi="Garamond"/>
          <w:i/>
          <w:sz w:val="24"/>
          <w:szCs w:val="24"/>
        </w:rPr>
        <w:t>exhibendum</w:t>
      </w:r>
      <w:proofErr w:type="spellEnd"/>
      <w:r w:rsidR="00694CF6" w:rsidRPr="00DA196C">
        <w:rPr>
          <w:rFonts w:ascii="Garamond" w:hAnsi="Garamond"/>
          <w:sz w:val="24"/>
          <w:szCs w:val="24"/>
        </w:rPr>
        <w:t xml:space="preserve"> také k odloučení od věci hlavní.</w:t>
      </w:r>
      <w:r w:rsidR="00694CF6" w:rsidRPr="00DA196C">
        <w:rPr>
          <w:rStyle w:val="Znakapoznpodarou"/>
          <w:rFonts w:ascii="Garamond" w:hAnsi="Garamond"/>
          <w:sz w:val="24"/>
          <w:szCs w:val="24"/>
        </w:rPr>
        <w:footnoteReference w:id="58"/>
      </w:r>
    </w:p>
    <w:p w:rsidR="00442436" w:rsidRPr="00DA196C" w:rsidRDefault="00442436" w:rsidP="00FA1FF7">
      <w:pPr>
        <w:pStyle w:val="Nadpis2"/>
        <w:contextualSpacing/>
      </w:pPr>
      <w:bookmarkStart w:id="11" w:name="_Toc36031940"/>
      <w:r w:rsidRPr="00DA196C">
        <w:t>Aktivní legitimace v současné právní úpravě</w:t>
      </w:r>
      <w:bookmarkEnd w:id="11"/>
    </w:p>
    <w:p w:rsidR="008A07FA" w:rsidRPr="00DA196C" w:rsidRDefault="008A07F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Kdo je aktivně legitimován v případě žaloby na vydání věci v současné právní úpravě můžeme vyvodit z ustanovení § 1040 </w:t>
      </w:r>
      <w:r w:rsidR="00422C24" w:rsidRPr="00DA196C">
        <w:rPr>
          <w:rFonts w:ascii="Garamond" w:hAnsi="Garamond"/>
          <w:sz w:val="24"/>
          <w:szCs w:val="24"/>
        </w:rPr>
        <w:t xml:space="preserve">odst. 1 </w:t>
      </w:r>
      <w:r w:rsidRPr="00DA196C">
        <w:rPr>
          <w:rFonts w:ascii="Garamond" w:hAnsi="Garamond"/>
          <w:sz w:val="24"/>
          <w:szCs w:val="24"/>
        </w:rPr>
        <w:t xml:space="preserve">občanského zákoníku, již výše citovaného. </w:t>
      </w:r>
      <w:r w:rsidR="009F105F" w:rsidRPr="00DA196C">
        <w:rPr>
          <w:rFonts w:ascii="Garamond" w:hAnsi="Garamond"/>
          <w:sz w:val="24"/>
          <w:szCs w:val="24"/>
        </w:rPr>
        <w:t xml:space="preserve">Z tohoto ustanovení plyne, že žalobcem může být obecně vlastník věci. </w:t>
      </w:r>
    </w:p>
    <w:p w:rsidR="002A0215" w:rsidRPr="00DA196C" w:rsidRDefault="002A021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Z rozsudk</w:t>
      </w:r>
      <w:r w:rsidR="00A00750" w:rsidRPr="00DA196C">
        <w:rPr>
          <w:rFonts w:ascii="Garamond" w:hAnsi="Garamond"/>
          <w:sz w:val="24"/>
          <w:szCs w:val="24"/>
        </w:rPr>
        <w:t>u Nejvyššího soudu ze dne 13. ledna</w:t>
      </w:r>
      <w:r w:rsidRPr="00DA196C">
        <w:rPr>
          <w:rFonts w:ascii="Garamond" w:hAnsi="Garamond"/>
          <w:sz w:val="24"/>
          <w:szCs w:val="24"/>
        </w:rPr>
        <w:t xml:space="preserve"> 2011, </w:t>
      </w:r>
      <w:proofErr w:type="spellStart"/>
      <w:r w:rsidRPr="00DA196C">
        <w:rPr>
          <w:rFonts w:ascii="Garamond" w:hAnsi="Garamond"/>
          <w:sz w:val="24"/>
          <w:szCs w:val="24"/>
        </w:rPr>
        <w:t>sp</w:t>
      </w:r>
      <w:proofErr w:type="spellEnd"/>
      <w:r w:rsidRPr="00DA196C">
        <w:rPr>
          <w:rFonts w:ascii="Garamond" w:hAnsi="Garamond"/>
          <w:sz w:val="24"/>
          <w:szCs w:val="24"/>
        </w:rPr>
        <w:t xml:space="preserve">. </w:t>
      </w:r>
      <w:r w:rsidR="00DB56DD" w:rsidRPr="00DA196C">
        <w:rPr>
          <w:rFonts w:ascii="Garamond" w:hAnsi="Garamond"/>
          <w:sz w:val="24"/>
          <w:szCs w:val="24"/>
        </w:rPr>
        <w:t>zn</w:t>
      </w:r>
      <w:r w:rsidRPr="00DA196C">
        <w:rPr>
          <w:rFonts w:ascii="Garamond" w:hAnsi="Garamond"/>
          <w:sz w:val="24"/>
          <w:szCs w:val="24"/>
        </w:rPr>
        <w:t xml:space="preserve">. 26 </w:t>
      </w:r>
      <w:proofErr w:type="spellStart"/>
      <w:r w:rsidRPr="00DA196C">
        <w:rPr>
          <w:rFonts w:ascii="Garamond" w:hAnsi="Garamond"/>
          <w:sz w:val="24"/>
          <w:szCs w:val="24"/>
        </w:rPr>
        <w:t>Cdo</w:t>
      </w:r>
      <w:proofErr w:type="spellEnd"/>
      <w:r w:rsidRPr="00DA196C">
        <w:rPr>
          <w:rFonts w:ascii="Garamond" w:hAnsi="Garamond"/>
          <w:sz w:val="24"/>
          <w:szCs w:val="24"/>
        </w:rPr>
        <w:t xml:space="preserve"> 379/2010</w:t>
      </w:r>
      <w:r w:rsidR="00DB56DD" w:rsidRPr="00DA196C">
        <w:rPr>
          <w:rStyle w:val="Znakapoznpodarou"/>
          <w:rFonts w:ascii="Garamond" w:hAnsi="Garamond"/>
          <w:sz w:val="24"/>
          <w:szCs w:val="24"/>
        </w:rPr>
        <w:footnoteReference w:id="59"/>
      </w:r>
      <w:r w:rsidRPr="00DA196C">
        <w:rPr>
          <w:rFonts w:ascii="Garamond" w:hAnsi="Garamond"/>
          <w:sz w:val="24"/>
          <w:szCs w:val="24"/>
        </w:rPr>
        <w:t xml:space="preserve"> plyne, že k podání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žaloby je aktivně legitimován též </w:t>
      </w:r>
      <w:r w:rsidR="00DB56DD" w:rsidRPr="00DA196C">
        <w:rPr>
          <w:rFonts w:ascii="Garamond" w:hAnsi="Garamond"/>
          <w:sz w:val="24"/>
          <w:szCs w:val="24"/>
        </w:rPr>
        <w:t>i jen jeden z podílových spoluvlastníků předmětné věci.</w:t>
      </w:r>
      <w:r w:rsidR="007947B0" w:rsidRPr="00DA196C">
        <w:rPr>
          <w:rFonts w:ascii="Garamond" w:hAnsi="Garamond"/>
          <w:sz w:val="24"/>
          <w:szCs w:val="24"/>
        </w:rPr>
        <w:t xml:space="preserve"> </w:t>
      </w:r>
      <w:r w:rsidR="009F105F" w:rsidRPr="00DA196C">
        <w:rPr>
          <w:rFonts w:ascii="Garamond" w:hAnsi="Garamond"/>
          <w:sz w:val="24"/>
          <w:szCs w:val="24"/>
        </w:rPr>
        <w:t xml:space="preserve">Jestliže se však jedná o spor mezi jednotlivými spoluvlastníky navzájem, není užití </w:t>
      </w:r>
      <w:proofErr w:type="spellStart"/>
      <w:r w:rsidR="009F105F" w:rsidRPr="00DA196C">
        <w:rPr>
          <w:rFonts w:ascii="Garamond" w:hAnsi="Garamond"/>
          <w:sz w:val="24"/>
          <w:szCs w:val="24"/>
        </w:rPr>
        <w:t>reivindikační</w:t>
      </w:r>
      <w:proofErr w:type="spellEnd"/>
      <w:r w:rsidR="009F105F" w:rsidRPr="00DA196C">
        <w:rPr>
          <w:rFonts w:ascii="Garamond" w:hAnsi="Garamond"/>
          <w:sz w:val="24"/>
          <w:szCs w:val="24"/>
        </w:rPr>
        <w:t xml:space="preserve"> žaloby na místě v takovémto případě je třeba spor řešit dle ustanovení § 1128</w:t>
      </w:r>
      <w:r w:rsidR="005A535A" w:rsidRPr="00DA196C">
        <w:rPr>
          <w:rFonts w:ascii="Garamond" w:hAnsi="Garamond"/>
          <w:sz w:val="24"/>
          <w:szCs w:val="24"/>
        </w:rPr>
        <w:t xml:space="preserve"> občanského zákoníku o správě společné věci.</w:t>
      </w:r>
      <w:r w:rsidR="005A535A" w:rsidRPr="00DA196C">
        <w:rPr>
          <w:rStyle w:val="Znakapoznpodarou"/>
          <w:rFonts w:ascii="Garamond" w:hAnsi="Garamond"/>
          <w:sz w:val="24"/>
          <w:szCs w:val="24"/>
        </w:rPr>
        <w:footnoteReference w:id="60"/>
      </w:r>
    </w:p>
    <w:p w:rsidR="009F4413" w:rsidRDefault="00422C24" w:rsidP="00FA1FF7">
      <w:pPr>
        <w:spacing w:after="0" w:line="360" w:lineRule="auto"/>
        <w:ind w:firstLine="708"/>
        <w:contextualSpacing/>
        <w:jc w:val="both"/>
        <w:rPr>
          <w:rFonts w:ascii="Garamond" w:hAnsi="Garamond"/>
          <w:i/>
          <w:sz w:val="24"/>
          <w:szCs w:val="24"/>
        </w:rPr>
      </w:pPr>
      <w:r w:rsidRPr="00DA196C">
        <w:rPr>
          <w:rFonts w:ascii="Garamond" w:hAnsi="Garamond"/>
          <w:sz w:val="24"/>
          <w:szCs w:val="24"/>
        </w:rPr>
        <w:t xml:space="preserve">Negativní vymezení aktivní legitimace pak nalezneme v ustanovení § 1040 odst. 2 občanského zákoníku. Dle tohoto ustanovení </w:t>
      </w:r>
      <w:r w:rsidRPr="00DA196C">
        <w:rPr>
          <w:rFonts w:ascii="Garamond" w:hAnsi="Garamond"/>
          <w:i/>
          <w:sz w:val="24"/>
          <w:szCs w:val="24"/>
        </w:rPr>
        <w:t>„Žalovat o vydání věci nemůže ten, kdo věc svým jménem nabyvateli zcizil, aniž byl jejím vlastníkem, a teprve poté k ní vlastnické právo nabyl; nabytím vlastnického práva zcizitelem se nabyvatel stává vlastníkem věci.“</w:t>
      </w:r>
      <w:r w:rsidRPr="00DA196C">
        <w:rPr>
          <w:rFonts w:ascii="Garamond" w:hAnsi="Garamond"/>
          <w:sz w:val="24"/>
          <w:szCs w:val="24"/>
        </w:rPr>
        <w:t xml:space="preserve"> </w:t>
      </w:r>
      <w:r w:rsidR="00E70A0B" w:rsidRPr="00DA196C">
        <w:rPr>
          <w:rFonts w:ascii="Garamond" w:hAnsi="Garamond"/>
          <w:sz w:val="24"/>
          <w:szCs w:val="24"/>
        </w:rPr>
        <w:t xml:space="preserve">Takovéto omezení možnosti uplatnit žalobu na vydání věci, které je zároveň také úpravou ve věci nabývání vlastnického práva, je dle mého názoru logicky zcela v souladu se základní zásadou soukromého práva vyjádřenou v ustanovení § 6 odst. 2 větě první občanského zákoníku: </w:t>
      </w:r>
      <w:r w:rsidR="00E70A0B" w:rsidRPr="00DA196C">
        <w:rPr>
          <w:rFonts w:ascii="Garamond" w:hAnsi="Garamond"/>
          <w:i/>
          <w:sz w:val="24"/>
          <w:szCs w:val="24"/>
        </w:rPr>
        <w:t>„Nikdo nesmí těžit ze svého nepoctivého nebo protiprávního činu.“</w:t>
      </w:r>
    </w:p>
    <w:p w:rsidR="005A535A" w:rsidRPr="00A20106" w:rsidRDefault="009F4413" w:rsidP="00FA1FF7">
      <w:pPr>
        <w:spacing w:line="360" w:lineRule="auto"/>
        <w:contextualSpacing/>
        <w:jc w:val="both"/>
        <w:rPr>
          <w:rFonts w:ascii="Garamond" w:hAnsi="Garamond"/>
          <w:i/>
          <w:sz w:val="24"/>
          <w:szCs w:val="24"/>
        </w:rPr>
      </w:pPr>
      <w:r>
        <w:rPr>
          <w:rFonts w:ascii="Garamond" w:hAnsi="Garamond"/>
          <w:i/>
          <w:sz w:val="24"/>
          <w:szCs w:val="24"/>
        </w:rPr>
        <w:br w:type="page"/>
      </w:r>
    </w:p>
    <w:p w:rsidR="00442436" w:rsidRPr="00DA196C" w:rsidRDefault="00442436" w:rsidP="00FA1FF7">
      <w:pPr>
        <w:pStyle w:val="Nadpis1"/>
        <w:contextualSpacing/>
      </w:pPr>
      <w:bookmarkStart w:id="12" w:name="_Toc36031941"/>
      <w:r w:rsidRPr="00DA196C">
        <w:lastRenderedPageBreak/>
        <w:t>Pasivní legitimace</w:t>
      </w:r>
      <w:bookmarkEnd w:id="12"/>
    </w:p>
    <w:p w:rsidR="00783672" w:rsidRPr="00DA196C" w:rsidRDefault="00783672" w:rsidP="00FA1FF7">
      <w:pPr>
        <w:pStyle w:val="Nadpis2"/>
        <w:contextualSpacing/>
      </w:pPr>
      <w:bookmarkStart w:id="13" w:name="_Toc36031942"/>
      <w:r w:rsidRPr="00DA196C">
        <w:t>Právní úprava pasivní legitimace v římském právu</w:t>
      </w:r>
      <w:bookmarkEnd w:id="13"/>
    </w:p>
    <w:p w:rsidR="00935A18" w:rsidRPr="00DA196C" w:rsidRDefault="00935A1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Za dob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procesu</w:t>
      </w:r>
      <w:r w:rsidR="004843AD" w:rsidRPr="00DA196C">
        <w:rPr>
          <w:rFonts w:ascii="Garamond" w:hAnsi="Garamond"/>
          <w:sz w:val="24"/>
          <w:szCs w:val="24"/>
        </w:rPr>
        <w:t xml:space="preserve"> a v</w:t>
      </w:r>
      <w:r w:rsidRPr="00DA196C">
        <w:rPr>
          <w:rFonts w:ascii="Garamond" w:hAnsi="Garamond"/>
          <w:sz w:val="24"/>
          <w:szCs w:val="24"/>
        </w:rPr>
        <w:t>e formulovém procesu měl postavení pasivně legitimovaného, tedy žalovaného, držitel věci (</w:t>
      </w:r>
      <w:proofErr w:type="spellStart"/>
      <w:r w:rsidRPr="0047420E">
        <w:rPr>
          <w:rFonts w:ascii="Garamond" w:hAnsi="Garamond"/>
          <w:i/>
          <w:sz w:val="24"/>
          <w:szCs w:val="24"/>
        </w:rPr>
        <w:t>possessor</w:t>
      </w:r>
      <w:proofErr w:type="spellEnd"/>
      <w:r w:rsidRPr="00DA196C">
        <w:rPr>
          <w:rFonts w:ascii="Garamond" w:hAnsi="Garamond"/>
          <w:sz w:val="24"/>
          <w:szCs w:val="24"/>
        </w:rPr>
        <w:t>). Později</w:t>
      </w:r>
      <w:r w:rsidR="000F7BD8" w:rsidRPr="00DA196C">
        <w:rPr>
          <w:rFonts w:ascii="Garamond" w:hAnsi="Garamond"/>
          <w:sz w:val="24"/>
          <w:szCs w:val="24"/>
        </w:rPr>
        <w:t xml:space="preserve"> byla pasivní legitimace přiznána i tomu, kdo drží věc ve jménu jiného (</w:t>
      </w:r>
      <w:proofErr w:type="spellStart"/>
      <w:r w:rsidR="000F7BD8" w:rsidRPr="0047420E">
        <w:rPr>
          <w:rFonts w:ascii="Garamond" w:hAnsi="Garamond"/>
          <w:i/>
          <w:sz w:val="24"/>
          <w:szCs w:val="24"/>
        </w:rPr>
        <w:t>possessor</w:t>
      </w:r>
      <w:proofErr w:type="spellEnd"/>
      <w:r w:rsidR="000F7BD8" w:rsidRPr="0047420E">
        <w:rPr>
          <w:rFonts w:ascii="Garamond" w:hAnsi="Garamond"/>
          <w:i/>
          <w:sz w:val="24"/>
          <w:szCs w:val="24"/>
        </w:rPr>
        <w:t xml:space="preserve"> </w:t>
      </w:r>
      <w:proofErr w:type="spellStart"/>
      <w:r w:rsidR="000F7BD8" w:rsidRPr="0047420E">
        <w:rPr>
          <w:rFonts w:ascii="Garamond" w:hAnsi="Garamond"/>
          <w:i/>
          <w:sz w:val="24"/>
          <w:szCs w:val="24"/>
        </w:rPr>
        <w:t>alieno</w:t>
      </w:r>
      <w:proofErr w:type="spellEnd"/>
      <w:r w:rsidR="000F7BD8" w:rsidRPr="0047420E">
        <w:rPr>
          <w:rFonts w:ascii="Garamond" w:hAnsi="Garamond"/>
          <w:i/>
          <w:sz w:val="24"/>
          <w:szCs w:val="24"/>
        </w:rPr>
        <w:t xml:space="preserve"> </w:t>
      </w:r>
      <w:proofErr w:type="spellStart"/>
      <w:r w:rsidR="000F7BD8" w:rsidRPr="0047420E">
        <w:rPr>
          <w:rFonts w:ascii="Garamond" w:hAnsi="Garamond"/>
          <w:i/>
          <w:sz w:val="24"/>
          <w:szCs w:val="24"/>
        </w:rPr>
        <w:t>nomine</w:t>
      </w:r>
      <w:proofErr w:type="spellEnd"/>
      <w:r w:rsidR="000F7BD8" w:rsidRPr="00DA196C">
        <w:rPr>
          <w:rFonts w:ascii="Garamond" w:hAnsi="Garamond"/>
          <w:sz w:val="24"/>
          <w:szCs w:val="24"/>
        </w:rPr>
        <w:t>)</w:t>
      </w:r>
      <w:r w:rsidR="0047420E">
        <w:rPr>
          <w:rFonts w:ascii="Garamond" w:hAnsi="Garamond"/>
          <w:sz w:val="24"/>
          <w:szCs w:val="24"/>
        </w:rPr>
        <w:t>,</w:t>
      </w:r>
      <w:r w:rsidR="000F7BD8" w:rsidRPr="00DA196C">
        <w:rPr>
          <w:rStyle w:val="Znakapoznpodarou"/>
          <w:rFonts w:ascii="Garamond" w:hAnsi="Garamond"/>
          <w:sz w:val="24"/>
          <w:szCs w:val="24"/>
        </w:rPr>
        <w:footnoteReference w:id="61"/>
      </w:r>
      <w:r w:rsidR="000F7BD8" w:rsidRPr="00DA196C">
        <w:rPr>
          <w:rFonts w:ascii="Garamond" w:hAnsi="Garamond"/>
          <w:sz w:val="24"/>
          <w:szCs w:val="24"/>
        </w:rPr>
        <w:t xml:space="preserve"> nicméně platilo zde omezení </w:t>
      </w:r>
      <w:proofErr w:type="spellStart"/>
      <w:r w:rsidR="000F7BD8" w:rsidRPr="00DA196C">
        <w:rPr>
          <w:rFonts w:ascii="Garamond" w:hAnsi="Garamond"/>
          <w:sz w:val="24"/>
          <w:szCs w:val="24"/>
        </w:rPr>
        <w:t>reivindikační</w:t>
      </w:r>
      <w:proofErr w:type="spellEnd"/>
      <w:r w:rsidR="000F7BD8" w:rsidRPr="00DA196C">
        <w:rPr>
          <w:rFonts w:ascii="Garamond" w:hAnsi="Garamond"/>
          <w:sz w:val="24"/>
          <w:szCs w:val="24"/>
        </w:rPr>
        <w:t xml:space="preserve"> žaloby pouze na ty případy, kdy </w:t>
      </w:r>
      <w:r w:rsidR="0047420E">
        <w:rPr>
          <w:rFonts w:ascii="Garamond" w:hAnsi="Garamond"/>
          <w:sz w:val="24"/>
          <w:szCs w:val="24"/>
        </w:rPr>
        <w:t>nelze užít žalobu obligační. V </w:t>
      </w:r>
      <w:proofErr w:type="spellStart"/>
      <w:r w:rsidR="0047420E">
        <w:rPr>
          <w:rFonts w:ascii="Garamond" w:hAnsi="Garamond"/>
          <w:sz w:val="24"/>
          <w:szCs w:val="24"/>
        </w:rPr>
        <w:t>j</w:t>
      </w:r>
      <w:r w:rsidR="000F7BD8" w:rsidRPr="00DA196C">
        <w:rPr>
          <w:rFonts w:ascii="Garamond" w:hAnsi="Garamond"/>
          <w:sz w:val="24"/>
          <w:szCs w:val="24"/>
        </w:rPr>
        <w:t>ustiniánském</w:t>
      </w:r>
      <w:proofErr w:type="spellEnd"/>
      <w:r w:rsidR="000F7BD8" w:rsidRPr="00DA196C">
        <w:rPr>
          <w:rFonts w:ascii="Garamond" w:hAnsi="Garamond"/>
          <w:sz w:val="24"/>
          <w:szCs w:val="24"/>
        </w:rPr>
        <w:t xml:space="preserve"> právu pak mohl být žalovaným již každý </w:t>
      </w:r>
      <w:proofErr w:type="spellStart"/>
      <w:r w:rsidR="000F7BD8" w:rsidRPr="00DA196C">
        <w:rPr>
          <w:rFonts w:ascii="Garamond" w:hAnsi="Garamond"/>
          <w:sz w:val="24"/>
          <w:szCs w:val="24"/>
        </w:rPr>
        <w:t>detentor</w:t>
      </w:r>
      <w:proofErr w:type="spellEnd"/>
      <w:r w:rsidR="00C45D21" w:rsidRPr="00DA196C">
        <w:rPr>
          <w:rFonts w:ascii="Garamond" w:hAnsi="Garamond"/>
          <w:sz w:val="24"/>
          <w:szCs w:val="24"/>
        </w:rPr>
        <w:t xml:space="preserve"> i držitel věci, tedy obecně každý, kdo měl možnost věc vydat</w:t>
      </w:r>
      <w:r w:rsidR="000F7BD8" w:rsidRPr="00DA196C">
        <w:rPr>
          <w:rFonts w:ascii="Garamond" w:hAnsi="Garamond"/>
          <w:sz w:val="24"/>
          <w:szCs w:val="24"/>
        </w:rPr>
        <w:t>.</w:t>
      </w:r>
      <w:r w:rsidR="00C45D21" w:rsidRPr="00DA196C">
        <w:rPr>
          <w:rStyle w:val="Znakapoznpodarou"/>
          <w:rFonts w:ascii="Garamond" w:hAnsi="Garamond"/>
          <w:sz w:val="24"/>
          <w:szCs w:val="24"/>
        </w:rPr>
        <w:footnoteReference w:id="62"/>
      </w:r>
    </w:p>
    <w:p w:rsidR="00D21025" w:rsidRPr="00DA196C" w:rsidRDefault="00C45D1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Pasivně legitimovaným mohl být též tzv. </w:t>
      </w:r>
      <w:proofErr w:type="spellStart"/>
      <w:r w:rsidRPr="0047420E">
        <w:rPr>
          <w:rFonts w:ascii="Garamond" w:hAnsi="Garamond"/>
          <w:i/>
          <w:sz w:val="24"/>
          <w:szCs w:val="24"/>
        </w:rPr>
        <w:t>fictus</w:t>
      </w:r>
      <w:proofErr w:type="spellEnd"/>
      <w:r w:rsidRPr="0047420E">
        <w:rPr>
          <w:rFonts w:ascii="Garamond" w:hAnsi="Garamond"/>
          <w:i/>
          <w:sz w:val="24"/>
          <w:szCs w:val="24"/>
        </w:rPr>
        <w:t xml:space="preserve"> </w:t>
      </w:r>
      <w:proofErr w:type="spellStart"/>
      <w:r w:rsidRPr="0047420E">
        <w:rPr>
          <w:rFonts w:ascii="Garamond" w:hAnsi="Garamond"/>
          <w:i/>
          <w:sz w:val="24"/>
          <w:szCs w:val="24"/>
        </w:rPr>
        <w:t>possessor</w:t>
      </w:r>
      <w:proofErr w:type="spellEnd"/>
      <w:r w:rsidRPr="00DA196C">
        <w:rPr>
          <w:rFonts w:ascii="Garamond" w:hAnsi="Garamond"/>
          <w:sz w:val="24"/>
          <w:szCs w:val="24"/>
        </w:rPr>
        <w:t xml:space="preserve">. Ačkoli </w:t>
      </w:r>
      <w:proofErr w:type="spellStart"/>
      <w:r w:rsidRPr="0047420E">
        <w:rPr>
          <w:rFonts w:ascii="Garamond" w:hAnsi="Garamond"/>
          <w:i/>
          <w:sz w:val="24"/>
          <w:szCs w:val="24"/>
        </w:rPr>
        <w:t>fictus</w:t>
      </w:r>
      <w:proofErr w:type="spellEnd"/>
      <w:r w:rsidRPr="0047420E">
        <w:rPr>
          <w:rFonts w:ascii="Garamond" w:hAnsi="Garamond"/>
          <w:i/>
          <w:sz w:val="24"/>
          <w:szCs w:val="24"/>
        </w:rPr>
        <w:t xml:space="preserve"> </w:t>
      </w:r>
      <w:proofErr w:type="spellStart"/>
      <w:r w:rsidRPr="0047420E">
        <w:rPr>
          <w:rFonts w:ascii="Garamond" w:hAnsi="Garamond"/>
          <w:i/>
          <w:sz w:val="24"/>
          <w:szCs w:val="24"/>
        </w:rPr>
        <w:t>possessor</w:t>
      </w:r>
      <w:proofErr w:type="spellEnd"/>
      <w:r w:rsidRPr="00DA196C">
        <w:rPr>
          <w:rFonts w:ascii="Garamond" w:hAnsi="Garamond"/>
          <w:sz w:val="24"/>
          <w:szCs w:val="24"/>
        </w:rPr>
        <w:t xml:space="preserve"> předmětnou věc nedržel, byla proti němu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žaloba připuštěna</w:t>
      </w:r>
      <w:r w:rsidR="0006632C" w:rsidRPr="00DA196C">
        <w:rPr>
          <w:rFonts w:ascii="Garamond" w:hAnsi="Garamond"/>
          <w:sz w:val="24"/>
          <w:szCs w:val="24"/>
        </w:rPr>
        <w:t xml:space="preserve">, jelikož buď ze zlého úmyslu věc </w:t>
      </w:r>
      <w:proofErr w:type="gramStart"/>
      <w:r w:rsidR="0006632C" w:rsidRPr="00DA196C">
        <w:rPr>
          <w:rFonts w:ascii="Garamond" w:hAnsi="Garamond"/>
          <w:sz w:val="24"/>
          <w:szCs w:val="24"/>
        </w:rPr>
        <w:t>zcizil nebo</w:t>
      </w:r>
      <w:proofErr w:type="gramEnd"/>
      <w:r w:rsidR="0006632C" w:rsidRPr="00DA196C">
        <w:rPr>
          <w:rFonts w:ascii="Garamond" w:hAnsi="Garamond"/>
          <w:sz w:val="24"/>
          <w:szCs w:val="24"/>
        </w:rPr>
        <w:t xml:space="preserve"> zničil, aby se tak vyhnul procesu</w:t>
      </w:r>
      <w:r w:rsidR="00200D22" w:rsidRPr="00DA196C">
        <w:rPr>
          <w:rFonts w:ascii="Garamond" w:hAnsi="Garamond"/>
          <w:sz w:val="24"/>
          <w:szCs w:val="24"/>
        </w:rPr>
        <w:t xml:space="preserve"> (</w:t>
      </w:r>
      <w:proofErr w:type="spellStart"/>
      <w:r w:rsidR="00200D22" w:rsidRPr="0047420E">
        <w:rPr>
          <w:rFonts w:ascii="Garamond" w:hAnsi="Garamond"/>
          <w:i/>
          <w:sz w:val="24"/>
          <w:szCs w:val="24"/>
        </w:rPr>
        <w:t>dolo</w:t>
      </w:r>
      <w:proofErr w:type="spellEnd"/>
      <w:r w:rsidR="00200D22" w:rsidRPr="0047420E">
        <w:rPr>
          <w:rFonts w:ascii="Garamond" w:hAnsi="Garamond"/>
          <w:i/>
          <w:sz w:val="24"/>
          <w:szCs w:val="24"/>
        </w:rPr>
        <w:t xml:space="preserve"> </w:t>
      </w:r>
      <w:proofErr w:type="spellStart"/>
      <w:r w:rsidR="0047420E">
        <w:rPr>
          <w:rFonts w:ascii="Garamond" w:hAnsi="Garamond"/>
          <w:i/>
          <w:sz w:val="24"/>
          <w:szCs w:val="24"/>
        </w:rPr>
        <w:t>desiit</w:t>
      </w:r>
      <w:proofErr w:type="spellEnd"/>
      <w:r w:rsidR="00200D22" w:rsidRPr="0047420E">
        <w:rPr>
          <w:rFonts w:ascii="Garamond" w:hAnsi="Garamond"/>
          <w:i/>
          <w:sz w:val="24"/>
          <w:szCs w:val="24"/>
        </w:rPr>
        <w:t xml:space="preserve"> </w:t>
      </w:r>
      <w:proofErr w:type="spellStart"/>
      <w:r w:rsidR="00200D22" w:rsidRPr="0047420E">
        <w:rPr>
          <w:rFonts w:ascii="Garamond" w:hAnsi="Garamond"/>
          <w:i/>
          <w:sz w:val="24"/>
          <w:szCs w:val="24"/>
        </w:rPr>
        <w:t>possidere</w:t>
      </w:r>
      <w:proofErr w:type="spellEnd"/>
      <w:r w:rsidR="00200D22" w:rsidRPr="00DA196C">
        <w:rPr>
          <w:rFonts w:ascii="Garamond" w:hAnsi="Garamond"/>
          <w:sz w:val="24"/>
          <w:szCs w:val="24"/>
        </w:rPr>
        <w:t>)</w:t>
      </w:r>
      <w:r w:rsidR="0006632C" w:rsidRPr="00DA196C">
        <w:rPr>
          <w:rFonts w:ascii="Garamond" w:hAnsi="Garamond"/>
          <w:sz w:val="24"/>
          <w:szCs w:val="24"/>
        </w:rPr>
        <w:t>, nebo naopak předstíral, že věc drží, i když tomu tak nebylo, a vzal na sebe proces</w:t>
      </w:r>
      <w:r w:rsidR="00200D22" w:rsidRPr="00DA196C">
        <w:rPr>
          <w:rFonts w:ascii="Garamond" w:hAnsi="Garamond"/>
          <w:sz w:val="24"/>
          <w:szCs w:val="24"/>
        </w:rPr>
        <w:t>, aby žalobce zmátl (</w:t>
      </w:r>
      <w:r w:rsidR="00200D22" w:rsidRPr="0047420E">
        <w:rPr>
          <w:rFonts w:ascii="Garamond" w:hAnsi="Garamond"/>
          <w:i/>
          <w:sz w:val="24"/>
          <w:szCs w:val="24"/>
        </w:rPr>
        <w:t>liti se obtulit</w:t>
      </w:r>
      <w:r w:rsidR="00200D22" w:rsidRPr="00DA196C">
        <w:rPr>
          <w:rFonts w:ascii="Garamond" w:hAnsi="Garamond"/>
          <w:sz w:val="24"/>
          <w:szCs w:val="24"/>
        </w:rPr>
        <w:t>)</w:t>
      </w:r>
      <w:r w:rsidR="0006632C" w:rsidRPr="00DA196C">
        <w:rPr>
          <w:rFonts w:ascii="Garamond" w:hAnsi="Garamond"/>
          <w:sz w:val="24"/>
          <w:szCs w:val="24"/>
        </w:rPr>
        <w:t>.</w:t>
      </w:r>
      <w:r w:rsidR="00896102" w:rsidRPr="00DA196C">
        <w:rPr>
          <w:rStyle w:val="Znakapoznpodarou"/>
          <w:rFonts w:ascii="Garamond" w:hAnsi="Garamond"/>
          <w:sz w:val="24"/>
          <w:szCs w:val="24"/>
        </w:rPr>
        <w:footnoteReference w:id="63"/>
      </w:r>
      <w:r w:rsidR="0006632C" w:rsidRPr="00DA196C">
        <w:rPr>
          <w:rFonts w:ascii="Garamond" w:hAnsi="Garamond"/>
          <w:sz w:val="24"/>
          <w:szCs w:val="24"/>
        </w:rPr>
        <w:t xml:space="preserve"> V takovémto případě bylo beze sporu spravedlivé, aby mohl žalobce proti němu výjimečně uplatnit </w:t>
      </w:r>
      <w:proofErr w:type="spellStart"/>
      <w:r w:rsidR="0006632C" w:rsidRPr="00DA196C">
        <w:rPr>
          <w:rFonts w:ascii="Garamond" w:hAnsi="Garamond"/>
          <w:sz w:val="24"/>
          <w:szCs w:val="24"/>
        </w:rPr>
        <w:t>reivindikační</w:t>
      </w:r>
      <w:proofErr w:type="spellEnd"/>
      <w:r w:rsidR="0006632C" w:rsidRPr="00DA196C">
        <w:rPr>
          <w:rFonts w:ascii="Garamond" w:hAnsi="Garamond"/>
          <w:sz w:val="24"/>
          <w:szCs w:val="24"/>
        </w:rPr>
        <w:t xml:space="preserve"> žalobu, ačkoli nedržel, a aby byl takovýto </w:t>
      </w:r>
      <w:proofErr w:type="spellStart"/>
      <w:r w:rsidR="0006632C" w:rsidRPr="0047420E">
        <w:rPr>
          <w:rFonts w:ascii="Garamond" w:hAnsi="Garamond"/>
          <w:i/>
          <w:sz w:val="24"/>
          <w:szCs w:val="24"/>
        </w:rPr>
        <w:t>fictus</w:t>
      </w:r>
      <w:proofErr w:type="spellEnd"/>
      <w:r w:rsidR="0006632C" w:rsidRPr="0047420E">
        <w:rPr>
          <w:rFonts w:ascii="Garamond" w:hAnsi="Garamond"/>
          <w:i/>
          <w:sz w:val="24"/>
          <w:szCs w:val="24"/>
        </w:rPr>
        <w:t xml:space="preserve"> </w:t>
      </w:r>
      <w:proofErr w:type="spellStart"/>
      <w:r w:rsidR="0006632C" w:rsidRPr="0047420E">
        <w:rPr>
          <w:rFonts w:ascii="Garamond" w:hAnsi="Garamond"/>
          <w:i/>
          <w:sz w:val="24"/>
          <w:szCs w:val="24"/>
        </w:rPr>
        <w:t>possessor</w:t>
      </w:r>
      <w:proofErr w:type="spellEnd"/>
      <w:r w:rsidR="0006632C" w:rsidRPr="00DA196C">
        <w:rPr>
          <w:rFonts w:ascii="Garamond" w:hAnsi="Garamond"/>
          <w:sz w:val="24"/>
          <w:szCs w:val="24"/>
        </w:rPr>
        <w:t xml:space="preserve"> pokládán za držitele a odsouzen, jako by skutečně držel.</w:t>
      </w:r>
    </w:p>
    <w:p w:rsidR="007573F4" w:rsidRPr="00DA196C" w:rsidRDefault="005D1C9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Žalovaný měl vůči žalobci</w:t>
      </w:r>
      <w:r w:rsidR="00173C91" w:rsidRPr="00DA196C">
        <w:rPr>
          <w:rFonts w:ascii="Garamond" w:hAnsi="Garamond"/>
          <w:sz w:val="24"/>
          <w:szCs w:val="24"/>
        </w:rPr>
        <w:t>, respektive vlastníkovi,</w:t>
      </w:r>
      <w:r w:rsidRPr="00DA196C">
        <w:rPr>
          <w:rFonts w:ascii="Garamond" w:hAnsi="Garamond"/>
          <w:sz w:val="24"/>
          <w:szCs w:val="24"/>
        </w:rPr>
        <w:t xml:space="preserve"> nárok na náhradu nákladů, učiněných na </w:t>
      </w:r>
      <w:proofErr w:type="spellStart"/>
      <w:r w:rsidRPr="00DA196C">
        <w:rPr>
          <w:rFonts w:ascii="Garamond" w:hAnsi="Garamond"/>
          <w:sz w:val="24"/>
          <w:szCs w:val="24"/>
        </w:rPr>
        <w:t>vindikovanou</w:t>
      </w:r>
      <w:proofErr w:type="spellEnd"/>
      <w:r w:rsidRPr="00DA196C">
        <w:rPr>
          <w:rFonts w:ascii="Garamond" w:hAnsi="Garamond"/>
          <w:sz w:val="24"/>
          <w:szCs w:val="24"/>
        </w:rPr>
        <w:t xml:space="preserve"> věc. </w:t>
      </w:r>
      <w:proofErr w:type="spellStart"/>
      <w:r w:rsidRPr="0047420E">
        <w:rPr>
          <w:rFonts w:ascii="Garamond" w:hAnsi="Garamond"/>
          <w:i/>
          <w:sz w:val="24"/>
          <w:szCs w:val="24"/>
        </w:rPr>
        <w:t>Impensae</w:t>
      </w:r>
      <w:proofErr w:type="spellEnd"/>
      <w:r w:rsidRPr="0047420E">
        <w:rPr>
          <w:rFonts w:ascii="Garamond" w:hAnsi="Garamond"/>
          <w:i/>
          <w:sz w:val="24"/>
          <w:szCs w:val="24"/>
        </w:rPr>
        <w:t xml:space="preserve"> </w:t>
      </w:r>
      <w:proofErr w:type="spellStart"/>
      <w:r w:rsidRPr="0047420E">
        <w:rPr>
          <w:rFonts w:ascii="Garamond" w:hAnsi="Garamond"/>
          <w:i/>
          <w:sz w:val="24"/>
          <w:szCs w:val="24"/>
        </w:rPr>
        <w:t>necessariae</w:t>
      </w:r>
      <w:proofErr w:type="spellEnd"/>
      <w:r w:rsidRPr="00DA196C">
        <w:rPr>
          <w:rFonts w:ascii="Garamond" w:hAnsi="Garamond"/>
          <w:sz w:val="24"/>
          <w:szCs w:val="24"/>
        </w:rPr>
        <w:t xml:space="preserve">, tedy náklady nutné, takové, které zabraňovaly zkáze nebo zhoršení věci, musely být žalobcem nahrazeny </w:t>
      </w:r>
      <w:r w:rsidR="005779CD" w:rsidRPr="00DA196C">
        <w:rPr>
          <w:rFonts w:ascii="Garamond" w:hAnsi="Garamond"/>
          <w:sz w:val="24"/>
          <w:szCs w:val="24"/>
        </w:rPr>
        <w:t xml:space="preserve">za dob klasického práva poctivému držiteli, za </w:t>
      </w:r>
      <w:proofErr w:type="spellStart"/>
      <w:r w:rsidR="005779CD" w:rsidRPr="00DA196C">
        <w:rPr>
          <w:rFonts w:ascii="Garamond" w:hAnsi="Garamond"/>
          <w:sz w:val="24"/>
          <w:szCs w:val="24"/>
        </w:rPr>
        <w:t>justiniánského</w:t>
      </w:r>
      <w:proofErr w:type="spellEnd"/>
      <w:r w:rsidR="005779CD" w:rsidRPr="00DA196C">
        <w:rPr>
          <w:rFonts w:ascii="Garamond" w:hAnsi="Garamond"/>
          <w:sz w:val="24"/>
          <w:szCs w:val="24"/>
        </w:rPr>
        <w:t xml:space="preserve"> práva pak i držiteli nepoctivému</w:t>
      </w:r>
      <w:r w:rsidRPr="00DA196C">
        <w:rPr>
          <w:rFonts w:ascii="Garamond" w:hAnsi="Garamond"/>
          <w:sz w:val="24"/>
          <w:szCs w:val="24"/>
        </w:rPr>
        <w:t xml:space="preserve">. Na náhradu </w:t>
      </w:r>
      <w:proofErr w:type="spellStart"/>
      <w:r w:rsidRPr="0047420E">
        <w:rPr>
          <w:rFonts w:ascii="Garamond" w:hAnsi="Garamond"/>
          <w:i/>
          <w:sz w:val="24"/>
          <w:szCs w:val="24"/>
        </w:rPr>
        <w:t>impensae</w:t>
      </w:r>
      <w:proofErr w:type="spellEnd"/>
      <w:r w:rsidRPr="0047420E">
        <w:rPr>
          <w:rFonts w:ascii="Garamond" w:hAnsi="Garamond"/>
          <w:i/>
          <w:sz w:val="24"/>
          <w:szCs w:val="24"/>
        </w:rPr>
        <w:t xml:space="preserve"> </w:t>
      </w:r>
      <w:proofErr w:type="spellStart"/>
      <w:r w:rsidRPr="0047420E">
        <w:rPr>
          <w:rFonts w:ascii="Garamond" w:hAnsi="Garamond"/>
          <w:i/>
          <w:sz w:val="24"/>
          <w:szCs w:val="24"/>
        </w:rPr>
        <w:t>utiles</w:t>
      </w:r>
      <w:proofErr w:type="spellEnd"/>
      <w:r w:rsidRPr="00DA196C">
        <w:rPr>
          <w:rFonts w:ascii="Garamond" w:hAnsi="Garamond"/>
          <w:sz w:val="24"/>
          <w:szCs w:val="24"/>
        </w:rPr>
        <w:t xml:space="preserve">, </w:t>
      </w:r>
      <w:r w:rsidR="0047420E">
        <w:rPr>
          <w:rFonts w:ascii="Garamond" w:hAnsi="Garamond"/>
          <w:sz w:val="24"/>
          <w:szCs w:val="24"/>
        </w:rPr>
        <w:t>tedy nákladů užitečných, tedy</w:t>
      </w:r>
      <w:r w:rsidR="00173C91" w:rsidRPr="00DA196C">
        <w:rPr>
          <w:rFonts w:ascii="Garamond" w:hAnsi="Garamond"/>
          <w:sz w:val="24"/>
          <w:szCs w:val="24"/>
        </w:rPr>
        <w:t xml:space="preserve"> takových, které zvyšovaly užitečnost nebo výnosnost věci, měl náro</w:t>
      </w:r>
      <w:r w:rsidR="00071844" w:rsidRPr="00DA196C">
        <w:rPr>
          <w:rFonts w:ascii="Garamond" w:hAnsi="Garamond"/>
          <w:sz w:val="24"/>
          <w:szCs w:val="24"/>
        </w:rPr>
        <w:t>k pouze držitel poctivý. V klasickém právu mohl pro náhradu užitečných nákladů věc zadržovat, v </w:t>
      </w:r>
      <w:proofErr w:type="spellStart"/>
      <w:r w:rsidR="00071844" w:rsidRPr="00DA196C">
        <w:rPr>
          <w:rFonts w:ascii="Garamond" w:hAnsi="Garamond"/>
          <w:sz w:val="24"/>
          <w:szCs w:val="24"/>
        </w:rPr>
        <w:t>justiniánském</w:t>
      </w:r>
      <w:proofErr w:type="spellEnd"/>
      <w:r w:rsidR="00071844" w:rsidRPr="00DA196C">
        <w:rPr>
          <w:rFonts w:ascii="Garamond" w:hAnsi="Garamond"/>
          <w:sz w:val="24"/>
          <w:szCs w:val="24"/>
        </w:rPr>
        <w:t xml:space="preserve"> právu byla poctivému držiteli přiznávána náhrada </w:t>
      </w:r>
      <w:r w:rsidR="00173C91" w:rsidRPr="00DA196C">
        <w:rPr>
          <w:rFonts w:ascii="Garamond" w:hAnsi="Garamond"/>
          <w:sz w:val="24"/>
          <w:szCs w:val="24"/>
        </w:rPr>
        <w:t xml:space="preserve">v míře, v jaké byla zvýšena hodnota věci a v jaké jeho náklad nepokryly plody, které z věci získal. Pak zde byly ještě </w:t>
      </w:r>
      <w:proofErr w:type="spellStart"/>
      <w:r w:rsidR="00173C91" w:rsidRPr="0047420E">
        <w:rPr>
          <w:rFonts w:ascii="Garamond" w:hAnsi="Garamond"/>
          <w:i/>
          <w:sz w:val="24"/>
          <w:szCs w:val="24"/>
        </w:rPr>
        <w:t>impensae</w:t>
      </w:r>
      <w:proofErr w:type="spellEnd"/>
      <w:r w:rsidR="00173C91" w:rsidRPr="0047420E">
        <w:rPr>
          <w:rFonts w:ascii="Garamond" w:hAnsi="Garamond"/>
          <w:i/>
          <w:sz w:val="24"/>
          <w:szCs w:val="24"/>
        </w:rPr>
        <w:t xml:space="preserve"> </w:t>
      </w:r>
      <w:proofErr w:type="spellStart"/>
      <w:r w:rsidR="00173C91" w:rsidRPr="0047420E">
        <w:rPr>
          <w:rFonts w:ascii="Garamond" w:hAnsi="Garamond"/>
          <w:i/>
          <w:sz w:val="24"/>
          <w:szCs w:val="24"/>
        </w:rPr>
        <w:t>voluptariae</w:t>
      </w:r>
      <w:proofErr w:type="spellEnd"/>
      <w:r w:rsidR="00173C91" w:rsidRPr="00DA196C">
        <w:rPr>
          <w:rFonts w:ascii="Garamond" w:hAnsi="Garamond"/>
          <w:sz w:val="24"/>
          <w:szCs w:val="24"/>
        </w:rPr>
        <w:t>, což byly všechny ostatní náklady, které věc např. pouze zkrášlovaly.</w:t>
      </w:r>
      <w:r w:rsidR="00173C91" w:rsidRPr="00DA196C">
        <w:rPr>
          <w:rStyle w:val="Znakapoznpodarou"/>
          <w:rFonts w:ascii="Garamond" w:hAnsi="Garamond"/>
          <w:sz w:val="24"/>
          <w:szCs w:val="24"/>
        </w:rPr>
        <w:footnoteReference w:id="64"/>
      </w:r>
      <w:r w:rsidR="00173C91" w:rsidRPr="00DA196C">
        <w:rPr>
          <w:rFonts w:ascii="Garamond" w:hAnsi="Garamond"/>
          <w:sz w:val="24"/>
          <w:szCs w:val="24"/>
        </w:rPr>
        <w:t xml:space="preserve"> Takové náklady nebyl povinen v</w:t>
      </w:r>
      <w:r w:rsidR="00071844" w:rsidRPr="00DA196C">
        <w:rPr>
          <w:rFonts w:ascii="Garamond" w:hAnsi="Garamond"/>
          <w:sz w:val="24"/>
          <w:szCs w:val="24"/>
        </w:rPr>
        <w:t xml:space="preserve">lastník držiteli nahradit vůbec. Za </w:t>
      </w:r>
      <w:proofErr w:type="spellStart"/>
      <w:r w:rsidR="00071844" w:rsidRPr="00DA196C">
        <w:rPr>
          <w:rFonts w:ascii="Garamond" w:hAnsi="Garamond"/>
          <w:sz w:val="24"/>
          <w:szCs w:val="24"/>
        </w:rPr>
        <w:t>justiniánského</w:t>
      </w:r>
      <w:proofErr w:type="spellEnd"/>
      <w:r w:rsidR="00071844" w:rsidRPr="00DA196C">
        <w:rPr>
          <w:rFonts w:ascii="Garamond" w:hAnsi="Garamond"/>
          <w:sz w:val="24"/>
          <w:szCs w:val="24"/>
        </w:rPr>
        <w:t xml:space="preserve"> práva náleželo poctivému i nepoctivému držiteli </w:t>
      </w:r>
      <w:proofErr w:type="spellStart"/>
      <w:r w:rsidR="00071844" w:rsidRPr="0047420E">
        <w:rPr>
          <w:rFonts w:ascii="Garamond" w:hAnsi="Garamond"/>
          <w:i/>
          <w:sz w:val="24"/>
          <w:szCs w:val="24"/>
        </w:rPr>
        <w:t>ius</w:t>
      </w:r>
      <w:proofErr w:type="spellEnd"/>
      <w:r w:rsidR="00071844" w:rsidRPr="0047420E">
        <w:rPr>
          <w:rFonts w:ascii="Garamond" w:hAnsi="Garamond"/>
          <w:i/>
          <w:sz w:val="24"/>
          <w:szCs w:val="24"/>
        </w:rPr>
        <w:t xml:space="preserve"> </w:t>
      </w:r>
      <w:proofErr w:type="spellStart"/>
      <w:r w:rsidR="00071844" w:rsidRPr="0047420E">
        <w:rPr>
          <w:rFonts w:ascii="Garamond" w:hAnsi="Garamond"/>
          <w:i/>
          <w:sz w:val="24"/>
          <w:szCs w:val="24"/>
        </w:rPr>
        <w:t>tollendi</w:t>
      </w:r>
      <w:proofErr w:type="spellEnd"/>
      <w:r w:rsidR="00071844" w:rsidRPr="00DA196C">
        <w:rPr>
          <w:rFonts w:ascii="Garamond" w:hAnsi="Garamond"/>
          <w:sz w:val="24"/>
          <w:szCs w:val="24"/>
        </w:rPr>
        <w:t xml:space="preserve">, což znamenalo, že jestliže žalobce odmítal nahradit držiteli </w:t>
      </w:r>
      <w:proofErr w:type="spellStart"/>
      <w:r w:rsidR="00071844" w:rsidRPr="0047420E">
        <w:rPr>
          <w:rFonts w:ascii="Garamond" w:hAnsi="Garamond"/>
          <w:i/>
          <w:sz w:val="24"/>
          <w:szCs w:val="24"/>
        </w:rPr>
        <w:t>impensae</w:t>
      </w:r>
      <w:proofErr w:type="spellEnd"/>
      <w:r w:rsidR="00071844" w:rsidRPr="0047420E">
        <w:rPr>
          <w:rFonts w:ascii="Garamond" w:hAnsi="Garamond"/>
          <w:i/>
          <w:sz w:val="24"/>
          <w:szCs w:val="24"/>
        </w:rPr>
        <w:t xml:space="preserve"> </w:t>
      </w:r>
      <w:proofErr w:type="spellStart"/>
      <w:r w:rsidR="00071844" w:rsidRPr="0047420E">
        <w:rPr>
          <w:rFonts w:ascii="Garamond" w:hAnsi="Garamond"/>
          <w:i/>
          <w:sz w:val="24"/>
          <w:szCs w:val="24"/>
        </w:rPr>
        <w:t>utiles</w:t>
      </w:r>
      <w:proofErr w:type="spellEnd"/>
      <w:r w:rsidR="00071844" w:rsidRPr="00DA196C">
        <w:rPr>
          <w:rFonts w:ascii="Garamond" w:hAnsi="Garamond"/>
          <w:sz w:val="24"/>
          <w:szCs w:val="24"/>
        </w:rPr>
        <w:t xml:space="preserve"> nebo </w:t>
      </w:r>
      <w:proofErr w:type="spellStart"/>
      <w:r w:rsidR="00071844" w:rsidRPr="0047420E">
        <w:rPr>
          <w:rFonts w:ascii="Garamond" w:hAnsi="Garamond"/>
          <w:i/>
          <w:sz w:val="24"/>
          <w:szCs w:val="24"/>
        </w:rPr>
        <w:t>impensae</w:t>
      </w:r>
      <w:proofErr w:type="spellEnd"/>
      <w:r w:rsidR="00071844" w:rsidRPr="0047420E">
        <w:rPr>
          <w:rFonts w:ascii="Garamond" w:hAnsi="Garamond"/>
          <w:i/>
          <w:sz w:val="24"/>
          <w:szCs w:val="24"/>
        </w:rPr>
        <w:t xml:space="preserve"> </w:t>
      </w:r>
      <w:proofErr w:type="spellStart"/>
      <w:r w:rsidR="00071844" w:rsidRPr="0047420E">
        <w:rPr>
          <w:rFonts w:ascii="Garamond" w:hAnsi="Garamond"/>
          <w:i/>
          <w:sz w:val="24"/>
          <w:szCs w:val="24"/>
        </w:rPr>
        <w:t>voluptariae</w:t>
      </w:r>
      <w:proofErr w:type="spellEnd"/>
      <w:r w:rsidR="00071844" w:rsidRPr="00DA196C">
        <w:rPr>
          <w:rFonts w:ascii="Garamond" w:hAnsi="Garamond"/>
          <w:sz w:val="24"/>
          <w:szCs w:val="24"/>
        </w:rPr>
        <w:t xml:space="preserve">, mohl držitel </w:t>
      </w:r>
      <w:r w:rsidR="00173C91" w:rsidRPr="00DA196C">
        <w:rPr>
          <w:rFonts w:ascii="Garamond" w:hAnsi="Garamond"/>
          <w:sz w:val="24"/>
          <w:szCs w:val="24"/>
        </w:rPr>
        <w:t xml:space="preserve">z věci odejmout to, co nákladem pořídil. </w:t>
      </w:r>
      <w:r w:rsidR="007E3907" w:rsidRPr="00DA196C">
        <w:rPr>
          <w:rFonts w:ascii="Garamond" w:hAnsi="Garamond"/>
          <w:sz w:val="24"/>
          <w:szCs w:val="24"/>
        </w:rPr>
        <w:t>Nesměla tím však být zhoršena věc a nesmělo tak být učiněno ze zlého úmyslu, tedy pokud by z toho držitel žádný prospěch neměl.</w:t>
      </w:r>
      <w:r w:rsidR="007E3907" w:rsidRPr="00DA196C">
        <w:rPr>
          <w:rStyle w:val="Znakapoznpodarou"/>
          <w:rFonts w:ascii="Garamond" w:hAnsi="Garamond"/>
          <w:sz w:val="24"/>
          <w:szCs w:val="24"/>
        </w:rPr>
        <w:footnoteReference w:id="65"/>
      </w:r>
    </w:p>
    <w:p w:rsidR="001F7AB2" w:rsidRPr="00DA196C" w:rsidRDefault="005779CD"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lastRenderedPageBreak/>
        <w:t xml:space="preserve">Naproti tomu ale žalovaný ručil za poškození věci, jež byla předmětem sporu. Nepoctivý držitel ručil za každé poškození věci a od </w:t>
      </w:r>
      <w:proofErr w:type="spellStart"/>
      <w:r w:rsidRPr="00DA196C">
        <w:rPr>
          <w:rFonts w:ascii="Garamond" w:hAnsi="Garamond"/>
          <w:sz w:val="24"/>
          <w:szCs w:val="24"/>
        </w:rPr>
        <w:t>litiskontestace</w:t>
      </w:r>
      <w:proofErr w:type="spellEnd"/>
      <w:r w:rsidRPr="00DA196C">
        <w:rPr>
          <w:rFonts w:ascii="Garamond" w:hAnsi="Garamond"/>
          <w:sz w:val="24"/>
          <w:szCs w:val="24"/>
        </w:rPr>
        <w:t xml:space="preserve"> ručil dokonce za poškození způsobené náhodou. Povinnosti nahradit takovou nahodilou škodu se mohl zprostit prokázáním, že by stejná škoda postihla věc, i kdyby byla u žalobce. Poctivý držitel ručil za škodu, nikoli nahodilou, vzniklou na věci po </w:t>
      </w:r>
      <w:proofErr w:type="spellStart"/>
      <w:r w:rsidRPr="00DA196C">
        <w:rPr>
          <w:rFonts w:ascii="Garamond" w:hAnsi="Garamond"/>
          <w:sz w:val="24"/>
          <w:szCs w:val="24"/>
        </w:rPr>
        <w:t>litiskontestaci</w:t>
      </w:r>
      <w:proofErr w:type="spellEnd"/>
      <w:r w:rsidRPr="00DA196C">
        <w:rPr>
          <w:rFonts w:ascii="Garamond" w:hAnsi="Garamond"/>
          <w:sz w:val="24"/>
          <w:szCs w:val="24"/>
        </w:rPr>
        <w:t>.</w:t>
      </w:r>
      <w:r w:rsidRPr="00DA196C">
        <w:rPr>
          <w:rStyle w:val="Znakapoznpodarou"/>
          <w:rFonts w:ascii="Garamond" w:hAnsi="Garamond"/>
          <w:sz w:val="24"/>
          <w:szCs w:val="24"/>
        </w:rPr>
        <w:footnoteReference w:id="66"/>
      </w:r>
    </w:p>
    <w:p w:rsidR="00CF689A" w:rsidRPr="00DA196C" w:rsidRDefault="00CF689A" w:rsidP="00FA1FF7">
      <w:pPr>
        <w:pStyle w:val="Nadpis3"/>
        <w:spacing w:line="360" w:lineRule="auto"/>
        <w:contextualSpacing/>
      </w:pPr>
      <w:bookmarkStart w:id="14" w:name="_Toc36031943"/>
      <w:r w:rsidRPr="00DA196C">
        <w:t>Obrana žalovaného</w:t>
      </w:r>
      <w:bookmarkEnd w:id="14"/>
    </w:p>
    <w:p w:rsidR="007C64B4" w:rsidRPr="00DA196C" w:rsidRDefault="00EF2C1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Při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žalobě, jelikož se jednalo o žalobu </w:t>
      </w:r>
      <w:r w:rsidRPr="0047420E">
        <w:rPr>
          <w:rFonts w:ascii="Garamond" w:hAnsi="Garamond"/>
          <w:i/>
          <w:sz w:val="24"/>
          <w:szCs w:val="24"/>
        </w:rPr>
        <w:t xml:space="preserve">in </w:t>
      </w:r>
      <w:proofErr w:type="spellStart"/>
      <w:r w:rsidRPr="0047420E">
        <w:rPr>
          <w:rFonts w:ascii="Garamond" w:hAnsi="Garamond"/>
          <w:i/>
          <w:sz w:val="24"/>
          <w:szCs w:val="24"/>
        </w:rPr>
        <w:t>rem</w:t>
      </w:r>
      <w:proofErr w:type="spellEnd"/>
      <w:r w:rsidRPr="00DA196C">
        <w:rPr>
          <w:rFonts w:ascii="Garamond" w:hAnsi="Garamond"/>
          <w:sz w:val="24"/>
          <w:szCs w:val="24"/>
        </w:rPr>
        <w:t xml:space="preserve">, neměl žalovaný povinnost </w:t>
      </w:r>
      <w:r w:rsidRPr="00DA196C">
        <w:rPr>
          <w:rFonts w:ascii="Garamond" w:hAnsi="Garamond"/>
          <w:i/>
          <w:sz w:val="24"/>
          <w:szCs w:val="24"/>
        </w:rPr>
        <w:t xml:space="preserve">se </w:t>
      </w:r>
      <w:proofErr w:type="spellStart"/>
      <w:r w:rsidRPr="00DA196C">
        <w:rPr>
          <w:rFonts w:ascii="Garamond" w:hAnsi="Garamond"/>
          <w:i/>
          <w:sz w:val="24"/>
          <w:szCs w:val="24"/>
        </w:rPr>
        <w:t>defendere</w:t>
      </w:r>
      <w:proofErr w:type="spellEnd"/>
      <w:r w:rsidRPr="00DA196C">
        <w:rPr>
          <w:rFonts w:ascii="Garamond" w:hAnsi="Garamond"/>
          <w:i/>
          <w:sz w:val="24"/>
          <w:szCs w:val="24"/>
        </w:rPr>
        <w:t>,</w:t>
      </w:r>
      <w:r w:rsidRPr="00DA196C">
        <w:rPr>
          <w:rFonts w:ascii="Garamond" w:hAnsi="Garamond"/>
          <w:sz w:val="24"/>
          <w:szCs w:val="24"/>
        </w:rPr>
        <w:t xml:space="preserve"> tedy </w:t>
      </w:r>
      <w:r w:rsidR="0047420E">
        <w:rPr>
          <w:rFonts w:ascii="Garamond" w:hAnsi="Garamond"/>
          <w:sz w:val="24"/>
          <w:szCs w:val="24"/>
        </w:rPr>
        <w:t xml:space="preserve">povinnost </w:t>
      </w:r>
      <w:r w:rsidRPr="00DA196C">
        <w:rPr>
          <w:rFonts w:ascii="Garamond" w:hAnsi="Garamond"/>
          <w:sz w:val="24"/>
          <w:szCs w:val="24"/>
        </w:rPr>
        <w:t>k osobní defensi proti žalobci před soudem</w:t>
      </w:r>
      <w:r w:rsidR="0047420E">
        <w:rPr>
          <w:rFonts w:ascii="Garamond" w:hAnsi="Garamond"/>
          <w:sz w:val="24"/>
          <w:szCs w:val="24"/>
        </w:rPr>
        <w:t>.</w:t>
      </w:r>
      <w:r w:rsidRPr="00DA196C">
        <w:rPr>
          <w:rStyle w:val="Znakapoznpodarou"/>
          <w:rFonts w:ascii="Garamond" w:hAnsi="Garamond"/>
          <w:sz w:val="24"/>
          <w:szCs w:val="24"/>
        </w:rPr>
        <w:footnoteReference w:id="67"/>
      </w:r>
      <w:r w:rsidRPr="00DA196C">
        <w:rPr>
          <w:rFonts w:ascii="Garamond" w:hAnsi="Garamond"/>
          <w:sz w:val="24"/>
          <w:szCs w:val="24"/>
        </w:rPr>
        <w:t xml:space="preserve"> Bylo ale v zájmu žalobce </w:t>
      </w:r>
      <w:proofErr w:type="spellStart"/>
      <w:r w:rsidRPr="00DA196C">
        <w:rPr>
          <w:rFonts w:ascii="Garamond" w:hAnsi="Garamond"/>
          <w:i/>
          <w:sz w:val="24"/>
          <w:szCs w:val="24"/>
        </w:rPr>
        <w:t>rem</w:t>
      </w:r>
      <w:proofErr w:type="spellEnd"/>
      <w:r w:rsidRPr="00DA196C">
        <w:rPr>
          <w:rFonts w:ascii="Garamond" w:hAnsi="Garamond"/>
          <w:i/>
          <w:sz w:val="24"/>
          <w:szCs w:val="24"/>
        </w:rPr>
        <w:t xml:space="preserve"> </w:t>
      </w:r>
      <w:proofErr w:type="spellStart"/>
      <w:r w:rsidRPr="00DA196C">
        <w:rPr>
          <w:rFonts w:ascii="Garamond" w:hAnsi="Garamond"/>
          <w:i/>
          <w:sz w:val="24"/>
          <w:szCs w:val="24"/>
        </w:rPr>
        <w:t>defendere</w:t>
      </w:r>
      <w:proofErr w:type="spellEnd"/>
      <w:r w:rsidRPr="00DA196C">
        <w:rPr>
          <w:rFonts w:ascii="Garamond" w:hAnsi="Garamond"/>
          <w:sz w:val="24"/>
          <w:szCs w:val="24"/>
        </w:rPr>
        <w:t xml:space="preserve">, tedy hájení žalobcem </w:t>
      </w:r>
      <w:proofErr w:type="spellStart"/>
      <w:r w:rsidRPr="00DA196C">
        <w:rPr>
          <w:rFonts w:ascii="Garamond" w:hAnsi="Garamond"/>
          <w:sz w:val="24"/>
          <w:szCs w:val="24"/>
        </w:rPr>
        <w:t>vindikované</w:t>
      </w:r>
      <w:proofErr w:type="spellEnd"/>
      <w:r w:rsidRPr="00DA196C">
        <w:rPr>
          <w:rFonts w:ascii="Garamond" w:hAnsi="Garamond"/>
          <w:sz w:val="24"/>
          <w:szCs w:val="24"/>
        </w:rPr>
        <w:t xml:space="preserve"> věci. K tomu bylo zapotřebí, aby žalovaný v dobách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procesu předmětnou věc </w:t>
      </w:r>
      <w:proofErr w:type="spellStart"/>
      <w:r w:rsidRPr="00DA196C">
        <w:rPr>
          <w:rFonts w:ascii="Garamond" w:hAnsi="Garamond"/>
          <w:sz w:val="24"/>
          <w:szCs w:val="24"/>
        </w:rPr>
        <w:t>kontravindikoval</w:t>
      </w:r>
      <w:proofErr w:type="spellEnd"/>
      <w:r w:rsidRPr="00DA196C">
        <w:rPr>
          <w:rFonts w:ascii="Garamond" w:hAnsi="Garamond"/>
          <w:sz w:val="24"/>
          <w:szCs w:val="24"/>
        </w:rPr>
        <w:t xml:space="preserve">. Ve formulovém procesu bylo zapotřebí, aby žalovaný popřel žalobcem tvrzenou povinnost a dále spolupůsobil při vedení sporu. Jestliže takto žalovaný neučinil, nastupovalo za dob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procesu </w:t>
      </w:r>
      <w:proofErr w:type="spellStart"/>
      <w:r w:rsidRPr="0047420E">
        <w:rPr>
          <w:rFonts w:ascii="Garamond" w:hAnsi="Garamond"/>
          <w:i/>
          <w:sz w:val="24"/>
          <w:szCs w:val="24"/>
        </w:rPr>
        <w:t>translatio</w:t>
      </w:r>
      <w:proofErr w:type="spellEnd"/>
      <w:r w:rsidRPr="0047420E">
        <w:rPr>
          <w:rFonts w:ascii="Garamond" w:hAnsi="Garamond"/>
          <w:i/>
          <w:sz w:val="24"/>
          <w:szCs w:val="24"/>
        </w:rPr>
        <w:t xml:space="preserve"> dominii</w:t>
      </w:r>
      <w:r w:rsidRPr="00DA196C">
        <w:rPr>
          <w:rFonts w:ascii="Garamond" w:hAnsi="Garamond"/>
          <w:sz w:val="24"/>
          <w:szCs w:val="24"/>
        </w:rPr>
        <w:t>, tedy převod vlastnictví k indikované věci na žalobce, za formulového procesu docházelo k </w:t>
      </w:r>
      <w:proofErr w:type="spellStart"/>
      <w:r w:rsidRPr="0047420E">
        <w:rPr>
          <w:rFonts w:ascii="Garamond" w:hAnsi="Garamond"/>
          <w:i/>
          <w:sz w:val="24"/>
          <w:szCs w:val="24"/>
        </w:rPr>
        <w:t>translatio</w:t>
      </w:r>
      <w:proofErr w:type="spellEnd"/>
      <w:r w:rsidRPr="0047420E">
        <w:rPr>
          <w:rFonts w:ascii="Garamond" w:hAnsi="Garamond"/>
          <w:i/>
          <w:sz w:val="24"/>
          <w:szCs w:val="24"/>
        </w:rPr>
        <w:t xml:space="preserve"> </w:t>
      </w:r>
      <w:proofErr w:type="spellStart"/>
      <w:r w:rsidRPr="0047420E">
        <w:rPr>
          <w:rFonts w:ascii="Garamond" w:hAnsi="Garamond"/>
          <w:i/>
          <w:sz w:val="24"/>
          <w:szCs w:val="24"/>
        </w:rPr>
        <w:t>possessionis</w:t>
      </w:r>
      <w:proofErr w:type="spellEnd"/>
      <w:r w:rsidRPr="00DA196C">
        <w:rPr>
          <w:rFonts w:ascii="Garamond" w:hAnsi="Garamond"/>
          <w:sz w:val="24"/>
          <w:szCs w:val="24"/>
        </w:rPr>
        <w:t>, tedy k převodu držby.</w:t>
      </w:r>
      <w:r w:rsidR="00ED7B75" w:rsidRPr="00DA196C">
        <w:rPr>
          <w:rStyle w:val="Znakapoznpodarou"/>
          <w:rFonts w:ascii="Garamond" w:hAnsi="Garamond"/>
          <w:sz w:val="24"/>
          <w:szCs w:val="24"/>
        </w:rPr>
        <w:footnoteReference w:id="68"/>
      </w:r>
      <w:r w:rsidRPr="00DA196C">
        <w:rPr>
          <w:rFonts w:ascii="Garamond" w:hAnsi="Garamond"/>
          <w:sz w:val="24"/>
          <w:szCs w:val="24"/>
        </w:rPr>
        <w:t xml:space="preserve"> </w:t>
      </w:r>
      <w:proofErr w:type="spellStart"/>
      <w:r w:rsidRPr="00DA196C">
        <w:rPr>
          <w:rFonts w:ascii="Garamond" w:hAnsi="Garamond"/>
          <w:i/>
          <w:sz w:val="24"/>
          <w:szCs w:val="24"/>
        </w:rPr>
        <w:t>Translatio</w:t>
      </w:r>
      <w:proofErr w:type="spellEnd"/>
      <w:r w:rsidRPr="00DA196C">
        <w:rPr>
          <w:rFonts w:ascii="Garamond" w:hAnsi="Garamond"/>
          <w:i/>
          <w:sz w:val="24"/>
          <w:szCs w:val="24"/>
        </w:rPr>
        <w:t xml:space="preserve"> </w:t>
      </w:r>
      <w:proofErr w:type="spellStart"/>
      <w:r w:rsidRPr="00DA196C">
        <w:rPr>
          <w:rFonts w:ascii="Garamond" w:hAnsi="Garamond"/>
          <w:i/>
          <w:sz w:val="24"/>
          <w:szCs w:val="24"/>
        </w:rPr>
        <w:t>possessionis</w:t>
      </w:r>
      <w:proofErr w:type="spellEnd"/>
      <w:r w:rsidRPr="00DA196C">
        <w:rPr>
          <w:rFonts w:ascii="Garamond" w:hAnsi="Garamond"/>
          <w:sz w:val="24"/>
          <w:szCs w:val="24"/>
        </w:rPr>
        <w:t xml:space="preserve"> bylo uskutečňováno </w:t>
      </w:r>
      <w:r w:rsidR="0047420E">
        <w:rPr>
          <w:rFonts w:ascii="Garamond" w:hAnsi="Garamond"/>
          <w:sz w:val="24"/>
          <w:szCs w:val="24"/>
        </w:rPr>
        <w:t>pomocí jednoduchého rozkazu pré</w:t>
      </w:r>
      <w:r w:rsidRPr="00DA196C">
        <w:rPr>
          <w:rFonts w:ascii="Garamond" w:hAnsi="Garamond"/>
          <w:sz w:val="24"/>
          <w:szCs w:val="24"/>
        </w:rPr>
        <w:t xml:space="preserve">tora, pokud se jednalo o věci movité, a pomocí interdiktu </w:t>
      </w:r>
      <w:proofErr w:type="spellStart"/>
      <w:r w:rsidRPr="00DA196C">
        <w:rPr>
          <w:rFonts w:ascii="Garamond" w:hAnsi="Garamond"/>
          <w:i/>
          <w:sz w:val="24"/>
          <w:szCs w:val="24"/>
        </w:rPr>
        <w:t>Quem</w:t>
      </w:r>
      <w:proofErr w:type="spellEnd"/>
      <w:r w:rsidRPr="00DA196C">
        <w:rPr>
          <w:rFonts w:ascii="Garamond" w:hAnsi="Garamond"/>
          <w:i/>
          <w:sz w:val="24"/>
          <w:szCs w:val="24"/>
        </w:rPr>
        <w:t xml:space="preserve"> </w:t>
      </w:r>
      <w:proofErr w:type="spellStart"/>
      <w:r w:rsidRPr="00DA196C">
        <w:rPr>
          <w:rFonts w:ascii="Garamond" w:hAnsi="Garamond"/>
          <w:i/>
          <w:sz w:val="24"/>
          <w:szCs w:val="24"/>
        </w:rPr>
        <w:t>fundum</w:t>
      </w:r>
      <w:proofErr w:type="spellEnd"/>
      <w:r w:rsidRPr="00DA196C">
        <w:rPr>
          <w:rFonts w:ascii="Garamond" w:hAnsi="Garamond"/>
          <w:sz w:val="24"/>
          <w:szCs w:val="24"/>
        </w:rPr>
        <w:t>, jestliže šlo o vindikaci pozemku.</w:t>
      </w:r>
      <w:r w:rsidRPr="00DA196C">
        <w:rPr>
          <w:rStyle w:val="Znakapoznpodarou"/>
          <w:rFonts w:ascii="Garamond" w:hAnsi="Garamond"/>
          <w:sz w:val="24"/>
          <w:szCs w:val="24"/>
        </w:rPr>
        <w:footnoteReference w:id="69"/>
      </w:r>
    </w:p>
    <w:p w:rsidR="00EF2C17" w:rsidRPr="00DA196C" w:rsidRDefault="007C64B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K výše zmíněnému je třeba též doplnit, že při žalobách </w:t>
      </w:r>
      <w:r w:rsidRPr="0047420E">
        <w:rPr>
          <w:rFonts w:ascii="Garamond" w:hAnsi="Garamond"/>
          <w:i/>
          <w:sz w:val="24"/>
          <w:szCs w:val="24"/>
        </w:rPr>
        <w:t xml:space="preserve">in </w:t>
      </w:r>
      <w:proofErr w:type="spellStart"/>
      <w:r w:rsidRPr="0047420E">
        <w:rPr>
          <w:rFonts w:ascii="Garamond" w:hAnsi="Garamond"/>
          <w:i/>
          <w:sz w:val="24"/>
          <w:szCs w:val="24"/>
        </w:rPr>
        <w:t>rem</w:t>
      </w:r>
      <w:proofErr w:type="spellEnd"/>
      <w:r w:rsidRPr="00DA196C">
        <w:rPr>
          <w:rFonts w:ascii="Garamond" w:hAnsi="Garamond"/>
          <w:sz w:val="24"/>
          <w:szCs w:val="24"/>
        </w:rPr>
        <w:t xml:space="preserve">, a tedy i při </w:t>
      </w:r>
      <w:proofErr w:type="spellStart"/>
      <w:r w:rsidRPr="00DA196C">
        <w:rPr>
          <w:rFonts w:ascii="Garamond" w:hAnsi="Garamond"/>
          <w:sz w:val="24"/>
          <w:szCs w:val="24"/>
        </w:rPr>
        <w:t>reivindikaci</w:t>
      </w:r>
      <w:proofErr w:type="spellEnd"/>
      <w:r w:rsidRPr="00DA196C">
        <w:rPr>
          <w:rFonts w:ascii="Garamond" w:hAnsi="Garamond"/>
          <w:sz w:val="24"/>
          <w:szCs w:val="24"/>
        </w:rPr>
        <w:t xml:space="preserve">, bylo po žalovaném požadováno složení kauce k zabezpečení, že splní rozsudek. Formálně šlo v řízení </w:t>
      </w:r>
      <w:r w:rsidRPr="00DA196C">
        <w:rPr>
          <w:rFonts w:ascii="Garamond" w:hAnsi="Garamond"/>
          <w:i/>
          <w:sz w:val="24"/>
          <w:szCs w:val="24"/>
        </w:rPr>
        <w:t xml:space="preserve">per </w:t>
      </w:r>
      <w:proofErr w:type="spellStart"/>
      <w:r w:rsidRPr="00DA196C">
        <w:rPr>
          <w:rFonts w:ascii="Garamond" w:hAnsi="Garamond"/>
          <w:i/>
          <w:sz w:val="24"/>
          <w:szCs w:val="24"/>
        </w:rPr>
        <w:t>sposionem</w:t>
      </w:r>
      <w:proofErr w:type="spellEnd"/>
      <w:r w:rsidRPr="00DA196C">
        <w:rPr>
          <w:rFonts w:ascii="Garamond" w:hAnsi="Garamond"/>
          <w:sz w:val="24"/>
          <w:szCs w:val="24"/>
        </w:rPr>
        <w:t xml:space="preserve"> o stipulaci </w:t>
      </w:r>
      <w:r w:rsidRPr="00DA196C">
        <w:rPr>
          <w:rFonts w:ascii="Garamond" w:hAnsi="Garamond"/>
          <w:i/>
          <w:sz w:val="24"/>
          <w:szCs w:val="24"/>
        </w:rPr>
        <w:t xml:space="preserve">pro </w:t>
      </w:r>
      <w:proofErr w:type="spellStart"/>
      <w:r w:rsidRPr="00DA196C">
        <w:rPr>
          <w:rFonts w:ascii="Garamond" w:hAnsi="Garamond"/>
          <w:i/>
          <w:sz w:val="24"/>
          <w:szCs w:val="24"/>
        </w:rPr>
        <w:t>praede</w:t>
      </w:r>
      <w:proofErr w:type="spellEnd"/>
      <w:r w:rsidRPr="00DA196C">
        <w:rPr>
          <w:rFonts w:ascii="Garamond" w:hAnsi="Garamond"/>
          <w:i/>
          <w:sz w:val="24"/>
          <w:szCs w:val="24"/>
        </w:rPr>
        <w:t xml:space="preserve"> </w:t>
      </w:r>
      <w:proofErr w:type="spellStart"/>
      <w:r w:rsidRPr="00DA196C">
        <w:rPr>
          <w:rFonts w:ascii="Garamond" w:hAnsi="Garamond"/>
          <w:i/>
          <w:sz w:val="24"/>
          <w:szCs w:val="24"/>
        </w:rPr>
        <w:t>litis</w:t>
      </w:r>
      <w:proofErr w:type="spellEnd"/>
      <w:r w:rsidRPr="00DA196C">
        <w:rPr>
          <w:rFonts w:ascii="Garamond" w:hAnsi="Garamond"/>
          <w:i/>
          <w:sz w:val="24"/>
          <w:szCs w:val="24"/>
        </w:rPr>
        <w:t xml:space="preserve"> </w:t>
      </w:r>
      <w:proofErr w:type="spellStart"/>
      <w:r w:rsidRPr="00DA196C">
        <w:rPr>
          <w:rFonts w:ascii="Garamond" w:hAnsi="Garamond"/>
          <w:i/>
          <w:sz w:val="24"/>
          <w:szCs w:val="24"/>
        </w:rPr>
        <w:t>et</w:t>
      </w:r>
      <w:proofErr w:type="spellEnd"/>
      <w:r w:rsidRPr="00DA196C">
        <w:rPr>
          <w:rFonts w:ascii="Garamond" w:hAnsi="Garamond"/>
          <w:i/>
          <w:sz w:val="24"/>
          <w:szCs w:val="24"/>
        </w:rPr>
        <w:t xml:space="preserve"> </w:t>
      </w:r>
      <w:proofErr w:type="spellStart"/>
      <w:r w:rsidRPr="00DA196C">
        <w:rPr>
          <w:rFonts w:ascii="Garamond" w:hAnsi="Garamond"/>
          <w:i/>
          <w:sz w:val="24"/>
          <w:szCs w:val="24"/>
        </w:rPr>
        <w:t>vindiciarum</w:t>
      </w:r>
      <w:proofErr w:type="spellEnd"/>
      <w:r w:rsidRPr="00DA196C">
        <w:rPr>
          <w:rFonts w:ascii="Garamond" w:hAnsi="Garamond"/>
          <w:sz w:val="24"/>
          <w:szCs w:val="24"/>
        </w:rPr>
        <w:t xml:space="preserve">, ve formulovém řízení o stipulaci </w:t>
      </w:r>
      <w:proofErr w:type="spellStart"/>
      <w:r w:rsidRPr="00DA196C">
        <w:rPr>
          <w:rFonts w:ascii="Garamond" w:hAnsi="Garamond"/>
          <w:i/>
          <w:sz w:val="24"/>
          <w:szCs w:val="24"/>
        </w:rPr>
        <w:t>iudiciatum</w:t>
      </w:r>
      <w:proofErr w:type="spellEnd"/>
      <w:r w:rsidRPr="00DA196C">
        <w:rPr>
          <w:rFonts w:ascii="Garamond" w:hAnsi="Garamond"/>
          <w:i/>
          <w:sz w:val="24"/>
          <w:szCs w:val="24"/>
        </w:rPr>
        <w:t xml:space="preserve"> </w:t>
      </w:r>
      <w:proofErr w:type="spellStart"/>
      <w:r w:rsidRPr="00DA196C">
        <w:rPr>
          <w:rFonts w:ascii="Garamond" w:hAnsi="Garamond"/>
          <w:i/>
          <w:sz w:val="24"/>
          <w:szCs w:val="24"/>
        </w:rPr>
        <w:t>solvi</w:t>
      </w:r>
      <w:proofErr w:type="spellEnd"/>
      <w:r w:rsidRPr="00DA196C">
        <w:rPr>
          <w:rFonts w:ascii="Garamond" w:hAnsi="Garamond"/>
          <w:sz w:val="24"/>
          <w:szCs w:val="24"/>
        </w:rPr>
        <w:t>. Jestliže se žalovaný odmítl zavázat takovouto stipulací, znamenalo to, že tedy nehodlá hájit danou věc (</w:t>
      </w:r>
      <w:proofErr w:type="spellStart"/>
      <w:r w:rsidRPr="007573F4">
        <w:rPr>
          <w:rFonts w:ascii="Garamond" w:hAnsi="Garamond"/>
          <w:i/>
          <w:sz w:val="24"/>
          <w:szCs w:val="24"/>
        </w:rPr>
        <w:t>rem</w:t>
      </w:r>
      <w:proofErr w:type="spellEnd"/>
      <w:r w:rsidRPr="007573F4">
        <w:rPr>
          <w:rFonts w:ascii="Garamond" w:hAnsi="Garamond"/>
          <w:i/>
          <w:sz w:val="24"/>
          <w:szCs w:val="24"/>
        </w:rPr>
        <w:t xml:space="preserve"> </w:t>
      </w:r>
      <w:proofErr w:type="spellStart"/>
      <w:r w:rsidRPr="007573F4">
        <w:rPr>
          <w:rFonts w:ascii="Garamond" w:hAnsi="Garamond"/>
          <w:i/>
          <w:sz w:val="24"/>
          <w:szCs w:val="24"/>
        </w:rPr>
        <w:t>defendere</w:t>
      </w:r>
      <w:proofErr w:type="spellEnd"/>
      <w:r w:rsidRPr="00DA196C">
        <w:rPr>
          <w:rFonts w:ascii="Garamond" w:hAnsi="Garamond"/>
          <w:sz w:val="24"/>
          <w:szCs w:val="24"/>
        </w:rPr>
        <w:t xml:space="preserve">) a následovalo </w:t>
      </w:r>
      <w:proofErr w:type="spellStart"/>
      <w:r w:rsidRPr="007573F4">
        <w:rPr>
          <w:rFonts w:ascii="Garamond" w:hAnsi="Garamond"/>
          <w:i/>
          <w:sz w:val="24"/>
          <w:szCs w:val="24"/>
        </w:rPr>
        <w:t>translatio</w:t>
      </w:r>
      <w:proofErr w:type="spellEnd"/>
      <w:r w:rsidRPr="007573F4">
        <w:rPr>
          <w:rFonts w:ascii="Garamond" w:hAnsi="Garamond"/>
          <w:i/>
          <w:sz w:val="24"/>
          <w:szCs w:val="24"/>
        </w:rPr>
        <w:t xml:space="preserve"> </w:t>
      </w:r>
      <w:proofErr w:type="spellStart"/>
      <w:r w:rsidRPr="007573F4">
        <w:rPr>
          <w:rFonts w:ascii="Garamond" w:hAnsi="Garamond"/>
          <w:i/>
          <w:sz w:val="24"/>
          <w:szCs w:val="24"/>
        </w:rPr>
        <w:t>possessionis</w:t>
      </w:r>
      <w:proofErr w:type="spellEnd"/>
      <w:r w:rsidRPr="00DA196C">
        <w:rPr>
          <w:rFonts w:ascii="Garamond" w:hAnsi="Garamond"/>
          <w:sz w:val="24"/>
          <w:szCs w:val="24"/>
        </w:rPr>
        <w:t>.</w:t>
      </w:r>
      <w:r w:rsidRPr="00DA196C">
        <w:rPr>
          <w:rFonts w:ascii="Garamond" w:hAnsi="Garamond"/>
          <w:sz w:val="24"/>
          <w:vertAlign w:val="superscript"/>
        </w:rPr>
        <w:footnoteReference w:id="70"/>
      </w:r>
    </w:p>
    <w:p w:rsidR="00CF689A" w:rsidRPr="00DA196C" w:rsidRDefault="007573F4" w:rsidP="00FA1FF7">
      <w:pPr>
        <w:spacing w:after="0" w:line="360" w:lineRule="auto"/>
        <w:ind w:firstLine="708"/>
        <w:contextualSpacing/>
        <w:jc w:val="both"/>
        <w:rPr>
          <w:rFonts w:ascii="Garamond" w:hAnsi="Garamond"/>
          <w:sz w:val="24"/>
          <w:szCs w:val="24"/>
        </w:rPr>
      </w:pPr>
      <w:r>
        <w:rPr>
          <w:rFonts w:ascii="Garamond" w:hAnsi="Garamond"/>
          <w:sz w:val="24"/>
          <w:szCs w:val="24"/>
        </w:rPr>
        <w:t>Žalovanému</w:t>
      </w:r>
      <w:r w:rsidR="00CF689A" w:rsidRPr="00DA196C">
        <w:rPr>
          <w:rFonts w:ascii="Garamond" w:hAnsi="Garamond"/>
          <w:sz w:val="24"/>
          <w:szCs w:val="24"/>
        </w:rPr>
        <w:t xml:space="preserve"> se nabízelo několik způsobů, jak se proti žalobě bránit. Jednak mohl žalovaný </w:t>
      </w:r>
      <w:r w:rsidR="00EF2C17" w:rsidRPr="00DA196C">
        <w:rPr>
          <w:rFonts w:ascii="Garamond" w:hAnsi="Garamond"/>
          <w:sz w:val="24"/>
          <w:szCs w:val="24"/>
        </w:rPr>
        <w:t xml:space="preserve">prostě </w:t>
      </w:r>
      <w:r w:rsidR="00CF689A" w:rsidRPr="00DA196C">
        <w:rPr>
          <w:rFonts w:ascii="Garamond" w:hAnsi="Garamond"/>
          <w:sz w:val="24"/>
          <w:szCs w:val="24"/>
        </w:rPr>
        <w:t xml:space="preserve">rozporovat tvrzení žalobce, respektive žalobcem uplatňované právo. Další možností bylo užití určité procesní výhrady, tzv. </w:t>
      </w:r>
      <w:proofErr w:type="spellStart"/>
      <w:r w:rsidR="00CF689A" w:rsidRPr="007573F4">
        <w:rPr>
          <w:rFonts w:ascii="Garamond" w:hAnsi="Garamond"/>
          <w:i/>
          <w:sz w:val="24"/>
          <w:szCs w:val="24"/>
        </w:rPr>
        <w:t>exceptio</w:t>
      </w:r>
      <w:proofErr w:type="spellEnd"/>
      <w:r w:rsidR="00CF689A" w:rsidRPr="00DA196C">
        <w:rPr>
          <w:rFonts w:ascii="Garamond" w:hAnsi="Garamond"/>
          <w:sz w:val="24"/>
          <w:szCs w:val="24"/>
        </w:rPr>
        <w:t xml:space="preserve">. </w:t>
      </w:r>
    </w:p>
    <w:p w:rsidR="00CF689A" w:rsidRPr="00DA196C" w:rsidRDefault="00CF689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Excepce se vyvinuly až za dob formulo</w:t>
      </w:r>
      <w:r w:rsidR="007573F4">
        <w:rPr>
          <w:rFonts w:ascii="Garamond" w:hAnsi="Garamond"/>
          <w:sz w:val="24"/>
          <w:szCs w:val="24"/>
        </w:rPr>
        <w:t>vého procesu a jednalo se o pré</w:t>
      </w:r>
      <w:r w:rsidRPr="00DA196C">
        <w:rPr>
          <w:rFonts w:ascii="Garamond" w:hAnsi="Garamond"/>
          <w:sz w:val="24"/>
          <w:szCs w:val="24"/>
        </w:rPr>
        <w:t xml:space="preserve">torský institut, jenž měl sloužit k nápravě nespravedlnosti zákona. Za dob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procesu plnilo podobnou funkci jako excepce odepření žaloby magistrátem (</w:t>
      </w:r>
      <w:proofErr w:type="spellStart"/>
      <w:r w:rsidRPr="007573F4">
        <w:rPr>
          <w:rFonts w:ascii="Garamond" w:hAnsi="Garamond"/>
          <w:i/>
          <w:sz w:val="24"/>
          <w:szCs w:val="24"/>
        </w:rPr>
        <w:t>denegatio</w:t>
      </w:r>
      <w:proofErr w:type="spellEnd"/>
      <w:r w:rsidRPr="007573F4">
        <w:rPr>
          <w:rFonts w:ascii="Garamond" w:hAnsi="Garamond"/>
          <w:i/>
          <w:sz w:val="24"/>
          <w:szCs w:val="24"/>
        </w:rPr>
        <w:t xml:space="preserve"> </w:t>
      </w:r>
      <w:proofErr w:type="spellStart"/>
      <w:r w:rsidRPr="007573F4">
        <w:rPr>
          <w:rFonts w:ascii="Garamond" w:hAnsi="Garamond"/>
          <w:i/>
          <w:sz w:val="24"/>
          <w:szCs w:val="24"/>
        </w:rPr>
        <w:t>actionis</w:t>
      </w:r>
      <w:proofErr w:type="spellEnd"/>
      <w:r w:rsidRPr="00DA196C">
        <w:rPr>
          <w:rFonts w:ascii="Garamond" w:hAnsi="Garamond"/>
          <w:sz w:val="24"/>
          <w:szCs w:val="24"/>
        </w:rPr>
        <w:t>) jestliže shledal žalobu neodůvodněnou</w:t>
      </w:r>
      <w:r w:rsidR="00036635">
        <w:rPr>
          <w:rFonts w:ascii="Garamond" w:hAnsi="Garamond"/>
          <w:sz w:val="24"/>
          <w:szCs w:val="24"/>
        </w:rPr>
        <w:t>.</w:t>
      </w:r>
      <w:r w:rsidRPr="00DA196C">
        <w:rPr>
          <w:rFonts w:ascii="Garamond" w:hAnsi="Garamond"/>
          <w:sz w:val="24"/>
          <w:vertAlign w:val="superscript"/>
        </w:rPr>
        <w:footnoteReference w:id="71"/>
      </w:r>
      <w:r w:rsidRPr="00DA196C">
        <w:rPr>
          <w:rFonts w:ascii="Garamond" w:hAnsi="Garamond"/>
          <w:sz w:val="24"/>
          <w:szCs w:val="24"/>
        </w:rPr>
        <w:t xml:space="preserve"> </w:t>
      </w:r>
      <w:r w:rsidR="007978B3" w:rsidRPr="00DA196C">
        <w:rPr>
          <w:rFonts w:ascii="Garamond" w:hAnsi="Garamond"/>
          <w:sz w:val="24"/>
          <w:szCs w:val="24"/>
        </w:rPr>
        <w:t xml:space="preserve">Jakousi přechodnou formou mezi prostou </w:t>
      </w:r>
      <w:proofErr w:type="spellStart"/>
      <w:r w:rsidR="007978B3" w:rsidRPr="00DA196C">
        <w:rPr>
          <w:rFonts w:ascii="Garamond" w:hAnsi="Garamond"/>
          <w:sz w:val="24"/>
          <w:szCs w:val="24"/>
        </w:rPr>
        <w:t>denegací</w:t>
      </w:r>
      <w:proofErr w:type="spellEnd"/>
      <w:r w:rsidR="007978B3" w:rsidRPr="00DA196C">
        <w:rPr>
          <w:rFonts w:ascii="Garamond" w:hAnsi="Garamond"/>
          <w:sz w:val="24"/>
          <w:szCs w:val="24"/>
        </w:rPr>
        <w:t xml:space="preserve"> žaloby a excepcemi bylo </w:t>
      </w:r>
      <w:proofErr w:type="spellStart"/>
      <w:r w:rsidR="007978B3" w:rsidRPr="00036635">
        <w:rPr>
          <w:rFonts w:ascii="Garamond" w:hAnsi="Garamond"/>
          <w:i/>
          <w:sz w:val="24"/>
          <w:szCs w:val="24"/>
        </w:rPr>
        <w:lastRenderedPageBreak/>
        <w:t>praescriptio</w:t>
      </w:r>
      <w:proofErr w:type="spellEnd"/>
      <w:r w:rsidR="007978B3" w:rsidRPr="00036635">
        <w:rPr>
          <w:rFonts w:ascii="Garamond" w:hAnsi="Garamond"/>
          <w:i/>
          <w:sz w:val="24"/>
          <w:szCs w:val="24"/>
        </w:rPr>
        <w:t xml:space="preserve"> pro </w:t>
      </w:r>
      <w:proofErr w:type="spellStart"/>
      <w:r w:rsidR="007978B3" w:rsidRPr="00036635">
        <w:rPr>
          <w:rFonts w:ascii="Garamond" w:hAnsi="Garamond"/>
          <w:i/>
          <w:sz w:val="24"/>
          <w:szCs w:val="24"/>
        </w:rPr>
        <w:t>reo</w:t>
      </w:r>
      <w:proofErr w:type="spellEnd"/>
      <w:r w:rsidR="007978B3" w:rsidRPr="00DA196C">
        <w:rPr>
          <w:rFonts w:ascii="Garamond" w:hAnsi="Garamond"/>
          <w:sz w:val="24"/>
          <w:szCs w:val="24"/>
        </w:rPr>
        <w:t xml:space="preserve">. </w:t>
      </w:r>
      <w:proofErr w:type="spellStart"/>
      <w:r w:rsidR="007978B3" w:rsidRPr="00DA196C">
        <w:rPr>
          <w:rFonts w:ascii="Garamond" w:hAnsi="Garamond"/>
          <w:sz w:val="24"/>
          <w:szCs w:val="24"/>
        </w:rPr>
        <w:t>Praeskripce</w:t>
      </w:r>
      <w:proofErr w:type="spellEnd"/>
      <w:r w:rsidR="007978B3" w:rsidRPr="00DA196C">
        <w:rPr>
          <w:rFonts w:ascii="Garamond" w:hAnsi="Garamond"/>
          <w:sz w:val="24"/>
          <w:szCs w:val="24"/>
        </w:rPr>
        <w:t xml:space="preserve"> byla uvedena v čele formule a ukládala soudci povinnost před samotným projednáním sporu prověřit, zda není dána určitá skutečnost namítaná žalovaným, a v závislosti na tomto zjištění teprve přistoupit či nepřistoupit k projednání sporu.</w:t>
      </w:r>
      <w:r w:rsidR="00036635">
        <w:rPr>
          <w:rStyle w:val="Znakapoznpodarou"/>
          <w:rFonts w:ascii="Garamond" w:hAnsi="Garamond"/>
          <w:sz w:val="24"/>
          <w:szCs w:val="24"/>
        </w:rPr>
        <w:footnoteReference w:id="72"/>
      </w:r>
    </w:p>
    <w:p w:rsidR="00CF689A" w:rsidRPr="00DA196C" w:rsidRDefault="00CF689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Žalovaný v případě </w:t>
      </w:r>
      <w:r w:rsidR="007978B3" w:rsidRPr="00DA196C">
        <w:rPr>
          <w:rFonts w:ascii="Garamond" w:hAnsi="Garamond"/>
          <w:sz w:val="24"/>
          <w:szCs w:val="24"/>
        </w:rPr>
        <w:t xml:space="preserve">excepcí </w:t>
      </w:r>
      <w:r w:rsidRPr="00DA196C">
        <w:rPr>
          <w:rFonts w:ascii="Garamond" w:hAnsi="Garamond"/>
          <w:sz w:val="24"/>
          <w:szCs w:val="24"/>
        </w:rPr>
        <w:t>nepopíral žalobcovo tvrzení, nicméně proti vznesené žalobě uplatňoval své právo, které žalobu zcela nebo alespoň z části vylučovalo.</w:t>
      </w:r>
      <w:r w:rsidR="007978B3" w:rsidRPr="00DA196C">
        <w:rPr>
          <w:rFonts w:ascii="Garamond" w:hAnsi="Garamond"/>
          <w:sz w:val="24"/>
          <w:szCs w:val="24"/>
        </w:rPr>
        <w:t xml:space="preserve"> </w:t>
      </w:r>
      <w:r w:rsidRPr="00DA196C">
        <w:rPr>
          <w:rFonts w:ascii="Garamond" w:hAnsi="Garamond"/>
          <w:sz w:val="24"/>
          <w:szCs w:val="24"/>
        </w:rPr>
        <w:t>Za dob formulového procesu muselo být o excepci žádáno již v první části řízení (</w:t>
      </w:r>
      <w:r w:rsidRPr="00DA196C">
        <w:rPr>
          <w:rFonts w:ascii="Garamond" w:hAnsi="Garamond"/>
          <w:i/>
          <w:sz w:val="24"/>
          <w:szCs w:val="24"/>
        </w:rPr>
        <w:t>in iure</w:t>
      </w:r>
      <w:r w:rsidRPr="00DA196C">
        <w:rPr>
          <w:rFonts w:ascii="Garamond" w:hAnsi="Garamond"/>
          <w:sz w:val="24"/>
          <w:szCs w:val="24"/>
        </w:rPr>
        <w:t>), jelikož soudce byl v druhé části řízení (</w:t>
      </w:r>
      <w:proofErr w:type="spellStart"/>
      <w:r w:rsidRPr="00DA196C">
        <w:rPr>
          <w:rFonts w:ascii="Garamond" w:hAnsi="Garamond"/>
          <w:i/>
          <w:sz w:val="24"/>
          <w:szCs w:val="24"/>
        </w:rPr>
        <w:t>apud</w:t>
      </w:r>
      <w:proofErr w:type="spellEnd"/>
      <w:r w:rsidRPr="00DA196C">
        <w:rPr>
          <w:rFonts w:ascii="Garamond" w:hAnsi="Garamond"/>
          <w:i/>
          <w:sz w:val="24"/>
          <w:szCs w:val="24"/>
        </w:rPr>
        <w:t xml:space="preserve"> </w:t>
      </w:r>
      <w:proofErr w:type="spellStart"/>
      <w:r w:rsidRPr="00DA196C">
        <w:rPr>
          <w:rFonts w:ascii="Garamond" w:hAnsi="Garamond"/>
          <w:i/>
          <w:sz w:val="24"/>
          <w:szCs w:val="24"/>
        </w:rPr>
        <w:t>iudicem</w:t>
      </w:r>
      <w:proofErr w:type="spellEnd"/>
      <w:r w:rsidRPr="00DA196C">
        <w:rPr>
          <w:rFonts w:ascii="Garamond" w:hAnsi="Garamond"/>
          <w:sz w:val="24"/>
          <w:szCs w:val="24"/>
        </w:rPr>
        <w:t xml:space="preserve">) vázán právě žalobní formulí a nemohl se zabývat jinými otázkami, zvláště pak ne těmi, které neměly základ v zákoně. V žalobní formuli tak po intenci následovala předmětná excepce ve formě negativně formulovaných podmínek vylučujících vydání odsuzujícího rozsudku. S pozdějším zánikem klasického striktního rozdělení řízení na dvě části zanikla i nutnost uplatnit excepci již ve fázi </w:t>
      </w:r>
      <w:r w:rsidRPr="00DA196C">
        <w:rPr>
          <w:rFonts w:ascii="Garamond" w:hAnsi="Garamond"/>
          <w:i/>
          <w:sz w:val="24"/>
          <w:szCs w:val="24"/>
        </w:rPr>
        <w:t>in iure</w:t>
      </w:r>
      <w:r w:rsidRPr="00DA196C">
        <w:rPr>
          <w:rFonts w:ascii="Garamond" w:hAnsi="Garamond"/>
          <w:sz w:val="24"/>
          <w:szCs w:val="24"/>
        </w:rPr>
        <w:t>, ale excepce mohla být uplatněna i později. Došlo i k setření rozdílu mezi excepce</w:t>
      </w:r>
      <w:r w:rsidR="00E8684E" w:rsidRPr="00DA196C">
        <w:rPr>
          <w:rFonts w:ascii="Garamond" w:hAnsi="Garamond"/>
          <w:sz w:val="24"/>
          <w:szCs w:val="24"/>
        </w:rPr>
        <w:t>mi a jinými námitkami žalovaného</w:t>
      </w:r>
      <w:r w:rsidRPr="00DA196C">
        <w:rPr>
          <w:rFonts w:ascii="Garamond" w:hAnsi="Garamond"/>
          <w:sz w:val="24"/>
          <w:szCs w:val="24"/>
        </w:rPr>
        <w:t>.</w:t>
      </w:r>
      <w:r w:rsidRPr="00DA196C">
        <w:rPr>
          <w:rStyle w:val="Znakapoznpodarou"/>
          <w:rFonts w:ascii="Garamond" w:hAnsi="Garamond"/>
          <w:sz w:val="24"/>
          <w:szCs w:val="24"/>
        </w:rPr>
        <w:footnoteReference w:id="73"/>
      </w:r>
      <w:r w:rsidR="00E8684E" w:rsidRPr="00DA196C">
        <w:rPr>
          <w:rFonts w:ascii="Garamond" w:hAnsi="Garamond"/>
          <w:sz w:val="24"/>
          <w:szCs w:val="24"/>
        </w:rPr>
        <w:t xml:space="preserve"> Důvodem bylo jednak vymizení konfliktu mezi právem civilním a prétorským, druhým důvodem byl zánik formulí, kterými byl soudce vázán, a ne</w:t>
      </w:r>
      <w:r w:rsidR="005A14D7" w:rsidRPr="00DA196C">
        <w:rPr>
          <w:rFonts w:ascii="Garamond" w:hAnsi="Garamond"/>
          <w:sz w:val="24"/>
          <w:szCs w:val="24"/>
        </w:rPr>
        <w:t>bylo</w:t>
      </w:r>
      <w:r w:rsidR="00E8684E" w:rsidRPr="00DA196C">
        <w:rPr>
          <w:rFonts w:ascii="Garamond" w:hAnsi="Garamond"/>
          <w:sz w:val="24"/>
          <w:szCs w:val="24"/>
        </w:rPr>
        <w:t xml:space="preserve"> tedy třeba excepce uplatněné již v této formuli jako výjimky z předepsaného kondemnačního rozkazu. </w:t>
      </w:r>
      <w:r w:rsidR="005A14D7" w:rsidRPr="00DA196C">
        <w:rPr>
          <w:rFonts w:ascii="Garamond" w:hAnsi="Garamond"/>
          <w:sz w:val="24"/>
          <w:szCs w:val="24"/>
        </w:rPr>
        <w:t>Nově měl žalovaný možnost uplatnit excepci během celého řízení, dokonce měl možnost uplatnit excepci i v řízení odvolacím.</w:t>
      </w:r>
      <w:r w:rsidR="005A14D7" w:rsidRPr="00DA196C">
        <w:rPr>
          <w:rStyle w:val="Znakapoznpodarou"/>
          <w:rFonts w:ascii="Garamond" w:hAnsi="Garamond"/>
          <w:sz w:val="24"/>
          <w:szCs w:val="24"/>
        </w:rPr>
        <w:footnoteReference w:id="74"/>
      </w:r>
    </w:p>
    <w:p w:rsidR="00DA6476" w:rsidRPr="00DA196C" w:rsidRDefault="00DA6476"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Patrně nejdůležitější a nejužívanější byla kvůli svému širokému rozsahu působnosti </w:t>
      </w:r>
      <w:proofErr w:type="spellStart"/>
      <w:r w:rsidRPr="00036635">
        <w:rPr>
          <w:rFonts w:ascii="Garamond" w:hAnsi="Garamond"/>
          <w:i/>
          <w:sz w:val="24"/>
          <w:szCs w:val="24"/>
        </w:rPr>
        <w:t>exceptio</w:t>
      </w:r>
      <w:proofErr w:type="spellEnd"/>
      <w:r w:rsidRPr="00036635">
        <w:rPr>
          <w:rFonts w:ascii="Garamond" w:hAnsi="Garamond"/>
          <w:i/>
          <w:sz w:val="24"/>
          <w:szCs w:val="24"/>
        </w:rPr>
        <w:t xml:space="preserve"> </w:t>
      </w:r>
      <w:proofErr w:type="spellStart"/>
      <w:r w:rsidRPr="00036635">
        <w:rPr>
          <w:rFonts w:ascii="Garamond" w:hAnsi="Garamond"/>
          <w:i/>
          <w:sz w:val="24"/>
          <w:szCs w:val="24"/>
        </w:rPr>
        <w:t>doli</w:t>
      </w:r>
      <w:proofErr w:type="spellEnd"/>
      <w:r w:rsidRPr="00DA196C">
        <w:rPr>
          <w:rFonts w:ascii="Garamond" w:hAnsi="Garamond"/>
          <w:sz w:val="24"/>
          <w:szCs w:val="24"/>
        </w:rPr>
        <w:t xml:space="preserve">. Jednalo se o námitku zlého úmyslu nebo podvodného jednání. Rozlišujeme dva druhy této námitky – </w:t>
      </w:r>
      <w:proofErr w:type="spellStart"/>
      <w:r w:rsidRPr="00036635">
        <w:rPr>
          <w:rFonts w:ascii="Garamond" w:hAnsi="Garamond"/>
          <w:i/>
          <w:sz w:val="24"/>
          <w:szCs w:val="24"/>
        </w:rPr>
        <w:t>exceptio</w:t>
      </w:r>
      <w:proofErr w:type="spellEnd"/>
      <w:r w:rsidRPr="00036635">
        <w:rPr>
          <w:rFonts w:ascii="Garamond" w:hAnsi="Garamond"/>
          <w:i/>
          <w:sz w:val="24"/>
          <w:szCs w:val="24"/>
        </w:rPr>
        <w:t xml:space="preserve"> </w:t>
      </w:r>
      <w:proofErr w:type="spellStart"/>
      <w:r w:rsidRPr="00036635">
        <w:rPr>
          <w:rFonts w:ascii="Garamond" w:hAnsi="Garamond"/>
          <w:i/>
          <w:sz w:val="24"/>
          <w:szCs w:val="24"/>
        </w:rPr>
        <w:t>doli</w:t>
      </w:r>
      <w:proofErr w:type="spellEnd"/>
      <w:r w:rsidRPr="00036635">
        <w:rPr>
          <w:rFonts w:ascii="Garamond" w:hAnsi="Garamond"/>
          <w:i/>
          <w:sz w:val="24"/>
          <w:szCs w:val="24"/>
        </w:rPr>
        <w:t xml:space="preserve"> </w:t>
      </w:r>
      <w:proofErr w:type="spellStart"/>
      <w:r w:rsidRPr="00036635">
        <w:rPr>
          <w:rFonts w:ascii="Garamond" w:hAnsi="Garamond"/>
          <w:i/>
          <w:sz w:val="24"/>
          <w:szCs w:val="24"/>
        </w:rPr>
        <w:t>specialis</w:t>
      </w:r>
      <w:proofErr w:type="spellEnd"/>
      <w:r w:rsidRPr="00DA196C">
        <w:rPr>
          <w:rFonts w:ascii="Garamond" w:hAnsi="Garamond"/>
          <w:sz w:val="24"/>
          <w:szCs w:val="24"/>
        </w:rPr>
        <w:t xml:space="preserve"> (nebo </w:t>
      </w:r>
      <w:proofErr w:type="spellStart"/>
      <w:r w:rsidRPr="00036635">
        <w:rPr>
          <w:rFonts w:ascii="Garamond" w:hAnsi="Garamond"/>
          <w:i/>
          <w:sz w:val="24"/>
          <w:szCs w:val="24"/>
        </w:rPr>
        <w:t>exceptio</w:t>
      </w:r>
      <w:proofErr w:type="spellEnd"/>
      <w:r w:rsidRPr="00036635">
        <w:rPr>
          <w:rFonts w:ascii="Garamond" w:hAnsi="Garamond"/>
          <w:i/>
          <w:sz w:val="24"/>
          <w:szCs w:val="24"/>
        </w:rPr>
        <w:t xml:space="preserve"> </w:t>
      </w:r>
      <w:proofErr w:type="spellStart"/>
      <w:r w:rsidRPr="00036635">
        <w:rPr>
          <w:rFonts w:ascii="Garamond" w:hAnsi="Garamond"/>
          <w:i/>
          <w:sz w:val="24"/>
          <w:szCs w:val="24"/>
        </w:rPr>
        <w:t>doli</w:t>
      </w:r>
      <w:proofErr w:type="spellEnd"/>
      <w:r w:rsidRPr="00036635">
        <w:rPr>
          <w:rFonts w:ascii="Garamond" w:hAnsi="Garamond"/>
          <w:i/>
          <w:sz w:val="24"/>
          <w:szCs w:val="24"/>
        </w:rPr>
        <w:t xml:space="preserve"> </w:t>
      </w:r>
      <w:proofErr w:type="spellStart"/>
      <w:r w:rsidRPr="00036635">
        <w:rPr>
          <w:rFonts w:ascii="Garamond" w:hAnsi="Garamond"/>
          <w:i/>
          <w:sz w:val="24"/>
          <w:szCs w:val="24"/>
        </w:rPr>
        <w:t>praeteriti</w:t>
      </w:r>
      <w:proofErr w:type="spellEnd"/>
      <w:r w:rsidRPr="00DA196C">
        <w:rPr>
          <w:rFonts w:ascii="Garamond" w:hAnsi="Garamond"/>
          <w:sz w:val="24"/>
          <w:szCs w:val="24"/>
        </w:rPr>
        <w:t xml:space="preserve">) a </w:t>
      </w:r>
      <w:proofErr w:type="spellStart"/>
      <w:r w:rsidRPr="00036635">
        <w:rPr>
          <w:rFonts w:ascii="Garamond" w:hAnsi="Garamond"/>
          <w:i/>
          <w:sz w:val="24"/>
          <w:szCs w:val="24"/>
        </w:rPr>
        <w:t>exceptio</w:t>
      </w:r>
      <w:proofErr w:type="spellEnd"/>
      <w:r w:rsidRPr="00036635">
        <w:rPr>
          <w:rFonts w:ascii="Garamond" w:hAnsi="Garamond"/>
          <w:i/>
          <w:sz w:val="24"/>
          <w:szCs w:val="24"/>
        </w:rPr>
        <w:t xml:space="preserve"> </w:t>
      </w:r>
      <w:proofErr w:type="spellStart"/>
      <w:r w:rsidRPr="00036635">
        <w:rPr>
          <w:rFonts w:ascii="Garamond" w:hAnsi="Garamond"/>
          <w:i/>
          <w:sz w:val="24"/>
          <w:szCs w:val="24"/>
        </w:rPr>
        <w:t>doli</w:t>
      </w:r>
      <w:proofErr w:type="spellEnd"/>
      <w:r w:rsidRPr="00036635">
        <w:rPr>
          <w:rFonts w:ascii="Garamond" w:hAnsi="Garamond"/>
          <w:i/>
          <w:sz w:val="24"/>
          <w:szCs w:val="24"/>
        </w:rPr>
        <w:t xml:space="preserve"> </w:t>
      </w:r>
      <w:proofErr w:type="spellStart"/>
      <w:r w:rsidRPr="00036635">
        <w:rPr>
          <w:rFonts w:ascii="Garamond" w:hAnsi="Garamond"/>
          <w:i/>
          <w:sz w:val="24"/>
          <w:szCs w:val="24"/>
        </w:rPr>
        <w:t>generalis</w:t>
      </w:r>
      <w:proofErr w:type="spellEnd"/>
      <w:r w:rsidRPr="00DA196C">
        <w:rPr>
          <w:rFonts w:ascii="Garamond" w:hAnsi="Garamond"/>
          <w:sz w:val="24"/>
          <w:szCs w:val="24"/>
        </w:rPr>
        <w:t xml:space="preserve"> (nebo též </w:t>
      </w:r>
      <w:proofErr w:type="spellStart"/>
      <w:r w:rsidRPr="00036635">
        <w:rPr>
          <w:rFonts w:ascii="Garamond" w:hAnsi="Garamond"/>
          <w:i/>
          <w:sz w:val="24"/>
          <w:szCs w:val="24"/>
        </w:rPr>
        <w:t>exceptio</w:t>
      </w:r>
      <w:proofErr w:type="spellEnd"/>
      <w:r w:rsidRPr="00036635">
        <w:rPr>
          <w:rFonts w:ascii="Garamond" w:hAnsi="Garamond"/>
          <w:i/>
          <w:sz w:val="24"/>
          <w:szCs w:val="24"/>
        </w:rPr>
        <w:t xml:space="preserve"> </w:t>
      </w:r>
      <w:proofErr w:type="spellStart"/>
      <w:r w:rsidRPr="00036635">
        <w:rPr>
          <w:rFonts w:ascii="Garamond" w:hAnsi="Garamond"/>
          <w:i/>
          <w:sz w:val="24"/>
          <w:szCs w:val="24"/>
        </w:rPr>
        <w:t>doli</w:t>
      </w:r>
      <w:proofErr w:type="spellEnd"/>
      <w:r w:rsidRPr="00036635">
        <w:rPr>
          <w:rFonts w:ascii="Garamond" w:hAnsi="Garamond"/>
          <w:i/>
          <w:sz w:val="24"/>
          <w:szCs w:val="24"/>
        </w:rPr>
        <w:t xml:space="preserve"> </w:t>
      </w:r>
      <w:proofErr w:type="spellStart"/>
      <w:r w:rsidRPr="00036635">
        <w:rPr>
          <w:rFonts w:ascii="Garamond" w:hAnsi="Garamond"/>
          <w:i/>
          <w:sz w:val="24"/>
          <w:szCs w:val="24"/>
        </w:rPr>
        <w:t>praesentis</w:t>
      </w:r>
      <w:proofErr w:type="spellEnd"/>
      <w:r w:rsidRPr="00DA196C">
        <w:rPr>
          <w:rFonts w:ascii="Garamond" w:hAnsi="Garamond"/>
          <w:sz w:val="24"/>
          <w:szCs w:val="24"/>
        </w:rPr>
        <w:t xml:space="preserve">). </w:t>
      </w:r>
      <w:proofErr w:type="spellStart"/>
      <w:r w:rsidRPr="00036635">
        <w:rPr>
          <w:rFonts w:ascii="Garamond" w:hAnsi="Garamond"/>
          <w:i/>
          <w:sz w:val="24"/>
          <w:szCs w:val="24"/>
        </w:rPr>
        <w:t>Exceptio</w:t>
      </w:r>
      <w:proofErr w:type="spellEnd"/>
      <w:r w:rsidRPr="00036635">
        <w:rPr>
          <w:rFonts w:ascii="Garamond" w:hAnsi="Garamond"/>
          <w:i/>
          <w:sz w:val="24"/>
          <w:szCs w:val="24"/>
        </w:rPr>
        <w:t xml:space="preserve"> </w:t>
      </w:r>
      <w:proofErr w:type="spellStart"/>
      <w:r w:rsidRPr="00036635">
        <w:rPr>
          <w:rFonts w:ascii="Garamond" w:hAnsi="Garamond"/>
          <w:i/>
          <w:sz w:val="24"/>
          <w:szCs w:val="24"/>
        </w:rPr>
        <w:t>doli</w:t>
      </w:r>
      <w:proofErr w:type="spellEnd"/>
      <w:r w:rsidRPr="00036635">
        <w:rPr>
          <w:rFonts w:ascii="Garamond" w:hAnsi="Garamond"/>
          <w:i/>
          <w:sz w:val="24"/>
          <w:szCs w:val="24"/>
        </w:rPr>
        <w:t xml:space="preserve"> </w:t>
      </w:r>
      <w:proofErr w:type="spellStart"/>
      <w:r w:rsidRPr="00036635">
        <w:rPr>
          <w:rFonts w:ascii="Garamond" w:hAnsi="Garamond"/>
          <w:i/>
          <w:sz w:val="24"/>
          <w:szCs w:val="24"/>
        </w:rPr>
        <w:t>specialis</w:t>
      </w:r>
      <w:proofErr w:type="spellEnd"/>
      <w:r w:rsidRPr="00DA196C">
        <w:rPr>
          <w:rFonts w:ascii="Garamond" w:hAnsi="Garamond"/>
          <w:sz w:val="24"/>
          <w:szCs w:val="24"/>
        </w:rPr>
        <w:t xml:space="preserve"> byla námitkou, že žalobce se dopustil podvodného jednání v době před soudním řízením. Jestliže žalovaný užil </w:t>
      </w:r>
      <w:proofErr w:type="spellStart"/>
      <w:r w:rsidRPr="00036635">
        <w:rPr>
          <w:rFonts w:ascii="Garamond" w:hAnsi="Garamond"/>
          <w:i/>
          <w:sz w:val="24"/>
          <w:szCs w:val="24"/>
        </w:rPr>
        <w:t>exceptio</w:t>
      </w:r>
      <w:proofErr w:type="spellEnd"/>
      <w:r w:rsidRPr="00036635">
        <w:rPr>
          <w:rFonts w:ascii="Garamond" w:hAnsi="Garamond"/>
          <w:i/>
          <w:sz w:val="24"/>
          <w:szCs w:val="24"/>
        </w:rPr>
        <w:t xml:space="preserve"> </w:t>
      </w:r>
      <w:proofErr w:type="spellStart"/>
      <w:r w:rsidRPr="00036635">
        <w:rPr>
          <w:rFonts w:ascii="Garamond" w:hAnsi="Garamond"/>
          <w:i/>
          <w:sz w:val="24"/>
          <w:szCs w:val="24"/>
        </w:rPr>
        <w:t>doli</w:t>
      </w:r>
      <w:proofErr w:type="spellEnd"/>
      <w:r w:rsidRPr="00036635">
        <w:rPr>
          <w:rFonts w:ascii="Garamond" w:hAnsi="Garamond"/>
          <w:i/>
          <w:sz w:val="24"/>
          <w:szCs w:val="24"/>
        </w:rPr>
        <w:t xml:space="preserve"> </w:t>
      </w:r>
      <w:proofErr w:type="spellStart"/>
      <w:r w:rsidRPr="00036635">
        <w:rPr>
          <w:rFonts w:ascii="Garamond" w:hAnsi="Garamond"/>
          <w:i/>
          <w:sz w:val="24"/>
          <w:szCs w:val="24"/>
        </w:rPr>
        <w:t>generalis</w:t>
      </w:r>
      <w:proofErr w:type="spellEnd"/>
      <w:r w:rsidRPr="00DA196C">
        <w:rPr>
          <w:rFonts w:ascii="Garamond" w:hAnsi="Garamond"/>
          <w:sz w:val="24"/>
          <w:szCs w:val="24"/>
        </w:rPr>
        <w:t>, namítal, že žalobce se dopustil podvodného jednání tím, že žalobou uplatňoval své právo, ačkoli věděl, že žalovaný má proti žalobě námitky, které žalobu vylučují.</w:t>
      </w:r>
      <w:r w:rsidR="004C5A9A" w:rsidRPr="00DA196C">
        <w:rPr>
          <w:rStyle w:val="Znakapoznpodarou"/>
          <w:rFonts w:ascii="Garamond" w:hAnsi="Garamond"/>
          <w:sz w:val="24"/>
          <w:szCs w:val="24"/>
        </w:rPr>
        <w:footnoteReference w:id="75"/>
      </w:r>
      <w:r w:rsidR="004C5A9A" w:rsidRPr="00DA196C">
        <w:rPr>
          <w:rFonts w:ascii="Garamond" w:hAnsi="Garamond"/>
          <w:sz w:val="24"/>
          <w:szCs w:val="24"/>
        </w:rPr>
        <w:t xml:space="preserve"> Pomocí </w:t>
      </w:r>
      <w:proofErr w:type="spellStart"/>
      <w:r w:rsidR="004C5A9A" w:rsidRPr="00036635">
        <w:rPr>
          <w:rFonts w:ascii="Garamond" w:hAnsi="Garamond"/>
          <w:i/>
          <w:sz w:val="24"/>
          <w:szCs w:val="24"/>
        </w:rPr>
        <w:t>exceptio</w:t>
      </w:r>
      <w:proofErr w:type="spellEnd"/>
      <w:r w:rsidR="004C5A9A" w:rsidRPr="00036635">
        <w:rPr>
          <w:rFonts w:ascii="Garamond" w:hAnsi="Garamond"/>
          <w:i/>
          <w:sz w:val="24"/>
          <w:szCs w:val="24"/>
        </w:rPr>
        <w:t xml:space="preserve"> </w:t>
      </w:r>
      <w:proofErr w:type="spellStart"/>
      <w:r w:rsidR="004C5A9A" w:rsidRPr="00036635">
        <w:rPr>
          <w:rFonts w:ascii="Garamond" w:hAnsi="Garamond"/>
          <w:i/>
          <w:sz w:val="24"/>
          <w:szCs w:val="24"/>
        </w:rPr>
        <w:t>doli</w:t>
      </w:r>
      <w:proofErr w:type="spellEnd"/>
      <w:r w:rsidR="004C5A9A" w:rsidRPr="00DA196C">
        <w:rPr>
          <w:rFonts w:ascii="Garamond" w:hAnsi="Garamond"/>
          <w:sz w:val="24"/>
          <w:szCs w:val="24"/>
        </w:rPr>
        <w:t xml:space="preserve"> se například mohl žalovaný bránit </w:t>
      </w:r>
      <w:proofErr w:type="spellStart"/>
      <w:r w:rsidR="004C5A9A" w:rsidRPr="00DA196C">
        <w:rPr>
          <w:rFonts w:ascii="Garamond" w:hAnsi="Garamond"/>
          <w:sz w:val="24"/>
          <w:szCs w:val="24"/>
        </w:rPr>
        <w:t>reivindikační</w:t>
      </w:r>
      <w:proofErr w:type="spellEnd"/>
      <w:r w:rsidR="004C5A9A" w:rsidRPr="00DA196C">
        <w:rPr>
          <w:rFonts w:ascii="Garamond" w:hAnsi="Garamond"/>
          <w:sz w:val="24"/>
          <w:szCs w:val="24"/>
        </w:rPr>
        <w:t xml:space="preserve"> žalobě v situaci, kdy vynaložil na věc nezbytné náklady a žalobce mu je odmítal nahradit.</w:t>
      </w:r>
      <w:r w:rsidR="004C5A9A" w:rsidRPr="00DA196C">
        <w:rPr>
          <w:rStyle w:val="Znakapoznpodarou"/>
          <w:rFonts w:ascii="Garamond" w:hAnsi="Garamond"/>
          <w:sz w:val="24"/>
          <w:szCs w:val="24"/>
        </w:rPr>
        <w:footnoteReference w:id="76"/>
      </w:r>
    </w:p>
    <w:p w:rsidR="00037BAD" w:rsidRPr="00DA196C" w:rsidRDefault="00DA6476"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V souvislosti s </w:t>
      </w:r>
      <w:proofErr w:type="spellStart"/>
      <w:r w:rsidRPr="00DA196C">
        <w:rPr>
          <w:rFonts w:ascii="Garamond" w:hAnsi="Garamond"/>
          <w:sz w:val="24"/>
          <w:szCs w:val="24"/>
        </w:rPr>
        <w:t>reivindikací</w:t>
      </w:r>
      <w:proofErr w:type="spellEnd"/>
      <w:r w:rsidRPr="00DA196C">
        <w:rPr>
          <w:rFonts w:ascii="Garamond" w:hAnsi="Garamond"/>
          <w:sz w:val="24"/>
          <w:szCs w:val="24"/>
        </w:rPr>
        <w:t xml:space="preserve"> je třeba zmínit též další důležité excepce. </w:t>
      </w:r>
      <w:proofErr w:type="spellStart"/>
      <w:r w:rsidRPr="00DA196C">
        <w:rPr>
          <w:rFonts w:ascii="Garamond" w:hAnsi="Garamond"/>
          <w:i/>
          <w:iCs/>
          <w:sz w:val="24"/>
          <w:szCs w:val="24"/>
        </w:rPr>
        <w:t>Exceptio</w:t>
      </w:r>
      <w:proofErr w:type="spellEnd"/>
      <w:r w:rsidRPr="00DA196C">
        <w:rPr>
          <w:rFonts w:ascii="Garamond" w:hAnsi="Garamond"/>
          <w:i/>
          <w:iCs/>
          <w:sz w:val="24"/>
          <w:szCs w:val="24"/>
        </w:rPr>
        <w:t xml:space="preserve"> </w:t>
      </w:r>
      <w:proofErr w:type="spellStart"/>
      <w:r w:rsidRPr="00DA196C">
        <w:rPr>
          <w:rFonts w:ascii="Garamond" w:hAnsi="Garamond"/>
          <w:i/>
          <w:iCs/>
          <w:sz w:val="24"/>
          <w:szCs w:val="24"/>
        </w:rPr>
        <w:t>rei</w:t>
      </w:r>
      <w:proofErr w:type="spellEnd"/>
      <w:r w:rsidRPr="00DA196C">
        <w:rPr>
          <w:rFonts w:ascii="Garamond" w:hAnsi="Garamond"/>
          <w:i/>
          <w:iCs/>
          <w:sz w:val="24"/>
          <w:szCs w:val="24"/>
        </w:rPr>
        <w:t xml:space="preserve"> </w:t>
      </w:r>
      <w:proofErr w:type="spellStart"/>
      <w:r w:rsidRPr="00DA196C">
        <w:rPr>
          <w:rFonts w:ascii="Garamond" w:hAnsi="Garamond"/>
          <w:i/>
          <w:iCs/>
          <w:sz w:val="24"/>
          <w:szCs w:val="24"/>
        </w:rPr>
        <w:t>venditae</w:t>
      </w:r>
      <w:proofErr w:type="spellEnd"/>
      <w:r w:rsidRPr="00DA196C">
        <w:rPr>
          <w:rFonts w:ascii="Garamond" w:hAnsi="Garamond"/>
          <w:i/>
          <w:iCs/>
          <w:sz w:val="24"/>
          <w:szCs w:val="24"/>
        </w:rPr>
        <w:t xml:space="preserve"> </w:t>
      </w:r>
      <w:proofErr w:type="spellStart"/>
      <w:r w:rsidRPr="00DA196C">
        <w:rPr>
          <w:rFonts w:ascii="Garamond" w:hAnsi="Garamond"/>
          <w:i/>
          <w:iCs/>
          <w:sz w:val="24"/>
          <w:szCs w:val="24"/>
        </w:rPr>
        <w:t>ac</w:t>
      </w:r>
      <w:proofErr w:type="spellEnd"/>
      <w:r w:rsidRPr="00DA196C">
        <w:rPr>
          <w:rFonts w:ascii="Garamond" w:hAnsi="Garamond"/>
          <w:i/>
          <w:iCs/>
          <w:sz w:val="24"/>
          <w:szCs w:val="24"/>
        </w:rPr>
        <w:t xml:space="preserve"> </w:t>
      </w:r>
      <w:proofErr w:type="spellStart"/>
      <w:r w:rsidRPr="00DA196C">
        <w:rPr>
          <w:rFonts w:ascii="Garamond" w:hAnsi="Garamond"/>
          <w:i/>
          <w:iCs/>
          <w:sz w:val="24"/>
          <w:szCs w:val="24"/>
        </w:rPr>
        <w:t>traditae</w:t>
      </w:r>
      <w:proofErr w:type="spellEnd"/>
      <w:r w:rsidRPr="00DA196C">
        <w:rPr>
          <w:rFonts w:ascii="Garamond" w:hAnsi="Garamond"/>
          <w:iCs/>
          <w:sz w:val="24"/>
          <w:szCs w:val="24"/>
        </w:rPr>
        <w:t xml:space="preserve">, neboli námitka věci prodané a převzaté, sloužila k ochraně kupce, jakožto </w:t>
      </w:r>
      <w:proofErr w:type="spellStart"/>
      <w:r w:rsidRPr="00DA196C">
        <w:rPr>
          <w:rFonts w:ascii="Garamond" w:hAnsi="Garamond"/>
          <w:iCs/>
          <w:sz w:val="24"/>
          <w:szCs w:val="24"/>
        </w:rPr>
        <w:t>bonitárního</w:t>
      </w:r>
      <w:proofErr w:type="spellEnd"/>
      <w:r w:rsidRPr="00DA196C">
        <w:rPr>
          <w:rFonts w:ascii="Garamond" w:hAnsi="Garamond"/>
          <w:iCs/>
          <w:sz w:val="24"/>
          <w:szCs w:val="24"/>
        </w:rPr>
        <w:t xml:space="preserve"> vlastníka předmětné věci, proti prodávajícímu, jenž zůstal </w:t>
      </w:r>
      <w:proofErr w:type="spellStart"/>
      <w:r w:rsidRPr="00DA196C">
        <w:rPr>
          <w:rFonts w:ascii="Garamond" w:hAnsi="Garamond"/>
          <w:iCs/>
          <w:sz w:val="24"/>
          <w:szCs w:val="24"/>
        </w:rPr>
        <w:t>kvíritským</w:t>
      </w:r>
      <w:proofErr w:type="spellEnd"/>
      <w:r w:rsidRPr="00DA196C">
        <w:rPr>
          <w:rFonts w:ascii="Garamond" w:hAnsi="Garamond"/>
          <w:iCs/>
          <w:sz w:val="24"/>
          <w:szCs w:val="24"/>
        </w:rPr>
        <w:t xml:space="preserve"> vlastníkem věci a chtěl by tuto věc </w:t>
      </w:r>
      <w:proofErr w:type="spellStart"/>
      <w:r w:rsidRPr="00DA196C">
        <w:rPr>
          <w:rFonts w:ascii="Garamond" w:hAnsi="Garamond"/>
          <w:iCs/>
          <w:sz w:val="24"/>
          <w:szCs w:val="24"/>
        </w:rPr>
        <w:t>vindikovat</w:t>
      </w:r>
      <w:proofErr w:type="spellEnd"/>
      <w:r w:rsidRPr="00DA196C">
        <w:rPr>
          <w:rFonts w:ascii="Garamond" w:hAnsi="Garamond"/>
          <w:iCs/>
          <w:sz w:val="24"/>
          <w:szCs w:val="24"/>
        </w:rPr>
        <w:t xml:space="preserve">. </w:t>
      </w:r>
      <w:proofErr w:type="spellStart"/>
      <w:r w:rsidRPr="00036635">
        <w:rPr>
          <w:rFonts w:ascii="Garamond" w:hAnsi="Garamond"/>
          <w:i/>
          <w:iCs/>
          <w:sz w:val="24"/>
          <w:szCs w:val="24"/>
        </w:rPr>
        <w:t>Exceptio</w:t>
      </w:r>
      <w:proofErr w:type="spellEnd"/>
      <w:r w:rsidRPr="00036635">
        <w:rPr>
          <w:rFonts w:ascii="Garamond" w:hAnsi="Garamond"/>
          <w:i/>
          <w:iCs/>
          <w:sz w:val="24"/>
          <w:szCs w:val="24"/>
        </w:rPr>
        <w:t xml:space="preserve"> </w:t>
      </w:r>
      <w:proofErr w:type="spellStart"/>
      <w:r w:rsidRPr="00036635">
        <w:rPr>
          <w:rFonts w:ascii="Garamond" w:hAnsi="Garamond"/>
          <w:i/>
          <w:iCs/>
          <w:sz w:val="24"/>
          <w:szCs w:val="24"/>
        </w:rPr>
        <w:t>rei</w:t>
      </w:r>
      <w:proofErr w:type="spellEnd"/>
      <w:r w:rsidRPr="00036635">
        <w:rPr>
          <w:rFonts w:ascii="Garamond" w:hAnsi="Garamond"/>
          <w:i/>
          <w:iCs/>
          <w:sz w:val="24"/>
          <w:szCs w:val="24"/>
        </w:rPr>
        <w:t xml:space="preserve"> </w:t>
      </w:r>
      <w:proofErr w:type="spellStart"/>
      <w:r w:rsidRPr="00036635">
        <w:rPr>
          <w:rFonts w:ascii="Garamond" w:hAnsi="Garamond"/>
          <w:i/>
          <w:iCs/>
          <w:sz w:val="24"/>
          <w:szCs w:val="24"/>
        </w:rPr>
        <w:t>donatae</w:t>
      </w:r>
      <w:proofErr w:type="spellEnd"/>
      <w:r w:rsidRPr="00036635">
        <w:rPr>
          <w:rFonts w:ascii="Garamond" w:hAnsi="Garamond"/>
          <w:i/>
          <w:iCs/>
          <w:sz w:val="24"/>
          <w:szCs w:val="24"/>
        </w:rPr>
        <w:t xml:space="preserve"> </w:t>
      </w:r>
      <w:proofErr w:type="spellStart"/>
      <w:r w:rsidRPr="00036635">
        <w:rPr>
          <w:rFonts w:ascii="Garamond" w:hAnsi="Garamond"/>
          <w:i/>
          <w:iCs/>
          <w:sz w:val="24"/>
          <w:szCs w:val="24"/>
        </w:rPr>
        <w:t>et</w:t>
      </w:r>
      <w:proofErr w:type="spellEnd"/>
      <w:r w:rsidRPr="00036635">
        <w:rPr>
          <w:rFonts w:ascii="Garamond" w:hAnsi="Garamond"/>
          <w:i/>
          <w:iCs/>
          <w:sz w:val="24"/>
          <w:szCs w:val="24"/>
        </w:rPr>
        <w:t xml:space="preserve"> </w:t>
      </w:r>
      <w:proofErr w:type="spellStart"/>
      <w:r w:rsidRPr="00036635">
        <w:rPr>
          <w:rFonts w:ascii="Garamond" w:hAnsi="Garamond"/>
          <w:i/>
          <w:iCs/>
          <w:sz w:val="24"/>
          <w:szCs w:val="24"/>
        </w:rPr>
        <w:t>traditae</w:t>
      </w:r>
      <w:proofErr w:type="spellEnd"/>
      <w:r w:rsidRPr="00DA196C">
        <w:rPr>
          <w:rFonts w:ascii="Garamond" w:hAnsi="Garamond"/>
          <w:iCs/>
          <w:sz w:val="24"/>
          <w:szCs w:val="24"/>
        </w:rPr>
        <w:t xml:space="preserve">, námitka věci darované a převzaté, sloužila k ochraně obdarovaného, který měl věc v držbě, proti dárci, který by chtěl předmětnou věc </w:t>
      </w:r>
      <w:proofErr w:type="spellStart"/>
      <w:r w:rsidRPr="00DA196C">
        <w:rPr>
          <w:rFonts w:ascii="Garamond" w:hAnsi="Garamond"/>
          <w:iCs/>
          <w:sz w:val="24"/>
          <w:szCs w:val="24"/>
        </w:rPr>
        <w:lastRenderedPageBreak/>
        <w:t>vindikovat</w:t>
      </w:r>
      <w:proofErr w:type="spellEnd"/>
      <w:r w:rsidRPr="00DA196C">
        <w:rPr>
          <w:rFonts w:ascii="Garamond" w:hAnsi="Garamond"/>
          <w:iCs/>
          <w:sz w:val="24"/>
          <w:szCs w:val="24"/>
        </w:rPr>
        <w:t xml:space="preserve">. A dále též </w:t>
      </w:r>
      <w:proofErr w:type="spellStart"/>
      <w:r w:rsidRPr="00036635">
        <w:rPr>
          <w:rFonts w:ascii="Garamond" w:hAnsi="Garamond"/>
          <w:i/>
          <w:iCs/>
          <w:sz w:val="24"/>
          <w:szCs w:val="24"/>
        </w:rPr>
        <w:t>exceptio</w:t>
      </w:r>
      <w:proofErr w:type="spellEnd"/>
      <w:r w:rsidRPr="00036635">
        <w:rPr>
          <w:rFonts w:ascii="Garamond" w:hAnsi="Garamond"/>
          <w:i/>
          <w:iCs/>
          <w:sz w:val="24"/>
          <w:szCs w:val="24"/>
        </w:rPr>
        <w:t xml:space="preserve"> </w:t>
      </w:r>
      <w:proofErr w:type="spellStart"/>
      <w:r w:rsidRPr="00036635">
        <w:rPr>
          <w:rFonts w:ascii="Garamond" w:hAnsi="Garamond"/>
          <w:i/>
          <w:iCs/>
          <w:sz w:val="24"/>
          <w:szCs w:val="24"/>
        </w:rPr>
        <w:t>ususfructus</w:t>
      </w:r>
      <w:proofErr w:type="spellEnd"/>
      <w:r w:rsidRPr="00DA196C">
        <w:rPr>
          <w:rFonts w:ascii="Garamond" w:hAnsi="Garamond"/>
          <w:iCs/>
          <w:sz w:val="24"/>
          <w:szCs w:val="24"/>
        </w:rPr>
        <w:t xml:space="preserve">, jež příslušela </w:t>
      </w:r>
      <w:proofErr w:type="spellStart"/>
      <w:r w:rsidRPr="00DA196C">
        <w:rPr>
          <w:rFonts w:ascii="Garamond" w:hAnsi="Garamond"/>
          <w:iCs/>
          <w:sz w:val="24"/>
          <w:szCs w:val="24"/>
        </w:rPr>
        <w:t>usufruktářovi</w:t>
      </w:r>
      <w:proofErr w:type="spellEnd"/>
      <w:r w:rsidRPr="00DA196C">
        <w:rPr>
          <w:rFonts w:ascii="Garamond" w:hAnsi="Garamond"/>
          <w:iCs/>
          <w:sz w:val="24"/>
          <w:szCs w:val="24"/>
        </w:rPr>
        <w:t xml:space="preserve">, tedy tomu, kdo měl k předmětné věci požívací právo, proti </w:t>
      </w:r>
      <w:proofErr w:type="spellStart"/>
      <w:r w:rsidRPr="00DA196C">
        <w:rPr>
          <w:rFonts w:ascii="Garamond" w:hAnsi="Garamond"/>
          <w:iCs/>
          <w:sz w:val="24"/>
          <w:szCs w:val="24"/>
        </w:rPr>
        <w:t>reivindikaci</w:t>
      </w:r>
      <w:proofErr w:type="spellEnd"/>
      <w:r w:rsidRPr="00DA196C">
        <w:rPr>
          <w:rFonts w:ascii="Garamond" w:hAnsi="Garamond"/>
          <w:iCs/>
          <w:sz w:val="24"/>
          <w:szCs w:val="24"/>
        </w:rPr>
        <w:t xml:space="preserve"> vlastníka věci.</w:t>
      </w:r>
      <w:r w:rsidR="00EF2C17" w:rsidRPr="00DA196C">
        <w:rPr>
          <w:rFonts w:ascii="Garamond" w:hAnsi="Garamond"/>
          <w:sz w:val="24"/>
          <w:szCs w:val="24"/>
        </w:rPr>
        <w:t xml:space="preserve"> </w:t>
      </w:r>
      <w:r w:rsidR="006C65D2" w:rsidRPr="00DA196C">
        <w:rPr>
          <w:rFonts w:ascii="Garamond" w:hAnsi="Garamond"/>
          <w:sz w:val="24"/>
          <w:szCs w:val="24"/>
        </w:rPr>
        <w:t xml:space="preserve">Také je třeba zmínit </w:t>
      </w:r>
      <w:proofErr w:type="spellStart"/>
      <w:r w:rsidR="006C65D2" w:rsidRPr="00036635">
        <w:rPr>
          <w:rFonts w:ascii="Garamond" w:hAnsi="Garamond"/>
          <w:i/>
          <w:sz w:val="24"/>
          <w:szCs w:val="24"/>
        </w:rPr>
        <w:t>e</w:t>
      </w:r>
      <w:r w:rsidR="00037BAD" w:rsidRPr="00036635">
        <w:rPr>
          <w:rFonts w:ascii="Garamond" w:hAnsi="Garamond"/>
          <w:i/>
          <w:sz w:val="24"/>
          <w:szCs w:val="24"/>
        </w:rPr>
        <w:t>xceptio</w:t>
      </w:r>
      <w:proofErr w:type="spellEnd"/>
      <w:r w:rsidR="00037BAD" w:rsidRPr="00036635">
        <w:rPr>
          <w:rFonts w:ascii="Garamond" w:hAnsi="Garamond"/>
          <w:i/>
          <w:sz w:val="24"/>
          <w:szCs w:val="24"/>
        </w:rPr>
        <w:t xml:space="preserve"> </w:t>
      </w:r>
      <w:proofErr w:type="spellStart"/>
      <w:r w:rsidR="00037BAD" w:rsidRPr="00036635">
        <w:rPr>
          <w:rFonts w:ascii="Garamond" w:hAnsi="Garamond"/>
          <w:i/>
          <w:sz w:val="24"/>
          <w:szCs w:val="24"/>
        </w:rPr>
        <w:t>litigiosi</w:t>
      </w:r>
      <w:proofErr w:type="spellEnd"/>
      <w:r w:rsidR="006C65D2" w:rsidRPr="00DA196C">
        <w:rPr>
          <w:rFonts w:ascii="Garamond" w:hAnsi="Garamond"/>
          <w:sz w:val="24"/>
          <w:szCs w:val="24"/>
        </w:rPr>
        <w:t>. Ta</w:t>
      </w:r>
      <w:r w:rsidR="007002F5" w:rsidRPr="00DA196C">
        <w:rPr>
          <w:rFonts w:ascii="Garamond" w:hAnsi="Garamond"/>
          <w:sz w:val="24"/>
          <w:szCs w:val="24"/>
        </w:rPr>
        <w:t xml:space="preserve"> souvisela se zákazem zcizení věci, která byla předmětem sporu (</w:t>
      </w:r>
      <w:r w:rsidR="007002F5" w:rsidRPr="00036635">
        <w:rPr>
          <w:rFonts w:ascii="Garamond" w:hAnsi="Garamond"/>
          <w:i/>
          <w:sz w:val="24"/>
          <w:szCs w:val="24"/>
        </w:rPr>
        <w:t xml:space="preserve">res </w:t>
      </w:r>
      <w:proofErr w:type="spellStart"/>
      <w:r w:rsidR="007002F5" w:rsidRPr="00036635">
        <w:rPr>
          <w:rFonts w:ascii="Garamond" w:hAnsi="Garamond"/>
          <w:i/>
          <w:sz w:val="24"/>
          <w:szCs w:val="24"/>
        </w:rPr>
        <w:t>litigiosa</w:t>
      </w:r>
      <w:proofErr w:type="spellEnd"/>
      <w:r w:rsidR="007002F5" w:rsidRPr="00DA196C">
        <w:rPr>
          <w:rFonts w:ascii="Garamond" w:hAnsi="Garamond"/>
          <w:sz w:val="24"/>
          <w:szCs w:val="24"/>
        </w:rPr>
        <w:t xml:space="preserve">). Jestliže nedržící žalobce spornou věc napříč tomuto zákazu zcizil, mohl se žalovaný bránit </w:t>
      </w:r>
      <w:r w:rsidR="006C65D2" w:rsidRPr="00DA196C">
        <w:rPr>
          <w:rFonts w:ascii="Garamond" w:hAnsi="Garamond"/>
          <w:sz w:val="24"/>
          <w:szCs w:val="24"/>
        </w:rPr>
        <w:t xml:space="preserve">proti žalobě nového nabyvatele věci právě pomocí </w:t>
      </w:r>
      <w:proofErr w:type="spellStart"/>
      <w:r w:rsidR="006C65D2" w:rsidRPr="00036635">
        <w:rPr>
          <w:rFonts w:ascii="Garamond" w:hAnsi="Garamond"/>
          <w:i/>
          <w:sz w:val="24"/>
          <w:szCs w:val="24"/>
        </w:rPr>
        <w:t>exceptio</w:t>
      </w:r>
      <w:proofErr w:type="spellEnd"/>
      <w:r w:rsidR="006C65D2" w:rsidRPr="00036635">
        <w:rPr>
          <w:rFonts w:ascii="Garamond" w:hAnsi="Garamond"/>
          <w:i/>
          <w:sz w:val="24"/>
          <w:szCs w:val="24"/>
        </w:rPr>
        <w:t xml:space="preserve"> </w:t>
      </w:r>
      <w:proofErr w:type="spellStart"/>
      <w:r w:rsidR="006C65D2" w:rsidRPr="00036635">
        <w:rPr>
          <w:rFonts w:ascii="Garamond" w:hAnsi="Garamond"/>
          <w:i/>
          <w:sz w:val="24"/>
          <w:szCs w:val="24"/>
        </w:rPr>
        <w:t>litigiosi</w:t>
      </w:r>
      <w:proofErr w:type="spellEnd"/>
      <w:r w:rsidR="006C65D2" w:rsidRPr="00DA196C">
        <w:rPr>
          <w:rFonts w:ascii="Garamond" w:hAnsi="Garamond"/>
          <w:sz w:val="24"/>
          <w:szCs w:val="24"/>
        </w:rPr>
        <w:t>.</w:t>
      </w:r>
      <w:r w:rsidR="006C65D2" w:rsidRPr="00DA196C">
        <w:rPr>
          <w:rStyle w:val="Znakapoznpodarou"/>
          <w:rFonts w:ascii="Garamond" w:hAnsi="Garamond"/>
          <w:iCs/>
          <w:sz w:val="24"/>
          <w:szCs w:val="24"/>
        </w:rPr>
        <w:footnoteReference w:id="77"/>
      </w:r>
    </w:p>
    <w:p w:rsidR="00382D73" w:rsidRPr="00DA196C" w:rsidRDefault="00382D7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Dále je v souv</w:t>
      </w:r>
      <w:r w:rsidR="00DC679D" w:rsidRPr="00DA196C">
        <w:rPr>
          <w:rFonts w:ascii="Garamond" w:hAnsi="Garamond"/>
          <w:sz w:val="24"/>
          <w:szCs w:val="24"/>
        </w:rPr>
        <w:t>is</w:t>
      </w:r>
      <w:r w:rsidR="006C65D2" w:rsidRPr="00DA196C">
        <w:rPr>
          <w:rFonts w:ascii="Garamond" w:hAnsi="Garamond"/>
          <w:sz w:val="24"/>
          <w:szCs w:val="24"/>
        </w:rPr>
        <w:t>losti s </w:t>
      </w:r>
      <w:proofErr w:type="spellStart"/>
      <w:r w:rsidR="006C65D2" w:rsidRPr="00DA196C">
        <w:rPr>
          <w:rFonts w:ascii="Garamond" w:hAnsi="Garamond"/>
          <w:sz w:val="24"/>
          <w:szCs w:val="24"/>
        </w:rPr>
        <w:t>reivindikací</w:t>
      </w:r>
      <w:proofErr w:type="spellEnd"/>
      <w:r w:rsidR="006C65D2" w:rsidRPr="00DA196C">
        <w:rPr>
          <w:rFonts w:ascii="Garamond" w:hAnsi="Garamond"/>
          <w:sz w:val="24"/>
          <w:szCs w:val="24"/>
        </w:rPr>
        <w:t xml:space="preserve"> třeba </w:t>
      </w:r>
      <w:r w:rsidR="00DC679D" w:rsidRPr="00DA196C">
        <w:rPr>
          <w:rFonts w:ascii="Garamond" w:hAnsi="Garamond"/>
          <w:sz w:val="24"/>
          <w:szCs w:val="24"/>
        </w:rPr>
        <w:t xml:space="preserve">zmínit </w:t>
      </w:r>
      <w:proofErr w:type="spellStart"/>
      <w:r w:rsidR="00DC679D" w:rsidRPr="00036635">
        <w:rPr>
          <w:rFonts w:ascii="Garamond" w:hAnsi="Garamond"/>
          <w:i/>
          <w:sz w:val="24"/>
          <w:szCs w:val="24"/>
        </w:rPr>
        <w:t>praescriptio</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longi</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temporis</w:t>
      </w:r>
      <w:proofErr w:type="spellEnd"/>
      <w:r w:rsidR="00DC679D" w:rsidRPr="00DA196C">
        <w:rPr>
          <w:rFonts w:ascii="Garamond" w:hAnsi="Garamond"/>
          <w:sz w:val="24"/>
          <w:szCs w:val="24"/>
        </w:rPr>
        <w:t xml:space="preserve">. Jednalo se o procesní námitku, kterou uplatňoval žalovaný z pozice dlouhodobého držitele, původně pouze provinčního pozemku, proti </w:t>
      </w:r>
      <w:proofErr w:type="spellStart"/>
      <w:r w:rsidR="0004786E" w:rsidRPr="00DA196C">
        <w:rPr>
          <w:rFonts w:ascii="Garamond" w:hAnsi="Garamond"/>
          <w:sz w:val="24"/>
          <w:szCs w:val="24"/>
        </w:rPr>
        <w:t>reivindikaci</w:t>
      </w:r>
      <w:proofErr w:type="spellEnd"/>
      <w:r w:rsidR="0004786E" w:rsidRPr="00DA196C">
        <w:rPr>
          <w:rFonts w:ascii="Garamond" w:hAnsi="Garamond"/>
          <w:sz w:val="24"/>
          <w:szCs w:val="24"/>
        </w:rPr>
        <w:t xml:space="preserve"> </w:t>
      </w:r>
      <w:r w:rsidR="00DC679D" w:rsidRPr="00DA196C">
        <w:rPr>
          <w:rFonts w:ascii="Garamond" w:hAnsi="Garamond"/>
          <w:sz w:val="24"/>
          <w:szCs w:val="24"/>
        </w:rPr>
        <w:t>vlastník</w:t>
      </w:r>
      <w:r w:rsidR="0004786E" w:rsidRPr="00DA196C">
        <w:rPr>
          <w:rFonts w:ascii="Garamond" w:hAnsi="Garamond"/>
          <w:sz w:val="24"/>
          <w:szCs w:val="24"/>
        </w:rPr>
        <w:t>a předmětné</w:t>
      </w:r>
      <w:r w:rsidR="00DC679D" w:rsidRPr="00DA196C">
        <w:rPr>
          <w:rFonts w:ascii="Garamond" w:hAnsi="Garamond"/>
          <w:sz w:val="24"/>
          <w:szCs w:val="24"/>
        </w:rPr>
        <w:t xml:space="preserve"> věci. Předpokladem užití této </w:t>
      </w:r>
      <w:proofErr w:type="spellStart"/>
      <w:r w:rsidR="00DC679D" w:rsidRPr="00036635">
        <w:rPr>
          <w:rFonts w:ascii="Garamond" w:hAnsi="Garamond"/>
          <w:i/>
          <w:sz w:val="24"/>
          <w:szCs w:val="24"/>
        </w:rPr>
        <w:t>praescriptio</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longi</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temporis</w:t>
      </w:r>
      <w:proofErr w:type="spellEnd"/>
      <w:r w:rsidR="00DC679D" w:rsidRPr="00DA196C">
        <w:rPr>
          <w:rFonts w:ascii="Garamond" w:hAnsi="Garamond"/>
          <w:sz w:val="24"/>
          <w:szCs w:val="24"/>
        </w:rPr>
        <w:t xml:space="preserve"> byla </w:t>
      </w:r>
      <w:r w:rsidR="0004786E" w:rsidRPr="00DA196C">
        <w:rPr>
          <w:rFonts w:ascii="Garamond" w:hAnsi="Garamond"/>
          <w:sz w:val="24"/>
          <w:szCs w:val="24"/>
        </w:rPr>
        <w:t xml:space="preserve">nepřetržitá </w:t>
      </w:r>
      <w:r w:rsidR="00DC679D" w:rsidRPr="00DA196C">
        <w:rPr>
          <w:rFonts w:ascii="Garamond" w:hAnsi="Garamond"/>
          <w:sz w:val="24"/>
          <w:szCs w:val="24"/>
        </w:rPr>
        <w:t>držba v délce 10 let mezi přítomnými (</w:t>
      </w:r>
      <w:proofErr w:type="spellStart"/>
      <w:r w:rsidR="00DC679D" w:rsidRPr="00036635">
        <w:rPr>
          <w:rFonts w:ascii="Garamond" w:hAnsi="Garamond"/>
          <w:i/>
          <w:sz w:val="24"/>
          <w:szCs w:val="24"/>
        </w:rPr>
        <w:t>praescriptio</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inter</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praesentes</w:t>
      </w:r>
      <w:proofErr w:type="spellEnd"/>
      <w:r w:rsidR="00DC679D" w:rsidRPr="00DA196C">
        <w:rPr>
          <w:rFonts w:ascii="Garamond" w:hAnsi="Garamond"/>
          <w:sz w:val="24"/>
          <w:szCs w:val="24"/>
        </w:rPr>
        <w:t>), 20 let mezi nepřítomnými (</w:t>
      </w:r>
      <w:proofErr w:type="spellStart"/>
      <w:r w:rsidR="00DC679D" w:rsidRPr="00036635">
        <w:rPr>
          <w:rFonts w:ascii="Garamond" w:hAnsi="Garamond"/>
          <w:i/>
          <w:sz w:val="24"/>
          <w:szCs w:val="24"/>
        </w:rPr>
        <w:t>praescriptio</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inter</w:t>
      </w:r>
      <w:proofErr w:type="spellEnd"/>
      <w:r w:rsidR="00DC679D" w:rsidRPr="00036635">
        <w:rPr>
          <w:rFonts w:ascii="Garamond" w:hAnsi="Garamond"/>
          <w:i/>
          <w:sz w:val="24"/>
          <w:szCs w:val="24"/>
        </w:rPr>
        <w:t xml:space="preserve"> </w:t>
      </w:r>
      <w:proofErr w:type="spellStart"/>
      <w:r w:rsidR="00DC679D" w:rsidRPr="00036635">
        <w:rPr>
          <w:rFonts w:ascii="Garamond" w:hAnsi="Garamond"/>
          <w:i/>
          <w:sz w:val="24"/>
          <w:szCs w:val="24"/>
        </w:rPr>
        <w:t>absentes</w:t>
      </w:r>
      <w:proofErr w:type="spellEnd"/>
      <w:r w:rsidR="00DC679D" w:rsidRPr="00DA196C">
        <w:rPr>
          <w:rFonts w:ascii="Garamond" w:hAnsi="Garamond"/>
          <w:sz w:val="24"/>
          <w:szCs w:val="24"/>
        </w:rPr>
        <w:t>).</w:t>
      </w:r>
      <w:r w:rsidR="0004786E" w:rsidRPr="00DA196C">
        <w:rPr>
          <w:rFonts w:ascii="Garamond" w:hAnsi="Garamond"/>
          <w:sz w:val="24"/>
          <w:szCs w:val="24"/>
        </w:rPr>
        <w:t xml:space="preserve"> Původně tato obrana znamenala pouze zánik žaloby, později se jednalo o vydržení, jelikož s nepřetržitou držbou v určité již zmíněné délce bylo spojeno nabytí vlastnictví. S tímto souvisí i obecné promlčení všech žalob, které bylo zavedeno </w:t>
      </w:r>
      <w:r w:rsidR="007002F5" w:rsidRPr="00DA196C">
        <w:rPr>
          <w:rFonts w:ascii="Garamond" w:hAnsi="Garamond"/>
          <w:sz w:val="24"/>
          <w:szCs w:val="24"/>
        </w:rPr>
        <w:t>na počátku</w:t>
      </w:r>
      <w:r w:rsidR="0004786E" w:rsidRPr="00DA196C">
        <w:rPr>
          <w:rFonts w:ascii="Garamond" w:hAnsi="Garamond"/>
          <w:sz w:val="24"/>
          <w:szCs w:val="24"/>
        </w:rPr>
        <w:t> 5. století</w:t>
      </w:r>
      <w:r w:rsidR="007002F5" w:rsidRPr="00DA196C">
        <w:rPr>
          <w:rFonts w:ascii="Garamond" w:hAnsi="Garamond"/>
          <w:sz w:val="24"/>
          <w:szCs w:val="24"/>
        </w:rPr>
        <w:t xml:space="preserve"> konstitucí císařů </w:t>
      </w:r>
      <w:proofErr w:type="spellStart"/>
      <w:r w:rsidR="007002F5" w:rsidRPr="00DA196C">
        <w:rPr>
          <w:rFonts w:ascii="Garamond" w:hAnsi="Garamond"/>
          <w:sz w:val="24"/>
          <w:szCs w:val="24"/>
        </w:rPr>
        <w:t>Honoria</w:t>
      </w:r>
      <w:proofErr w:type="spellEnd"/>
      <w:r w:rsidR="007002F5" w:rsidRPr="00DA196C">
        <w:rPr>
          <w:rFonts w:ascii="Garamond" w:hAnsi="Garamond"/>
          <w:sz w:val="24"/>
          <w:szCs w:val="24"/>
        </w:rPr>
        <w:t xml:space="preserve"> a </w:t>
      </w:r>
      <w:proofErr w:type="spellStart"/>
      <w:r w:rsidR="007002F5" w:rsidRPr="00DA196C">
        <w:rPr>
          <w:rFonts w:ascii="Garamond" w:hAnsi="Garamond"/>
          <w:sz w:val="24"/>
          <w:szCs w:val="24"/>
        </w:rPr>
        <w:t>Theodesia</w:t>
      </w:r>
      <w:proofErr w:type="spellEnd"/>
      <w:r w:rsidR="007002F5" w:rsidRPr="00DA196C">
        <w:rPr>
          <w:rFonts w:ascii="Garamond" w:hAnsi="Garamond"/>
          <w:sz w:val="24"/>
          <w:szCs w:val="24"/>
        </w:rPr>
        <w:t xml:space="preserve"> II.</w:t>
      </w:r>
      <w:r w:rsidR="0004786E" w:rsidRPr="00DA196C">
        <w:rPr>
          <w:rFonts w:ascii="Garamond" w:hAnsi="Garamond"/>
          <w:sz w:val="24"/>
          <w:szCs w:val="24"/>
        </w:rPr>
        <w:t xml:space="preserve"> a promlčecí lhůta byla stanovena na 30 let.</w:t>
      </w:r>
      <w:r w:rsidR="0020440E" w:rsidRPr="00DA196C">
        <w:rPr>
          <w:rFonts w:ascii="Garamond" w:hAnsi="Garamond"/>
          <w:sz w:val="24"/>
          <w:szCs w:val="24"/>
        </w:rPr>
        <w:t xml:space="preserve"> Proti promlčené žalobě se mohl žalovaný bránit pomocí </w:t>
      </w:r>
      <w:proofErr w:type="spellStart"/>
      <w:r w:rsidR="0020440E" w:rsidRPr="00036635">
        <w:rPr>
          <w:rFonts w:ascii="Garamond" w:hAnsi="Garamond"/>
          <w:i/>
          <w:sz w:val="24"/>
          <w:szCs w:val="24"/>
        </w:rPr>
        <w:t>exceptio</w:t>
      </w:r>
      <w:proofErr w:type="spellEnd"/>
      <w:r w:rsidR="0020440E" w:rsidRPr="00036635">
        <w:rPr>
          <w:rFonts w:ascii="Garamond" w:hAnsi="Garamond"/>
          <w:i/>
          <w:sz w:val="24"/>
          <w:szCs w:val="24"/>
        </w:rPr>
        <w:t xml:space="preserve"> </w:t>
      </w:r>
      <w:proofErr w:type="spellStart"/>
      <w:r w:rsidR="00036635" w:rsidRPr="00036635">
        <w:rPr>
          <w:rFonts w:ascii="Garamond" w:hAnsi="Garamond"/>
          <w:i/>
          <w:sz w:val="24"/>
          <w:szCs w:val="24"/>
        </w:rPr>
        <w:t>trignita</w:t>
      </w:r>
      <w:proofErr w:type="spellEnd"/>
      <w:r w:rsidR="0020440E" w:rsidRPr="00036635">
        <w:rPr>
          <w:rFonts w:ascii="Garamond" w:hAnsi="Garamond"/>
          <w:i/>
          <w:sz w:val="24"/>
          <w:szCs w:val="24"/>
        </w:rPr>
        <w:t xml:space="preserve"> vel </w:t>
      </w:r>
      <w:proofErr w:type="spellStart"/>
      <w:r w:rsidR="0020440E" w:rsidRPr="00036635">
        <w:rPr>
          <w:rFonts w:ascii="Garamond" w:hAnsi="Garamond"/>
          <w:i/>
          <w:sz w:val="24"/>
          <w:szCs w:val="24"/>
        </w:rPr>
        <w:t>quadraginta</w:t>
      </w:r>
      <w:proofErr w:type="spellEnd"/>
      <w:r w:rsidR="0020440E" w:rsidRPr="00036635">
        <w:rPr>
          <w:rFonts w:ascii="Garamond" w:hAnsi="Garamond"/>
          <w:i/>
          <w:sz w:val="24"/>
          <w:szCs w:val="24"/>
        </w:rPr>
        <w:t xml:space="preserve"> </w:t>
      </w:r>
      <w:proofErr w:type="spellStart"/>
      <w:r w:rsidR="0020440E" w:rsidRPr="00036635">
        <w:rPr>
          <w:rFonts w:ascii="Garamond" w:hAnsi="Garamond"/>
          <w:i/>
          <w:sz w:val="24"/>
          <w:szCs w:val="24"/>
        </w:rPr>
        <w:t>annorum</w:t>
      </w:r>
      <w:proofErr w:type="spellEnd"/>
      <w:r w:rsidR="0020440E" w:rsidRPr="00DA196C">
        <w:rPr>
          <w:rFonts w:ascii="Garamond" w:hAnsi="Garamond"/>
          <w:sz w:val="24"/>
          <w:szCs w:val="24"/>
        </w:rPr>
        <w:t>.</w:t>
      </w:r>
      <w:r w:rsidR="0020280D" w:rsidRPr="00DA196C">
        <w:rPr>
          <w:rStyle w:val="Znakapoznpodarou"/>
          <w:rFonts w:ascii="Garamond" w:hAnsi="Garamond"/>
          <w:sz w:val="24"/>
          <w:szCs w:val="24"/>
        </w:rPr>
        <w:footnoteReference w:id="78"/>
      </w:r>
    </w:p>
    <w:p w:rsidR="00CF689A" w:rsidRPr="00DA196C" w:rsidRDefault="00EF2C1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Další možnost procesní obrany se nabízela u žalovaného, který tzv. držel za jiného. V případě, že byl při </w:t>
      </w:r>
      <w:proofErr w:type="spellStart"/>
      <w:r w:rsidRPr="00DA196C">
        <w:rPr>
          <w:rFonts w:ascii="Garamond" w:hAnsi="Garamond"/>
          <w:sz w:val="24"/>
          <w:szCs w:val="24"/>
        </w:rPr>
        <w:t>reivindikaci</w:t>
      </w:r>
      <w:proofErr w:type="spellEnd"/>
      <w:r w:rsidRPr="00DA196C">
        <w:rPr>
          <w:rFonts w:ascii="Garamond" w:hAnsi="Garamond"/>
          <w:sz w:val="24"/>
          <w:szCs w:val="24"/>
        </w:rPr>
        <w:t xml:space="preserve"> žalovaným ten, kdo držel za jiného, mohl podle Konstantinovy konstituce tuto osobu na začátku procesu jmenovat (</w:t>
      </w:r>
      <w:proofErr w:type="spellStart"/>
      <w:r w:rsidRPr="00DA196C">
        <w:rPr>
          <w:rFonts w:ascii="Garamond" w:hAnsi="Garamond"/>
          <w:i/>
          <w:sz w:val="24"/>
          <w:szCs w:val="24"/>
        </w:rPr>
        <w:t>laudatio</w:t>
      </w:r>
      <w:proofErr w:type="spellEnd"/>
      <w:r w:rsidRPr="00DA196C">
        <w:rPr>
          <w:rFonts w:ascii="Garamond" w:hAnsi="Garamond"/>
          <w:i/>
          <w:sz w:val="24"/>
          <w:szCs w:val="24"/>
        </w:rPr>
        <w:t xml:space="preserve"> </w:t>
      </w:r>
      <w:proofErr w:type="spellStart"/>
      <w:r w:rsidRPr="00DA196C">
        <w:rPr>
          <w:rFonts w:ascii="Garamond" w:hAnsi="Garamond"/>
          <w:i/>
          <w:sz w:val="24"/>
          <w:szCs w:val="24"/>
        </w:rPr>
        <w:t>auctoris</w:t>
      </w:r>
      <w:proofErr w:type="spellEnd"/>
      <w:r w:rsidRPr="00DA196C">
        <w:rPr>
          <w:rFonts w:ascii="Garamond" w:hAnsi="Garamond"/>
          <w:sz w:val="24"/>
          <w:szCs w:val="24"/>
        </w:rPr>
        <w:t>) a odvrátit tak od sebe proces.</w:t>
      </w:r>
      <w:r w:rsidR="00036635" w:rsidRPr="00DA196C">
        <w:rPr>
          <w:rStyle w:val="Znakapoznpodarou"/>
          <w:rFonts w:ascii="Garamond" w:hAnsi="Garamond"/>
          <w:sz w:val="24"/>
          <w:szCs w:val="24"/>
        </w:rPr>
        <w:footnoteReference w:id="79"/>
      </w:r>
      <w:r w:rsidRPr="00DA196C">
        <w:rPr>
          <w:rFonts w:ascii="Garamond" w:hAnsi="Garamond"/>
          <w:sz w:val="24"/>
          <w:szCs w:val="24"/>
        </w:rPr>
        <w:t xml:space="preserve"> Jestliže tato jmenovaná osoba proces převzala, nastoupila tak namísto onoho </w:t>
      </w:r>
      <w:proofErr w:type="spellStart"/>
      <w:r w:rsidRPr="00DA196C">
        <w:rPr>
          <w:rFonts w:ascii="Garamond" w:hAnsi="Garamond"/>
          <w:sz w:val="24"/>
          <w:szCs w:val="24"/>
        </w:rPr>
        <w:t>detentora</w:t>
      </w:r>
      <w:proofErr w:type="spellEnd"/>
      <w:r w:rsidRPr="00DA196C">
        <w:rPr>
          <w:rFonts w:ascii="Garamond" w:hAnsi="Garamond"/>
          <w:sz w:val="24"/>
          <w:szCs w:val="24"/>
        </w:rPr>
        <w:t xml:space="preserve"> do pozice žalované strany. V opačném případě došlo k tzv. </w:t>
      </w:r>
      <w:proofErr w:type="spellStart"/>
      <w:r w:rsidRPr="00DA196C">
        <w:rPr>
          <w:rFonts w:ascii="Garamond" w:hAnsi="Garamond"/>
          <w:i/>
          <w:sz w:val="24"/>
          <w:szCs w:val="24"/>
        </w:rPr>
        <w:t>translatio</w:t>
      </w:r>
      <w:proofErr w:type="spellEnd"/>
      <w:r w:rsidRPr="00DA196C">
        <w:rPr>
          <w:rFonts w:ascii="Garamond" w:hAnsi="Garamond"/>
          <w:i/>
          <w:sz w:val="24"/>
          <w:szCs w:val="24"/>
        </w:rPr>
        <w:t xml:space="preserve"> </w:t>
      </w:r>
      <w:proofErr w:type="spellStart"/>
      <w:r w:rsidRPr="00DA196C">
        <w:rPr>
          <w:rFonts w:ascii="Garamond" w:hAnsi="Garamond"/>
          <w:i/>
          <w:sz w:val="24"/>
          <w:szCs w:val="24"/>
        </w:rPr>
        <w:t>possessionis</w:t>
      </w:r>
      <w:proofErr w:type="spellEnd"/>
      <w:r w:rsidRPr="00DA196C">
        <w:rPr>
          <w:rFonts w:ascii="Garamond" w:hAnsi="Garamond"/>
          <w:sz w:val="24"/>
          <w:szCs w:val="24"/>
        </w:rPr>
        <w:t>, tedy držba předmětné věci přešla na žalobce.</w:t>
      </w:r>
      <w:r w:rsidRPr="00DA196C">
        <w:rPr>
          <w:rStyle w:val="Znakapoznpodarou"/>
          <w:rFonts w:ascii="Garamond" w:hAnsi="Garamond"/>
          <w:sz w:val="24"/>
          <w:szCs w:val="24"/>
        </w:rPr>
        <w:footnoteReference w:id="80"/>
      </w:r>
    </w:p>
    <w:p w:rsidR="00783672" w:rsidRPr="00DA196C" w:rsidRDefault="00783672" w:rsidP="00FA1FF7">
      <w:pPr>
        <w:pStyle w:val="Nadpis2"/>
        <w:contextualSpacing/>
      </w:pPr>
      <w:bookmarkStart w:id="15" w:name="_Toc36031944"/>
      <w:r w:rsidRPr="00DA196C">
        <w:t>Současná právní úprava pasivní legitimace</w:t>
      </w:r>
      <w:bookmarkEnd w:id="15"/>
    </w:p>
    <w:p w:rsidR="00100A1C" w:rsidRPr="00DA196C" w:rsidRDefault="00100A1C"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Základní odpověď na otázku pasivní legitimace v řízení o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žalobě nám poskytuje ustanovení § 1040 </w:t>
      </w:r>
      <w:r w:rsidR="00422C24" w:rsidRPr="00DA196C">
        <w:rPr>
          <w:rFonts w:ascii="Garamond" w:hAnsi="Garamond"/>
          <w:sz w:val="24"/>
          <w:szCs w:val="24"/>
        </w:rPr>
        <w:t xml:space="preserve">odst. 1 </w:t>
      </w:r>
      <w:r w:rsidRPr="00DA196C">
        <w:rPr>
          <w:rFonts w:ascii="Garamond" w:hAnsi="Garamond"/>
          <w:sz w:val="24"/>
          <w:szCs w:val="24"/>
        </w:rPr>
        <w:t xml:space="preserve">občanského zákoníku, které stanovuje, že žalovaným může být ten, kdo věc neprávem zadržuje. Z toho plyne, že pasivně legitimovaným může být jednak držitel předmětné věci, který má faktickou moc nad věcí a zároveň úmysl nakládat s ní jako s vlastní, ale i pouhý </w:t>
      </w:r>
      <w:proofErr w:type="spellStart"/>
      <w:r w:rsidRPr="00DA196C">
        <w:rPr>
          <w:rFonts w:ascii="Garamond" w:hAnsi="Garamond"/>
          <w:sz w:val="24"/>
          <w:szCs w:val="24"/>
        </w:rPr>
        <w:t>detentor</w:t>
      </w:r>
      <w:proofErr w:type="spellEnd"/>
      <w:r w:rsidRPr="00DA196C">
        <w:rPr>
          <w:rFonts w:ascii="Garamond" w:hAnsi="Garamond"/>
          <w:sz w:val="24"/>
          <w:szCs w:val="24"/>
        </w:rPr>
        <w:t xml:space="preserve">, u kterého úmysl nakládat s věcí jako s vlastní chybí. Z dikce zmíněného ustanovení občanského zákoníku je totiž zjevné, že důležitým a rozhodujícím kritériem pro přiznání pasivní legitimace je právě ona faktická moc nad věcí. </w:t>
      </w:r>
    </w:p>
    <w:p w:rsidR="00100A1C" w:rsidRPr="00DA196C" w:rsidRDefault="00100A1C"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lastRenderedPageBreak/>
        <w:t>Z</w:t>
      </w:r>
      <w:r w:rsidR="0019192A" w:rsidRPr="00DA196C">
        <w:rPr>
          <w:rFonts w:ascii="Garamond" w:hAnsi="Garamond"/>
          <w:sz w:val="24"/>
          <w:szCs w:val="24"/>
        </w:rPr>
        <w:t> judikatury Nejvyššího soudu</w:t>
      </w:r>
      <w:r w:rsidR="0019192A" w:rsidRPr="00DA196C">
        <w:rPr>
          <w:rStyle w:val="Znakapoznpodarou"/>
          <w:rFonts w:ascii="Garamond" w:hAnsi="Garamond"/>
          <w:sz w:val="24"/>
          <w:szCs w:val="24"/>
        </w:rPr>
        <w:footnoteReference w:id="81"/>
      </w:r>
      <w:r w:rsidR="0019192A" w:rsidRPr="00DA196C">
        <w:rPr>
          <w:rFonts w:ascii="Garamond" w:hAnsi="Garamond"/>
          <w:sz w:val="24"/>
          <w:szCs w:val="24"/>
        </w:rPr>
        <w:t xml:space="preserve"> pak vyplývá, že žalovaným může být i držitel věci, který sice nad věcí nemá faktickou moc, ale může věc od </w:t>
      </w:r>
      <w:proofErr w:type="spellStart"/>
      <w:r w:rsidR="0019192A" w:rsidRPr="00DA196C">
        <w:rPr>
          <w:rFonts w:ascii="Garamond" w:hAnsi="Garamond"/>
          <w:sz w:val="24"/>
          <w:szCs w:val="24"/>
        </w:rPr>
        <w:t>detentora</w:t>
      </w:r>
      <w:proofErr w:type="spellEnd"/>
      <w:r w:rsidR="0019192A" w:rsidRPr="00DA196C">
        <w:rPr>
          <w:rFonts w:ascii="Garamond" w:hAnsi="Garamond"/>
          <w:sz w:val="24"/>
          <w:szCs w:val="24"/>
        </w:rPr>
        <w:t xml:space="preserve"> získat a tedy je schopen věc vydat.</w:t>
      </w:r>
    </w:p>
    <w:p w:rsidR="0019192A" w:rsidRPr="00DA196C" w:rsidRDefault="0019192A" w:rsidP="00FA1FF7">
      <w:pPr>
        <w:spacing w:after="0" w:line="360" w:lineRule="auto"/>
        <w:contextualSpacing/>
        <w:jc w:val="both"/>
        <w:rPr>
          <w:rFonts w:ascii="Garamond" w:hAnsi="Garamond"/>
          <w:sz w:val="24"/>
          <w:szCs w:val="24"/>
        </w:rPr>
      </w:pPr>
      <w:r w:rsidRPr="00DA196C">
        <w:rPr>
          <w:rFonts w:ascii="Garamond" w:hAnsi="Garamond"/>
          <w:sz w:val="24"/>
          <w:szCs w:val="24"/>
        </w:rPr>
        <w:t xml:space="preserve">Jestliže </w:t>
      </w:r>
      <w:proofErr w:type="spellStart"/>
      <w:r w:rsidRPr="00DA196C">
        <w:rPr>
          <w:rFonts w:ascii="Garamond" w:hAnsi="Garamond"/>
          <w:sz w:val="24"/>
          <w:szCs w:val="24"/>
        </w:rPr>
        <w:t>detentor</w:t>
      </w:r>
      <w:proofErr w:type="spellEnd"/>
      <w:r w:rsidRPr="00DA196C">
        <w:rPr>
          <w:rFonts w:ascii="Garamond" w:hAnsi="Garamond"/>
          <w:sz w:val="24"/>
          <w:szCs w:val="24"/>
        </w:rPr>
        <w:t xml:space="preserve"> nabyl detenci od vlastníka věci na základě určitého obligačního poměru</w:t>
      </w:r>
      <w:r w:rsidR="0023252F" w:rsidRPr="00DA196C">
        <w:rPr>
          <w:rFonts w:ascii="Garamond" w:hAnsi="Garamond"/>
          <w:sz w:val="24"/>
          <w:szCs w:val="24"/>
        </w:rPr>
        <w:t xml:space="preserve"> a na základě tohoto poměru již není dále k detenci oprávněn, může se žalobce domáhat vydání věci prostřednictvím </w:t>
      </w:r>
      <w:proofErr w:type="spellStart"/>
      <w:r w:rsidR="0023252F" w:rsidRPr="00DA196C">
        <w:rPr>
          <w:rFonts w:ascii="Garamond" w:hAnsi="Garamond"/>
          <w:sz w:val="24"/>
          <w:szCs w:val="24"/>
        </w:rPr>
        <w:t>reivindikační</w:t>
      </w:r>
      <w:proofErr w:type="spellEnd"/>
      <w:r w:rsidR="0023252F" w:rsidRPr="00DA196C">
        <w:rPr>
          <w:rFonts w:ascii="Garamond" w:hAnsi="Garamond"/>
          <w:sz w:val="24"/>
          <w:szCs w:val="24"/>
        </w:rPr>
        <w:t xml:space="preserve"> žaloby na základě ustanovení § 1040</w:t>
      </w:r>
      <w:r w:rsidR="00422C24" w:rsidRPr="00DA196C">
        <w:rPr>
          <w:rFonts w:ascii="Garamond" w:hAnsi="Garamond"/>
          <w:sz w:val="24"/>
          <w:szCs w:val="24"/>
        </w:rPr>
        <w:t xml:space="preserve"> odst. 1</w:t>
      </w:r>
      <w:r w:rsidR="0023252F" w:rsidRPr="00DA196C">
        <w:rPr>
          <w:rFonts w:ascii="Garamond" w:hAnsi="Garamond"/>
          <w:sz w:val="24"/>
          <w:szCs w:val="24"/>
        </w:rPr>
        <w:t xml:space="preserve"> občanského zákoníku, ale může též žalovat na vydání věci z onoho obligačního poměru.</w:t>
      </w:r>
      <w:r w:rsidR="0023252F" w:rsidRPr="00DA196C">
        <w:rPr>
          <w:rStyle w:val="Znakapoznpodarou"/>
          <w:rFonts w:ascii="Garamond" w:hAnsi="Garamond"/>
          <w:sz w:val="24"/>
          <w:szCs w:val="24"/>
        </w:rPr>
        <w:footnoteReference w:id="82"/>
      </w:r>
    </w:p>
    <w:p w:rsidR="00100A1C" w:rsidRPr="00DA196C" w:rsidRDefault="0023252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Stejně jako v římskoprávní úpravě, i co se současné úpravy týče, je třeba zmínit problematiku </w:t>
      </w:r>
      <w:r w:rsidR="00D97090" w:rsidRPr="00DA196C">
        <w:rPr>
          <w:rFonts w:ascii="Garamond" w:hAnsi="Garamond"/>
          <w:sz w:val="24"/>
          <w:szCs w:val="24"/>
        </w:rPr>
        <w:t xml:space="preserve">odpovědnosti za škodu vzniklou na věci a též problematiku </w:t>
      </w:r>
      <w:r w:rsidRPr="00DA196C">
        <w:rPr>
          <w:rFonts w:ascii="Garamond" w:hAnsi="Garamond"/>
          <w:sz w:val="24"/>
          <w:szCs w:val="24"/>
        </w:rPr>
        <w:t xml:space="preserve">fiktivního držitele. </w:t>
      </w:r>
      <w:r w:rsidR="00B45312" w:rsidRPr="00DA196C">
        <w:rPr>
          <w:rFonts w:ascii="Garamond" w:hAnsi="Garamond"/>
          <w:sz w:val="24"/>
          <w:szCs w:val="24"/>
        </w:rPr>
        <w:t xml:space="preserve">Jestliže před zahájením řízení či během řízení dojde ke zcizení, zničení, ztrátě či spotřebování věci, je nepoctivý držitel povinen k náhradě škody podle ustanovení § 1974 občanského zákoníku, který stanoví, že </w:t>
      </w:r>
      <w:r w:rsidR="00B45312" w:rsidRPr="00DA196C">
        <w:rPr>
          <w:rFonts w:ascii="Garamond" w:hAnsi="Garamond"/>
          <w:i/>
          <w:sz w:val="24"/>
          <w:szCs w:val="24"/>
        </w:rPr>
        <w:t xml:space="preserve">„Dlužník nese po dobu svého prodlení nebezpečí škody na věci, ať již škoda vznikla z jakékoli příčiny, ledaže prokáže, že by škoda vznikla i při řádném plnění jeho povinnosti nebo že škodu způsobil věřitel nebo vlastník věci. To platí i tehdy, nakládá-li dlužník s věcí v rozporu s jinými svými povinnostmi ze závazku.“ </w:t>
      </w:r>
      <w:r w:rsidR="00B45312" w:rsidRPr="00DA196C">
        <w:rPr>
          <w:rFonts w:ascii="Garamond" w:hAnsi="Garamond"/>
          <w:sz w:val="24"/>
          <w:szCs w:val="24"/>
        </w:rPr>
        <w:t xml:space="preserve">Nepoctivý držitel je přitom v prodlení po celou dobu své </w:t>
      </w:r>
      <w:r w:rsidR="00741111" w:rsidRPr="00DA196C">
        <w:rPr>
          <w:rFonts w:ascii="Garamond" w:hAnsi="Garamond"/>
          <w:sz w:val="24"/>
          <w:szCs w:val="24"/>
        </w:rPr>
        <w:t xml:space="preserve">nepoctivé </w:t>
      </w:r>
      <w:r w:rsidR="00B45312" w:rsidRPr="00DA196C">
        <w:rPr>
          <w:rFonts w:ascii="Garamond" w:hAnsi="Garamond"/>
          <w:sz w:val="24"/>
          <w:szCs w:val="24"/>
        </w:rPr>
        <w:t xml:space="preserve">držby, jelikož povinnost vydat věc mu vzniká již započetím </w:t>
      </w:r>
      <w:r w:rsidR="00741111" w:rsidRPr="00DA196C">
        <w:rPr>
          <w:rFonts w:ascii="Garamond" w:hAnsi="Garamond"/>
          <w:sz w:val="24"/>
          <w:szCs w:val="24"/>
        </w:rPr>
        <w:t xml:space="preserve">takové </w:t>
      </w:r>
      <w:r w:rsidR="00B45312" w:rsidRPr="00DA196C">
        <w:rPr>
          <w:rFonts w:ascii="Garamond" w:hAnsi="Garamond"/>
          <w:sz w:val="24"/>
          <w:szCs w:val="24"/>
        </w:rPr>
        <w:t>držby. Co se poctivého držitele týče, zcizení, zničení, ztráta či spotřebování věci nezakládá nárok žalobce na náhradu škody. Poctivý držitel se st</w:t>
      </w:r>
      <w:r w:rsidR="00741111" w:rsidRPr="00DA196C">
        <w:rPr>
          <w:rFonts w:ascii="Garamond" w:hAnsi="Garamond"/>
          <w:sz w:val="24"/>
          <w:szCs w:val="24"/>
        </w:rPr>
        <w:t>ane nepoctivým držitelem nejpozději okamžikem doručení žaloby. Jestliže vydání věci není možné, může se žalobce domáhat náhrady škody, v takovém případě už ale podle judikatury Nejvyššího soudu</w:t>
      </w:r>
      <w:r w:rsidR="00741111" w:rsidRPr="00DA196C">
        <w:rPr>
          <w:rStyle w:val="Znakapoznpodarou"/>
          <w:rFonts w:ascii="Garamond" w:hAnsi="Garamond"/>
          <w:sz w:val="24"/>
          <w:szCs w:val="24"/>
        </w:rPr>
        <w:footnoteReference w:id="83"/>
      </w:r>
      <w:r w:rsidR="00741111" w:rsidRPr="00DA196C">
        <w:rPr>
          <w:rFonts w:ascii="Garamond" w:hAnsi="Garamond"/>
          <w:sz w:val="24"/>
          <w:szCs w:val="24"/>
        </w:rPr>
        <w:t xml:space="preserve"> nejde o </w:t>
      </w:r>
      <w:proofErr w:type="spellStart"/>
      <w:r w:rsidR="00741111" w:rsidRPr="00DA196C">
        <w:rPr>
          <w:rFonts w:ascii="Garamond" w:hAnsi="Garamond"/>
          <w:sz w:val="24"/>
          <w:szCs w:val="24"/>
        </w:rPr>
        <w:t>reivindikační</w:t>
      </w:r>
      <w:proofErr w:type="spellEnd"/>
      <w:r w:rsidR="00741111" w:rsidRPr="00DA196C">
        <w:rPr>
          <w:rFonts w:ascii="Garamond" w:hAnsi="Garamond"/>
          <w:sz w:val="24"/>
          <w:szCs w:val="24"/>
        </w:rPr>
        <w:t xml:space="preserve"> žalobu, nýbrž o žalobu na náhradu </w:t>
      </w:r>
      <w:r w:rsidR="00EA24DC" w:rsidRPr="00DA196C">
        <w:rPr>
          <w:rFonts w:ascii="Garamond" w:hAnsi="Garamond"/>
          <w:sz w:val="24"/>
          <w:szCs w:val="24"/>
        </w:rPr>
        <w:t>š</w:t>
      </w:r>
      <w:r w:rsidR="00741111" w:rsidRPr="00DA196C">
        <w:rPr>
          <w:rFonts w:ascii="Garamond" w:hAnsi="Garamond"/>
          <w:sz w:val="24"/>
          <w:szCs w:val="24"/>
        </w:rPr>
        <w:t>kody.</w:t>
      </w:r>
      <w:r w:rsidR="00EA24DC" w:rsidRPr="00DA196C">
        <w:rPr>
          <w:rFonts w:ascii="Garamond" w:hAnsi="Garamond"/>
          <w:sz w:val="24"/>
          <w:szCs w:val="24"/>
        </w:rPr>
        <w:t xml:space="preserve"> Co se předstírané držby </w:t>
      </w:r>
      <w:r w:rsidR="00D97090" w:rsidRPr="00DA196C">
        <w:rPr>
          <w:rFonts w:ascii="Garamond" w:hAnsi="Garamond"/>
          <w:sz w:val="24"/>
          <w:szCs w:val="24"/>
        </w:rPr>
        <w:t xml:space="preserve">a úmyslného zbavení se věci po zahájení sporu </w:t>
      </w:r>
      <w:r w:rsidR="00EA24DC" w:rsidRPr="00DA196C">
        <w:rPr>
          <w:rFonts w:ascii="Garamond" w:hAnsi="Garamond"/>
          <w:sz w:val="24"/>
          <w:szCs w:val="24"/>
        </w:rPr>
        <w:t xml:space="preserve">týče, odpovědnost k náhradě škody by zde bylo možno dovodit z ustanovení § 2909 a </w:t>
      </w:r>
      <w:proofErr w:type="spellStart"/>
      <w:r w:rsidR="00EA24DC" w:rsidRPr="00DA196C">
        <w:rPr>
          <w:rFonts w:ascii="Garamond" w:hAnsi="Garamond"/>
          <w:sz w:val="24"/>
          <w:szCs w:val="24"/>
        </w:rPr>
        <w:t>násl</w:t>
      </w:r>
      <w:proofErr w:type="spellEnd"/>
      <w:r w:rsidR="00EA24DC" w:rsidRPr="00DA196C">
        <w:rPr>
          <w:rFonts w:ascii="Garamond" w:hAnsi="Garamond"/>
          <w:sz w:val="24"/>
          <w:szCs w:val="24"/>
        </w:rPr>
        <w:t>. občanského zákoníku</w:t>
      </w:r>
      <w:r w:rsidR="00D97090" w:rsidRPr="00DA196C">
        <w:rPr>
          <w:rFonts w:ascii="Garamond" w:hAnsi="Garamond"/>
          <w:sz w:val="24"/>
          <w:szCs w:val="24"/>
        </w:rPr>
        <w:t>.</w:t>
      </w:r>
      <w:r w:rsidR="00EA24DC" w:rsidRPr="00DA196C">
        <w:rPr>
          <w:rStyle w:val="Znakapoznpodarou"/>
          <w:rFonts w:ascii="Garamond" w:hAnsi="Garamond"/>
          <w:sz w:val="24"/>
          <w:szCs w:val="24"/>
        </w:rPr>
        <w:footnoteReference w:id="84"/>
      </w:r>
    </w:p>
    <w:p w:rsidR="00D97090" w:rsidRPr="00DA196C" w:rsidRDefault="00D97090"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Ohledně náhra</w:t>
      </w:r>
      <w:r w:rsidR="00813555" w:rsidRPr="00DA196C">
        <w:rPr>
          <w:rFonts w:ascii="Garamond" w:hAnsi="Garamond"/>
          <w:sz w:val="24"/>
          <w:szCs w:val="24"/>
        </w:rPr>
        <w:t xml:space="preserve">dy nákladů vynaložených na věc držitelem je současná právní úprava velmi podobná úpravě římskoprávní. Ustanovení § 997 odst. 1 občanského zákoníku stanovuje, že </w:t>
      </w:r>
      <w:r w:rsidR="00813555" w:rsidRPr="00DA196C">
        <w:rPr>
          <w:rFonts w:ascii="Garamond" w:hAnsi="Garamond"/>
          <w:i/>
          <w:sz w:val="24"/>
          <w:szCs w:val="24"/>
        </w:rPr>
        <w:t>„Poctivému držiteli se hradí nutné náklady, jichž bylo pro trvající zachování podstaty věci potřeba, jakož i náklady vynaložené účelně a zvyšující užitečnost věci nebo její hodnotu. Náhrada náleží do výše přítomné hodnoty, pokud ta nepřevyšuje náklady skutečné.“</w:t>
      </w:r>
      <w:r w:rsidR="00703937" w:rsidRPr="00DA196C">
        <w:rPr>
          <w:rFonts w:ascii="Garamond" w:hAnsi="Garamond"/>
          <w:sz w:val="24"/>
          <w:szCs w:val="24"/>
        </w:rPr>
        <w:t xml:space="preserve"> Náhradu nákladů učiněných nepoctivým držitelem upravuje ustanovení § 1001 občanského zákoníku takto: </w:t>
      </w:r>
      <w:r w:rsidR="00703937" w:rsidRPr="00DA196C">
        <w:rPr>
          <w:rFonts w:ascii="Garamond" w:hAnsi="Garamond"/>
          <w:i/>
          <w:sz w:val="24"/>
          <w:szCs w:val="24"/>
        </w:rPr>
        <w:t>„Vynaloží-li nepoctivý držitel nutné náklady, jichž bylo potřeba pro zachování podstaty věci, náleží mu jejich náhrada. Pokud jde o ostatní náklady, použijí se obdobně ustanovení o nepřikázaném jednateli.“</w:t>
      </w:r>
      <w:r w:rsidR="00703937" w:rsidRPr="00DA196C">
        <w:rPr>
          <w:rFonts w:ascii="Garamond" w:hAnsi="Garamond"/>
          <w:sz w:val="24"/>
          <w:szCs w:val="24"/>
        </w:rPr>
        <w:t xml:space="preserve"> Nepoctivému držiteli tedy nenáleží náhrada všech nutných nákladů, nýbrž pouze takových nutných nákladů, bez kterých by věc zanikla nebo vůbec neplnila svou hospodářskou funkci. Co se všech ostatních nákladů týče, použijí se ustanovení § 3006 a </w:t>
      </w:r>
      <w:proofErr w:type="spellStart"/>
      <w:r w:rsidR="00703937" w:rsidRPr="00DA196C">
        <w:rPr>
          <w:rFonts w:ascii="Garamond" w:hAnsi="Garamond"/>
          <w:sz w:val="24"/>
          <w:szCs w:val="24"/>
        </w:rPr>
        <w:t>násl</w:t>
      </w:r>
      <w:proofErr w:type="spellEnd"/>
      <w:r w:rsidR="00703937" w:rsidRPr="00DA196C">
        <w:rPr>
          <w:rFonts w:ascii="Garamond" w:hAnsi="Garamond"/>
          <w:sz w:val="24"/>
          <w:szCs w:val="24"/>
        </w:rPr>
        <w:t>. občanského zákoníku. Odlišnost od římskoprávní úpravy najdeme</w:t>
      </w:r>
      <w:r w:rsidR="00552203" w:rsidRPr="00DA196C">
        <w:rPr>
          <w:rFonts w:ascii="Garamond" w:hAnsi="Garamond"/>
          <w:sz w:val="24"/>
          <w:szCs w:val="24"/>
        </w:rPr>
        <w:t xml:space="preserve"> u náhrady nákladů </w:t>
      </w:r>
      <w:r w:rsidR="00552203" w:rsidRPr="00DA196C">
        <w:rPr>
          <w:rFonts w:ascii="Garamond" w:hAnsi="Garamond"/>
          <w:sz w:val="24"/>
          <w:szCs w:val="24"/>
        </w:rPr>
        <w:lastRenderedPageBreak/>
        <w:t xml:space="preserve">vynaložených na zkrášlení věci či ze záliby, kdy současná právní úprava určitou, i když omezenou, náhradu za tyto náklady přiznává. Dle ustanovení § 998 občanského zákoníku </w:t>
      </w:r>
      <w:r w:rsidR="00552203" w:rsidRPr="00DA196C">
        <w:rPr>
          <w:rFonts w:ascii="Garamond" w:hAnsi="Garamond"/>
          <w:i/>
          <w:sz w:val="24"/>
          <w:szCs w:val="24"/>
        </w:rPr>
        <w:t>„Z nákladů učiněných poctivým držitelem ze záliby nebo pro okrasu se hradí jen tolik, o kolik se zvýšila obvyklá cena věci; dřívější držitel však může k svému prospěchu odstranit vše, co lze od věci oddělit bez zhoršení její podstaty.“</w:t>
      </w:r>
    </w:p>
    <w:p w:rsidR="0076692C" w:rsidRDefault="002D3A2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obrany žalovaného v dnešním právu proti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žalobě týče, obecně může žalovaný namítat, že žalobce nemá vlastnické právo k předmětné věci, může popírat, že je </w:t>
      </w:r>
      <w:proofErr w:type="spellStart"/>
      <w:r w:rsidRPr="00DA196C">
        <w:rPr>
          <w:rFonts w:ascii="Garamond" w:hAnsi="Garamond"/>
          <w:sz w:val="24"/>
          <w:szCs w:val="24"/>
        </w:rPr>
        <w:t>detentorem</w:t>
      </w:r>
      <w:proofErr w:type="spellEnd"/>
      <w:r w:rsidRPr="00DA196C">
        <w:rPr>
          <w:rFonts w:ascii="Garamond" w:hAnsi="Garamond"/>
          <w:sz w:val="24"/>
          <w:szCs w:val="24"/>
        </w:rPr>
        <w:t xml:space="preserve"> či držitelem předmětné věci, nebo může tvrdit, že </w:t>
      </w:r>
      <w:r w:rsidR="00D92A1B" w:rsidRPr="00DA196C">
        <w:rPr>
          <w:rFonts w:ascii="Garamond" w:hAnsi="Garamond"/>
          <w:sz w:val="24"/>
          <w:szCs w:val="24"/>
        </w:rPr>
        <w:t xml:space="preserve">mít věc u sebe je oprávněn na základě nějakého obligačního či věcného práva, ze zákona či z úředního rozhodnutí. </w:t>
      </w:r>
      <w:r w:rsidR="0076692C">
        <w:rPr>
          <w:rFonts w:ascii="Garamond" w:hAnsi="Garamond"/>
          <w:sz w:val="24"/>
          <w:szCs w:val="24"/>
        </w:rPr>
        <w:t>Zvlá</w:t>
      </w:r>
      <w:r w:rsidR="001F091E" w:rsidRPr="00DA196C">
        <w:rPr>
          <w:rFonts w:ascii="Garamond" w:hAnsi="Garamond"/>
          <w:sz w:val="24"/>
          <w:szCs w:val="24"/>
        </w:rPr>
        <w:t xml:space="preserve">štní pozornost si pak zaslouží obrana žalovaného založená na základě ustanovení § 1040 odst. 2, o kterém byla zmínka v předchozí kapitole. Námitka žalovaného je zde velmi podobná římské </w:t>
      </w:r>
      <w:proofErr w:type="spellStart"/>
      <w:r w:rsidR="001F091E" w:rsidRPr="0076692C">
        <w:rPr>
          <w:rFonts w:ascii="Garamond" w:hAnsi="Garamond"/>
          <w:i/>
          <w:sz w:val="24"/>
          <w:szCs w:val="24"/>
        </w:rPr>
        <w:t>exceptio</w:t>
      </w:r>
      <w:proofErr w:type="spellEnd"/>
      <w:r w:rsidR="001F091E" w:rsidRPr="0076692C">
        <w:rPr>
          <w:rFonts w:ascii="Garamond" w:hAnsi="Garamond"/>
          <w:i/>
          <w:sz w:val="24"/>
          <w:szCs w:val="24"/>
        </w:rPr>
        <w:t xml:space="preserve"> </w:t>
      </w:r>
      <w:proofErr w:type="spellStart"/>
      <w:r w:rsidR="001F091E" w:rsidRPr="0076692C">
        <w:rPr>
          <w:rFonts w:ascii="Garamond" w:hAnsi="Garamond"/>
          <w:i/>
          <w:sz w:val="24"/>
          <w:szCs w:val="24"/>
        </w:rPr>
        <w:t>rei</w:t>
      </w:r>
      <w:proofErr w:type="spellEnd"/>
      <w:r w:rsidR="001F091E" w:rsidRPr="0076692C">
        <w:rPr>
          <w:rFonts w:ascii="Garamond" w:hAnsi="Garamond"/>
          <w:i/>
          <w:sz w:val="24"/>
          <w:szCs w:val="24"/>
        </w:rPr>
        <w:t xml:space="preserve"> </w:t>
      </w:r>
      <w:proofErr w:type="spellStart"/>
      <w:r w:rsidR="001F091E" w:rsidRPr="0076692C">
        <w:rPr>
          <w:rFonts w:ascii="Garamond" w:hAnsi="Garamond"/>
          <w:i/>
          <w:sz w:val="24"/>
          <w:szCs w:val="24"/>
        </w:rPr>
        <w:t>venditae</w:t>
      </w:r>
      <w:proofErr w:type="spellEnd"/>
      <w:r w:rsidR="001F091E" w:rsidRPr="0076692C">
        <w:rPr>
          <w:rFonts w:ascii="Garamond" w:hAnsi="Garamond"/>
          <w:i/>
          <w:sz w:val="24"/>
          <w:szCs w:val="24"/>
        </w:rPr>
        <w:t xml:space="preserve"> </w:t>
      </w:r>
      <w:proofErr w:type="spellStart"/>
      <w:r w:rsidR="001F091E" w:rsidRPr="0076692C">
        <w:rPr>
          <w:rFonts w:ascii="Garamond" w:hAnsi="Garamond"/>
          <w:i/>
          <w:sz w:val="24"/>
          <w:szCs w:val="24"/>
        </w:rPr>
        <w:t>at</w:t>
      </w:r>
      <w:proofErr w:type="spellEnd"/>
      <w:r w:rsidR="001F091E" w:rsidRPr="0076692C">
        <w:rPr>
          <w:rFonts w:ascii="Garamond" w:hAnsi="Garamond"/>
          <w:i/>
          <w:sz w:val="24"/>
          <w:szCs w:val="24"/>
        </w:rPr>
        <w:t xml:space="preserve"> </w:t>
      </w:r>
      <w:proofErr w:type="spellStart"/>
      <w:r w:rsidR="0076692C">
        <w:rPr>
          <w:rFonts w:ascii="Garamond" w:hAnsi="Garamond"/>
          <w:i/>
          <w:sz w:val="24"/>
          <w:szCs w:val="24"/>
        </w:rPr>
        <w:t>traditae</w:t>
      </w:r>
      <w:proofErr w:type="spellEnd"/>
      <w:r w:rsidR="001F091E" w:rsidRPr="00DA196C">
        <w:rPr>
          <w:rFonts w:ascii="Garamond" w:hAnsi="Garamond"/>
          <w:sz w:val="24"/>
          <w:szCs w:val="24"/>
        </w:rPr>
        <w:t>, žalobce při této obraně v podstatě tvrdí, že věc mu byla žalobcem zcizena</w:t>
      </w:r>
      <w:r w:rsidR="00E70A0B" w:rsidRPr="00DA196C">
        <w:rPr>
          <w:rFonts w:ascii="Garamond" w:hAnsi="Garamond"/>
          <w:sz w:val="24"/>
          <w:szCs w:val="24"/>
        </w:rPr>
        <w:t xml:space="preserve"> a že tento nemůže v souladu s ustanovením § 6 odst. 2 občanského zákoníku těžit ze svého protiprávního jednání. </w:t>
      </w:r>
      <w:r w:rsidR="00D92A1B" w:rsidRPr="00DA196C">
        <w:rPr>
          <w:rFonts w:ascii="Garamond" w:hAnsi="Garamond"/>
          <w:sz w:val="24"/>
          <w:szCs w:val="24"/>
        </w:rPr>
        <w:t xml:space="preserve">Svým způsobem je tedy možnost obrany žalovaného z materiálního hlediska velmi podobná </w:t>
      </w:r>
      <w:r w:rsidR="00E70A0B" w:rsidRPr="00DA196C">
        <w:rPr>
          <w:rFonts w:ascii="Garamond" w:hAnsi="Garamond"/>
          <w:sz w:val="24"/>
          <w:szCs w:val="24"/>
        </w:rPr>
        <w:t xml:space="preserve">již </w:t>
      </w:r>
      <w:r w:rsidR="00D92A1B" w:rsidRPr="00DA196C">
        <w:rPr>
          <w:rFonts w:ascii="Garamond" w:hAnsi="Garamond"/>
          <w:sz w:val="24"/>
          <w:szCs w:val="24"/>
        </w:rPr>
        <w:t>výše uvedeným možnostem obrany žalovaného v římském právu pom</w:t>
      </w:r>
      <w:r w:rsidR="00E70A0B" w:rsidRPr="00DA196C">
        <w:rPr>
          <w:rFonts w:ascii="Garamond" w:hAnsi="Garamond"/>
          <w:sz w:val="24"/>
          <w:szCs w:val="24"/>
        </w:rPr>
        <w:t xml:space="preserve">ocí </w:t>
      </w:r>
      <w:proofErr w:type="spellStart"/>
      <w:r w:rsidR="00E70A0B" w:rsidRPr="0076692C">
        <w:rPr>
          <w:rFonts w:ascii="Garamond" w:hAnsi="Garamond"/>
          <w:i/>
          <w:sz w:val="24"/>
          <w:szCs w:val="24"/>
        </w:rPr>
        <w:t>exceptiones</w:t>
      </w:r>
      <w:proofErr w:type="spellEnd"/>
      <w:r w:rsidR="00E70A0B" w:rsidRPr="00DA196C">
        <w:rPr>
          <w:rFonts w:ascii="Garamond" w:hAnsi="Garamond"/>
          <w:sz w:val="24"/>
          <w:szCs w:val="24"/>
        </w:rPr>
        <w:t>, či jim podobných institutů.</w:t>
      </w:r>
    </w:p>
    <w:p w:rsidR="0076692C" w:rsidRDefault="0076692C" w:rsidP="00FA1FF7">
      <w:pPr>
        <w:spacing w:line="360" w:lineRule="auto"/>
        <w:contextualSpacing/>
        <w:jc w:val="both"/>
        <w:rPr>
          <w:rFonts w:ascii="Garamond" w:hAnsi="Garamond"/>
          <w:sz w:val="24"/>
          <w:szCs w:val="24"/>
        </w:rPr>
      </w:pPr>
      <w:r>
        <w:rPr>
          <w:rFonts w:ascii="Garamond" w:hAnsi="Garamond"/>
          <w:sz w:val="24"/>
          <w:szCs w:val="24"/>
        </w:rPr>
        <w:br w:type="page"/>
      </w:r>
    </w:p>
    <w:p w:rsidR="002D3A2A" w:rsidRPr="00DA196C" w:rsidRDefault="002D3A2A" w:rsidP="00FA1FF7">
      <w:pPr>
        <w:spacing w:after="0" w:line="360" w:lineRule="auto"/>
        <w:ind w:firstLine="708"/>
        <w:contextualSpacing/>
        <w:jc w:val="both"/>
        <w:rPr>
          <w:rFonts w:ascii="Garamond" w:hAnsi="Garamond"/>
          <w:sz w:val="24"/>
          <w:szCs w:val="24"/>
        </w:rPr>
      </w:pPr>
    </w:p>
    <w:p w:rsidR="00783672" w:rsidRPr="00DA196C" w:rsidRDefault="00783672" w:rsidP="00FA1FF7">
      <w:pPr>
        <w:pStyle w:val="Nadpis1"/>
        <w:contextualSpacing/>
      </w:pPr>
      <w:bookmarkStart w:id="16" w:name="_Toc36031945"/>
      <w:r w:rsidRPr="00DA196C">
        <w:t>Dokazování</w:t>
      </w:r>
      <w:bookmarkEnd w:id="16"/>
    </w:p>
    <w:p w:rsidR="00783672" w:rsidRPr="00DA196C" w:rsidRDefault="00783672" w:rsidP="00FA1FF7">
      <w:pPr>
        <w:pStyle w:val="Nadpis2"/>
        <w:contextualSpacing/>
      </w:pPr>
      <w:bookmarkStart w:id="17" w:name="_Toc36031946"/>
      <w:r w:rsidRPr="00DA196C">
        <w:t>Důkazní prostředky</w:t>
      </w:r>
      <w:bookmarkEnd w:id="17"/>
    </w:p>
    <w:p w:rsidR="00E04A44" w:rsidRPr="00DA196C" w:rsidRDefault="00F77F5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Stejně jako dnes, bylo i za dob římského práva dokazování stěžejním bodem soudního řízení, neboť právě na základě provedených důkazů a jejich zhodnocení rozhodoval soudce o výsledku sporu. Okruh důkazních prostředků, jež mohly být užity, nebyl v římském právu taxativně vymezen. </w:t>
      </w:r>
      <w:r w:rsidR="00302330" w:rsidRPr="00DA196C">
        <w:rPr>
          <w:rFonts w:ascii="Garamond" w:hAnsi="Garamond"/>
          <w:sz w:val="24"/>
          <w:szCs w:val="24"/>
        </w:rPr>
        <w:t xml:space="preserve">Stejně tak nebylo ani vymezeno, jakých důkazních prostředků mělo být užito </w:t>
      </w:r>
      <w:r w:rsidR="00DC763D" w:rsidRPr="00DA196C">
        <w:rPr>
          <w:rFonts w:ascii="Garamond" w:hAnsi="Garamond"/>
          <w:sz w:val="24"/>
          <w:szCs w:val="24"/>
        </w:rPr>
        <w:t xml:space="preserve">při jednotlivých žalobách nebo k prokázání určitých tvrzení. Byly tedy obecně užívány všechny takové důkazní prostředky, které se v dané situaci jevily jako vhodné a účelné, takové, kterými bylo možno prokázat skutkový stav. Dokazování v řízení o </w:t>
      </w:r>
      <w:proofErr w:type="spellStart"/>
      <w:r w:rsidR="00DC763D" w:rsidRPr="00DA196C">
        <w:rPr>
          <w:rFonts w:ascii="Garamond" w:hAnsi="Garamond"/>
          <w:sz w:val="24"/>
          <w:szCs w:val="24"/>
        </w:rPr>
        <w:t>reivindikační</w:t>
      </w:r>
      <w:proofErr w:type="spellEnd"/>
      <w:r w:rsidR="00DC763D" w:rsidRPr="00DA196C">
        <w:rPr>
          <w:rFonts w:ascii="Garamond" w:hAnsi="Garamond"/>
          <w:sz w:val="24"/>
          <w:szCs w:val="24"/>
        </w:rPr>
        <w:t xml:space="preserve"> žalobě se tak v tomto ohledu od ostatních řízení nikterak nelišilo.</w:t>
      </w:r>
    </w:p>
    <w:p w:rsidR="00A1086D" w:rsidRPr="00DA196C" w:rsidRDefault="00F77F5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 době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a formulového procesu byly užívány především </w:t>
      </w:r>
      <w:r w:rsidR="00B12384" w:rsidRPr="00DA196C">
        <w:rPr>
          <w:rFonts w:ascii="Garamond" w:hAnsi="Garamond"/>
          <w:sz w:val="24"/>
          <w:szCs w:val="24"/>
        </w:rPr>
        <w:t xml:space="preserve">výslech svědků, listiny místní ohledání a přísaha strany. Právní praxe kladla důraz především na užití svědeckých výpovědí, nicméně nebyla řádně upravena svědecká povinnost. Přísaha strany byla jako důkazní prostředek využívána naopak až jako </w:t>
      </w:r>
      <w:proofErr w:type="spellStart"/>
      <w:r w:rsidR="00B12384" w:rsidRPr="0076692C">
        <w:rPr>
          <w:rFonts w:ascii="Garamond" w:hAnsi="Garamond"/>
          <w:i/>
          <w:sz w:val="24"/>
          <w:szCs w:val="24"/>
        </w:rPr>
        <w:t>ultima</w:t>
      </w:r>
      <w:proofErr w:type="spellEnd"/>
      <w:r w:rsidR="00B12384" w:rsidRPr="0076692C">
        <w:rPr>
          <w:rFonts w:ascii="Garamond" w:hAnsi="Garamond"/>
          <w:i/>
          <w:sz w:val="24"/>
          <w:szCs w:val="24"/>
        </w:rPr>
        <w:t xml:space="preserve"> ratio</w:t>
      </w:r>
      <w:r w:rsidR="00B12384" w:rsidRPr="00DA196C">
        <w:rPr>
          <w:rFonts w:ascii="Garamond" w:hAnsi="Garamond"/>
          <w:sz w:val="24"/>
          <w:szCs w:val="24"/>
        </w:rPr>
        <w:t xml:space="preserve"> v případě, že nebylo jiných důkazů a věc stále zůstala sporná.</w:t>
      </w:r>
      <w:r w:rsidR="00A1086D" w:rsidRPr="00DA196C">
        <w:rPr>
          <w:rFonts w:ascii="Garamond" w:hAnsi="Garamond"/>
          <w:sz w:val="24"/>
          <w:szCs w:val="24"/>
        </w:rPr>
        <w:t xml:space="preserve"> Uplatňovala se zásada volného hodnocení důkazů, tedy soudce měl tedy oceňovat důkazy spravedlivě dle vlastního uvážení, na základě svých znalostí a životních zkušeností, a nebyl při tom vázán žádnými zákonnými pravidly.</w:t>
      </w:r>
      <w:r w:rsidR="00A63293" w:rsidRPr="00DA196C">
        <w:rPr>
          <w:rStyle w:val="Znakapoznpodarou"/>
          <w:rFonts w:ascii="Garamond" w:hAnsi="Garamond"/>
          <w:sz w:val="24"/>
          <w:szCs w:val="24"/>
        </w:rPr>
        <w:footnoteReference w:id="85"/>
      </w:r>
    </w:p>
    <w:p w:rsidR="0076008D" w:rsidRPr="00DA196C" w:rsidRDefault="000D566C"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Později docházelo k postupnému omezování</w:t>
      </w:r>
      <w:r w:rsidR="0051509E" w:rsidRPr="00DA196C">
        <w:rPr>
          <w:rFonts w:ascii="Garamond" w:hAnsi="Garamond"/>
          <w:sz w:val="24"/>
          <w:szCs w:val="24"/>
        </w:rPr>
        <w:t xml:space="preserve"> </w:t>
      </w:r>
      <w:r w:rsidRPr="00DA196C">
        <w:rPr>
          <w:rFonts w:ascii="Garamond" w:hAnsi="Garamond"/>
          <w:sz w:val="24"/>
          <w:szCs w:val="24"/>
        </w:rPr>
        <w:t>volnosti, co se provádění důkazů a jejich hodnocení týče</w:t>
      </w:r>
      <w:r w:rsidR="0076008D" w:rsidRPr="00DA196C">
        <w:rPr>
          <w:rFonts w:ascii="Garamond" w:hAnsi="Garamond"/>
          <w:sz w:val="24"/>
          <w:szCs w:val="24"/>
        </w:rPr>
        <w:t>, právní úprava v oblasti dokazování se tak stávala obsáhlejší a konkrétnější</w:t>
      </w:r>
      <w:r w:rsidRPr="00DA196C">
        <w:rPr>
          <w:rFonts w:ascii="Garamond" w:hAnsi="Garamond"/>
          <w:sz w:val="24"/>
          <w:szCs w:val="24"/>
        </w:rPr>
        <w:t xml:space="preserve">. </w:t>
      </w:r>
    </w:p>
    <w:p w:rsidR="00180D64" w:rsidRPr="00DA196C" w:rsidRDefault="00180D64" w:rsidP="00FA1FF7">
      <w:pPr>
        <w:spacing w:after="0" w:line="360" w:lineRule="auto"/>
        <w:contextualSpacing/>
        <w:jc w:val="both"/>
        <w:rPr>
          <w:rFonts w:ascii="Garamond" w:hAnsi="Garamond"/>
          <w:sz w:val="24"/>
          <w:szCs w:val="24"/>
        </w:rPr>
      </w:pPr>
      <w:r w:rsidRPr="00DA196C">
        <w:rPr>
          <w:rFonts w:ascii="Garamond" w:hAnsi="Garamond"/>
          <w:sz w:val="24"/>
          <w:szCs w:val="24"/>
        </w:rPr>
        <w:t xml:space="preserve">Jediná svědecká výpověď, byť svědka vysokého úředního postavení, již nebyla považována za plně dostačující a objevují se tendence vyžadovat svědecké výpovědi více svědků (za Justiniána bylo vyžadováno výpovědi 3 svědků, nebo dokonce 5 svědků v situacích, kdy by byl očekáván spíše písemný důkaz namísto svědecké výpovědi). </w:t>
      </w:r>
      <w:r w:rsidR="0051509E" w:rsidRPr="00DA196C">
        <w:rPr>
          <w:rFonts w:ascii="Garamond" w:hAnsi="Garamond"/>
          <w:sz w:val="24"/>
          <w:szCs w:val="24"/>
        </w:rPr>
        <w:t>Svědkové museli před výpovědí složit přísahu, byla zavedena obecná povinnost svědčit a svědkovi náležela náhrada výloh jemu vzniklých v souvislosti s podáním výpovědi.</w:t>
      </w:r>
      <w:r w:rsidR="00A63293" w:rsidRPr="00DA196C">
        <w:rPr>
          <w:rFonts w:ascii="Garamond" w:hAnsi="Garamond"/>
          <w:sz w:val="24"/>
          <w:szCs w:val="24"/>
        </w:rPr>
        <w:t xml:space="preserve"> Důkazní síla svědeckých výpovědí byla hodnocena na základě různých kritérií, jako je sociální a hospodářské postavení svědka, jeho úřední hodnost, pověst atd.</w:t>
      </w:r>
      <w:r w:rsidR="00A63293" w:rsidRPr="00DA196C">
        <w:rPr>
          <w:rStyle w:val="Znakapoznpodarou"/>
          <w:rFonts w:ascii="Garamond" w:hAnsi="Garamond"/>
          <w:sz w:val="24"/>
          <w:szCs w:val="24"/>
        </w:rPr>
        <w:footnoteReference w:id="86"/>
      </w:r>
      <w:r w:rsidR="0051509E" w:rsidRPr="00DA196C">
        <w:rPr>
          <w:rFonts w:ascii="Garamond" w:hAnsi="Garamond"/>
          <w:sz w:val="24"/>
          <w:szCs w:val="24"/>
        </w:rPr>
        <w:t xml:space="preserve"> </w:t>
      </w:r>
    </w:p>
    <w:p w:rsidR="000D566C" w:rsidRPr="00DA196C" w:rsidRDefault="0051509E"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Čím dál tím více rostl význam důkazu listinného</w:t>
      </w:r>
      <w:r w:rsidR="007E5DBF" w:rsidRPr="00DA196C">
        <w:rPr>
          <w:rFonts w:ascii="Garamond" w:hAnsi="Garamond"/>
          <w:sz w:val="24"/>
          <w:szCs w:val="24"/>
        </w:rPr>
        <w:t>. Veřejné listiny a listiny vyhotovené před notářem měly</w:t>
      </w:r>
      <w:r w:rsidR="00A63293" w:rsidRPr="00DA196C">
        <w:rPr>
          <w:rFonts w:ascii="Garamond" w:hAnsi="Garamond"/>
          <w:sz w:val="24"/>
          <w:szCs w:val="24"/>
        </w:rPr>
        <w:t xml:space="preserve"> bez dalšího</w:t>
      </w:r>
      <w:r w:rsidR="007E5DBF" w:rsidRPr="00DA196C">
        <w:rPr>
          <w:rFonts w:ascii="Garamond" w:hAnsi="Garamond"/>
          <w:sz w:val="24"/>
          <w:szCs w:val="24"/>
        </w:rPr>
        <w:t xml:space="preserve"> plnou důkazní moc. Soukromé listiny musely být navíc potvrzeny výpovědí tří svědků.</w:t>
      </w:r>
    </w:p>
    <w:p w:rsidR="007C64B4" w:rsidRPr="00DA196C" w:rsidRDefault="00783672" w:rsidP="00FA1FF7">
      <w:pPr>
        <w:pStyle w:val="Nadpis2"/>
        <w:contextualSpacing/>
      </w:pPr>
      <w:bookmarkStart w:id="18" w:name="_Toc36031947"/>
      <w:r w:rsidRPr="00DA196C">
        <w:lastRenderedPageBreak/>
        <w:t>Důkazní břemeno</w:t>
      </w:r>
      <w:bookmarkEnd w:id="18"/>
    </w:p>
    <w:p w:rsidR="00206F05" w:rsidRPr="00DA196C" w:rsidRDefault="00206F0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důkazního břemene týče, obecně platila zásada </w:t>
      </w:r>
      <w:r w:rsidR="0076692C">
        <w:rPr>
          <w:rFonts w:ascii="Garamond" w:hAnsi="Garamond"/>
          <w:sz w:val="24"/>
          <w:szCs w:val="24"/>
        </w:rPr>
        <w:t>„</w:t>
      </w:r>
      <w:r w:rsidRPr="00DA196C">
        <w:rPr>
          <w:rFonts w:ascii="Garamond" w:hAnsi="Garamond"/>
          <w:i/>
          <w:sz w:val="24"/>
          <w:szCs w:val="24"/>
        </w:rPr>
        <w:t xml:space="preserve">semper </w:t>
      </w:r>
      <w:proofErr w:type="spellStart"/>
      <w:r w:rsidRPr="00DA196C">
        <w:rPr>
          <w:rFonts w:ascii="Garamond" w:hAnsi="Garamond"/>
          <w:i/>
          <w:sz w:val="24"/>
          <w:szCs w:val="24"/>
        </w:rPr>
        <w:t>necessitas</w:t>
      </w:r>
      <w:proofErr w:type="spellEnd"/>
      <w:r w:rsidRPr="00DA196C">
        <w:rPr>
          <w:rFonts w:ascii="Garamond" w:hAnsi="Garamond"/>
          <w:i/>
          <w:sz w:val="24"/>
          <w:szCs w:val="24"/>
        </w:rPr>
        <w:t xml:space="preserve"> probandi </w:t>
      </w:r>
      <w:proofErr w:type="spellStart"/>
      <w:r w:rsidRPr="00DA196C">
        <w:rPr>
          <w:rFonts w:ascii="Garamond" w:hAnsi="Garamond"/>
          <w:i/>
          <w:sz w:val="24"/>
          <w:szCs w:val="24"/>
        </w:rPr>
        <w:t>incumbit</w:t>
      </w:r>
      <w:proofErr w:type="spellEnd"/>
      <w:r w:rsidRPr="00DA196C">
        <w:rPr>
          <w:rFonts w:ascii="Garamond" w:hAnsi="Garamond"/>
          <w:i/>
          <w:sz w:val="24"/>
          <w:szCs w:val="24"/>
        </w:rPr>
        <w:t xml:space="preserve"> </w:t>
      </w:r>
      <w:proofErr w:type="spellStart"/>
      <w:r w:rsidRPr="00DA196C">
        <w:rPr>
          <w:rFonts w:ascii="Garamond" w:hAnsi="Garamond"/>
          <w:i/>
          <w:sz w:val="24"/>
          <w:szCs w:val="24"/>
        </w:rPr>
        <w:t>illi</w:t>
      </w:r>
      <w:proofErr w:type="spellEnd"/>
      <w:r w:rsidRPr="00DA196C">
        <w:rPr>
          <w:rFonts w:ascii="Garamond" w:hAnsi="Garamond"/>
          <w:i/>
          <w:sz w:val="24"/>
          <w:szCs w:val="24"/>
        </w:rPr>
        <w:t xml:space="preserve"> </w:t>
      </w:r>
      <w:proofErr w:type="spellStart"/>
      <w:r w:rsidRPr="00DA196C">
        <w:rPr>
          <w:rFonts w:ascii="Garamond" w:hAnsi="Garamond"/>
          <w:i/>
          <w:sz w:val="24"/>
          <w:szCs w:val="24"/>
        </w:rPr>
        <w:t>qui</w:t>
      </w:r>
      <w:proofErr w:type="spellEnd"/>
      <w:r w:rsidRPr="00DA196C">
        <w:rPr>
          <w:rFonts w:ascii="Garamond" w:hAnsi="Garamond"/>
          <w:i/>
          <w:sz w:val="24"/>
          <w:szCs w:val="24"/>
        </w:rPr>
        <w:t xml:space="preserve"> </w:t>
      </w:r>
      <w:proofErr w:type="spellStart"/>
      <w:r w:rsidRPr="00DA196C">
        <w:rPr>
          <w:rFonts w:ascii="Garamond" w:hAnsi="Garamond"/>
          <w:i/>
          <w:sz w:val="24"/>
          <w:szCs w:val="24"/>
        </w:rPr>
        <w:t>agit</w:t>
      </w:r>
      <w:proofErr w:type="spellEnd"/>
      <w:r w:rsidR="0076692C">
        <w:rPr>
          <w:rFonts w:ascii="Garamond" w:hAnsi="Garamond"/>
          <w:i/>
          <w:sz w:val="24"/>
          <w:szCs w:val="24"/>
        </w:rPr>
        <w:t>“</w:t>
      </w:r>
      <w:r w:rsidRPr="00DA196C">
        <w:rPr>
          <w:rFonts w:ascii="Garamond" w:hAnsi="Garamond"/>
          <w:i/>
          <w:sz w:val="24"/>
          <w:szCs w:val="24"/>
        </w:rPr>
        <w:t>.</w:t>
      </w:r>
      <w:r w:rsidR="00E76435" w:rsidRPr="00DA196C">
        <w:rPr>
          <w:rStyle w:val="Znakapoznpodarou"/>
          <w:rFonts w:ascii="Garamond" w:hAnsi="Garamond"/>
          <w:sz w:val="24"/>
          <w:szCs w:val="24"/>
        </w:rPr>
        <w:footnoteReference w:id="87"/>
      </w:r>
      <w:r w:rsidR="00E76435" w:rsidRPr="00DA196C">
        <w:rPr>
          <w:rFonts w:ascii="Garamond" w:hAnsi="Garamond"/>
          <w:sz w:val="24"/>
          <w:szCs w:val="24"/>
        </w:rPr>
        <w:t xml:space="preserve"> Dle této zásady potře</w:t>
      </w:r>
      <w:r w:rsidR="00AA371A" w:rsidRPr="00DA196C">
        <w:rPr>
          <w:rFonts w:ascii="Garamond" w:hAnsi="Garamond"/>
          <w:sz w:val="24"/>
          <w:szCs w:val="24"/>
        </w:rPr>
        <w:t>ba prokazovat skutkový stav tíži</w:t>
      </w:r>
      <w:r w:rsidR="00E76435" w:rsidRPr="00DA196C">
        <w:rPr>
          <w:rFonts w:ascii="Garamond" w:hAnsi="Garamond"/>
          <w:sz w:val="24"/>
          <w:szCs w:val="24"/>
        </w:rPr>
        <w:t xml:space="preserve">la toho, kdo žaloval. Tedy břemeno důkazní obecně leželo na žalobci a bylo na něm, aby </w:t>
      </w:r>
      <w:r w:rsidR="00FA7964" w:rsidRPr="00DA196C">
        <w:rPr>
          <w:rFonts w:ascii="Garamond" w:hAnsi="Garamond"/>
          <w:sz w:val="24"/>
          <w:szCs w:val="24"/>
        </w:rPr>
        <w:t xml:space="preserve">pro úspěch ve věci </w:t>
      </w:r>
      <w:r w:rsidR="00E76435" w:rsidRPr="00DA196C">
        <w:rPr>
          <w:rFonts w:ascii="Garamond" w:hAnsi="Garamond"/>
          <w:sz w:val="24"/>
          <w:szCs w:val="24"/>
        </w:rPr>
        <w:t>prokázal skutkový stav, ze kterého odvozoval svůj v žalobě tvrzený nárok, respektive povinnost žalovaného.</w:t>
      </w:r>
      <w:r w:rsidR="007C64B4" w:rsidRPr="00DA196C">
        <w:rPr>
          <w:rFonts w:ascii="Garamond" w:hAnsi="Garamond"/>
          <w:sz w:val="24"/>
          <w:szCs w:val="24"/>
        </w:rPr>
        <w:t xml:space="preserve"> V souvislosti s </w:t>
      </w:r>
      <w:proofErr w:type="spellStart"/>
      <w:r w:rsidR="007C64B4" w:rsidRPr="00DA196C">
        <w:rPr>
          <w:rFonts w:ascii="Garamond" w:hAnsi="Garamond"/>
          <w:sz w:val="24"/>
          <w:szCs w:val="24"/>
        </w:rPr>
        <w:t>legisakčním</w:t>
      </w:r>
      <w:proofErr w:type="spellEnd"/>
      <w:r w:rsidR="007C64B4" w:rsidRPr="00DA196C">
        <w:rPr>
          <w:rFonts w:ascii="Garamond" w:hAnsi="Garamond"/>
          <w:sz w:val="24"/>
          <w:szCs w:val="24"/>
        </w:rPr>
        <w:t xml:space="preserve"> procesem, jak byl popsán v předchozích kapitolách, nutno uvést, že zde při </w:t>
      </w:r>
      <w:proofErr w:type="spellStart"/>
      <w:r w:rsidR="007C64B4" w:rsidRPr="00DA196C">
        <w:rPr>
          <w:rFonts w:ascii="Garamond" w:hAnsi="Garamond"/>
          <w:sz w:val="24"/>
          <w:szCs w:val="24"/>
        </w:rPr>
        <w:t>reivindikační</w:t>
      </w:r>
      <w:proofErr w:type="spellEnd"/>
      <w:r w:rsidR="007C64B4" w:rsidRPr="00DA196C">
        <w:rPr>
          <w:rFonts w:ascii="Garamond" w:hAnsi="Garamond"/>
          <w:sz w:val="24"/>
          <w:szCs w:val="24"/>
        </w:rPr>
        <w:t xml:space="preserve"> žalobě tížilo důkazní břemeno obě strany sporu, jelikož zde docházelo k vindikaci a následné </w:t>
      </w:r>
      <w:proofErr w:type="spellStart"/>
      <w:r w:rsidR="007C64B4" w:rsidRPr="00DA196C">
        <w:rPr>
          <w:rFonts w:ascii="Garamond" w:hAnsi="Garamond"/>
          <w:sz w:val="24"/>
          <w:szCs w:val="24"/>
        </w:rPr>
        <w:t>kontra</w:t>
      </w:r>
      <w:r w:rsidR="00DC763D" w:rsidRPr="00DA196C">
        <w:rPr>
          <w:rFonts w:ascii="Garamond" w:hAnsi="Garamond"/>
          <w:sz w:val="24"/>
          <w:szCs w:val="24"/>
        </w:rPr>
        <w:t>v</w:t>
      </w:r>
      <w:r w:rsidR="007C64B4" w:rsidRPr="00DA196C">
        <w:rPr>
          <w:rFonts w:ascii="Garamond" w:hAnsi="Garamond"/>
          <w:sz w:val="24"/>
          <w:szCs w:val="24"/>
        </w:rPr>
        <w:t>indikaci</w:t>
      </w:r>
      <w:proofErr w:type="spellEnd"/>
      <w:r w:rsidR="007C64B4" w:rsidRPr="00DA196C">
        <w:rPr>
          <w:rFonts w:ascii="Garamond" w:hAnsi="Garamond"/>
          <w:sz w:val="24"/>
          <w:szCs w:val="24"/>
        </w:rPr>
        <w:t xml:space="preserve"> protistranou.</w:t>
      </w:r>
    </w:p>
    <w:p w:rsidR="00E76435" w:rsidRPr="00DA196C" w:rsidRDefault="00DA3D4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K obrácení důkazního břemene docházelo v situaci, kdy žalovaný užil </w:t>
      </w:r>
      <w:r w:rsidR="001E3B46" w:rsidRPr="00DA196C">
        <w:rPr>
          <w:rFonts w:ascii="Garamond" w:hAnsi="Garamond"/>
          <w:sz w:val="24"/>
          <w:szCs w:val="24"/>
        </w:rPr>
        <w:t>excepce</w:t>
      </w:r>
      <w:r w:rsidRPr="00DA196C">
        <w:rPr>
          <w:rFonts w:ascii="Garamond" w:hAnsi="Garamond"/>
          <w:i/>
          <w:sz w:val="24"/>
          <w:szCs w:val="24"/>
        </w:rPr>
        <w:t>.</w:t>
      </w:r>
      <w:r w:rsidRPr="00DA196C">
        <w:rPr>
          <w:rStyle w:val="Znakapoznpodarou"/>
          <w:rFonts w:ascii="Garamond" w:hAnsi="Garamond"/>
          <w:i/>
          <w:sz w:val="24"/>
          <w:szCs w:val="24"/>
        </w:rPr>
        <w:footnoteReference w:id="88"/>
      </w:r>
      <w:r w:rsidRPr="00DA196C">
        <w:rPr>
          <w:rFonts w:ascii="Garamond" w:hAnsi="Garamond"/>
          <w:sz w:val="24"/>
          <w:szCs w:val="24"/>
        </w:rPr>
        <w:t xml:space="preserve"> V takovém případě nastupovala zásada </w:t>
      </w:r>
      <w:r w:rsidR="0076692C">
        <w:rPr>
          <w:rFonts w:ascii="Garamond" w:hAnsi="Garamond"/>
          <w:sz w:val="24"/>
          <w:szCs w:val="24"/>
        </w:rPr>
        <w:t>„</w:t>
      </w:r>
      <w:proofErr w:type="spellStart"/>
      <w:r w:rsidRPr="00DA196C">
        <w:rPr>
          <w:rFonts w:ascii="Garamond" w:hAnsi="Garamond"/>
          <w:i/>
          <w:sz w:val="24"/>
          <w:szCs w:val="24"/>
        </w:rPr>
        <w:t>a</w:t>
      </w:r>
      <w:r w:rsidR="00E76435" w:rsidRPr="00DA196C">
        <w:rPr>
          <w:rFonts w:ascii="Garamond" w:hAnsi="Garamond"/>
          <w:i/>
          <w:sz w:val="24"/>
          <w:szCs w:val="24"/>
        </w:rPr>
        <w:t>gere</w:t>
      </w:r>
      <w:proofErr w:type="spellEnd"/>
      <w:r w:rsidR="00E76435" w:rsidRPr="00DA196C">
        <w:rPr>
          <w:rFonts w:ascii="Garamond" w:hAnsi="Garamond"/>
          <w:i/>
          <w:sz w:val="24"/>
          <w:szCs w:val="24"/>
        </w:rPr>
        <w:t xml:space="preserve"> </w:t>
      </w:r>
      <w:proofErr w:type="spellStart"/>
      <w:r w:rsidR="00E76435" w:rsidRPr="00DA196C">
        <w:rPr>
          <w:rFonts w:ascii="Garamond" w:hAnsi="Garamond"/>
          <w:i/>
          <w:sz w:val="24"/>
          <w:szCs w:val="24"/>
        </w:rPr>
        <w:t>etiam</w:t>
      </w:r>
      <w:proofErr w:type="spellEnd"/>
      <w:r w:rsidR="00E76435" w:rsidRPr="00DA196C">
        <w:rPr>
          <w:rFonts w:ascii="Garamond" w:hAnsi="Garamond"/>
          <w:i/>
          <w:sz w:val="24"/>
          <w:szCs w:val="24"/>
        </w:rPr>
        <w:t xml:space="preserve"> si </w:t>
      </w:r>
      <w:proofErr w:type="spellStart"/>
      <w:r w:rsidR="00E76435" w:rsidRPr="00DA196C">
        <w:rPr>
          <w:rFonts w:ascii="Garamond" w:hAnsi="Garamond"/>
          <w:i/>
          <w:sz w:val="24"/>
          <w:szCs w:val="24"/>
        </w:rPr>
        <w:t>videtur</w:t>
      </w:r>
      <w:proofErr w:type="spellEnd"/>
      <w:r w:rsidR="00E76435" w:rsidRPr="00DA196C">
        <w:rPr>
          <w:rFonts w:ascii="Garamond" w:hAnsi="Garamond"/>
          <w:i/>
          <w:sz w:val="24"/>
          <w:szCs w:val="24"/>
        </w:rPr>
        <w:t xml:space="preserve">, </w:t>
      </w:r>
      <w:proofErr w:type="spellStart"/>
      <w:r w:rsidR="00E76435" w:rsidRPr="00DA196C">
        <w:rPr>
          <w:rFonts w:ascii="Garamond" w:hAnsi="Garamond"/>
          <w:i/>
          <w:sz w:val="24"/>
          <w:szCs w:val="24"/>
        </w:rPr>
        <w:t>qui</w:t>
      </w:r>
      <w:proofErr w:type="spellEnd"/>
      <w:r w:rsidR="00E76435" w:rsidRPr="00DA196C">
        <w:rPr>
          <w:rFonts w:ascii="Garamond" w:hAnsi="Garamond"/>
          <w:i/>
          <w:sz w:val="24"/>
          <w:szCs w:val="24"/>
        </w:rPr>
        <w:t xml:space="preserve"> </w:t>
      </w:r>
      <w:proofErr w:type="spellStart"/>
      <w:r w:rsidR="00E76435" w:rsidRPr="00DA196C">
        <w:rPr>
          <w:rFonts w:ascii="Garamond" w:hAnsi="Garamond"/>
          <w:i/>
          <w:sz w:val="24"/>
          <w:szCs w:val="24"/>
        </w:rPr>
        <w:t>exceptione</w:t>
      </w:r>
      <w:proofErr w:type="spellEnd"/>
      <w:r w:rsidR="00E76435" w:rsidRPr="00DA196C">
        <w:rPr>
          <w:rFonts w:ascii="Garamond" w:hAnsi="Garamond"/>
          <w:i/>
          <w:sz w:val="24"/>
          <w:szCs w:val="24"/>
        </w:rPr>
        <w:t xml:space="preserve"> </w:t>
      </w:r>
      <w:proofErr w:type="spellStart"/>
      <w:r w:rsidR="00E76435" w:rsidRPr="00DA196C">
        <w:rPr>
          <w:rFonts w:ascii="Garamond" w:hAnsi="Garamond"/>
          <w:i/>
          <w:sz w:val="24"/>
          <w:szCs w:val="24"/>
        </w:rPr>
        <w:t>utitur</w:t>
      </w:r>
      <w:proofErr w:type="spellEnd"/>
      <w:r w:rsidR="00E76435" w:rsidRPr="00DA196C">
        <w:rPr>
          <w:rFonts w:ascii="Garamond" w:hAnsi="Garamond"/>
          <w:i/>
          <w:sz w:val="24"/>
          <w:szCs w:val="24"/>
        </w:rPr>
        <w:t xml:space="preserve">: </w:t>
      </w:r>
      <w:proofErr w:type="spellStart"/>
      <w:r w:rsidR="00E76435" w:rsidRPr="00DA196C">
        <w:rPr>
          <w:rFonts w:ascii="Garamond" w:hAnsi="Garamond"/>
          <w:i/>
          <w:sz w:val="24"/>
          <w:szCs w:val="24"/>
        </w:rPr>
        <w:t>nam</w:t>
      </w:r>
      <w:proofErr w:type="spellEnd"/>
      <w:r w:rsidRPr="00DA196C">
        <w:rPr>
          <w:rFonts w:ascii="Garamond" w:hAnsi="Garamond"/>
          <w:i/>
          <w:sz w:val="24"/>
          <w:szCs w:val="24"/>
        </w:rPr>
        <w:t xml:space="preserve"> </w:t>
      </w:r>
      <w:proofErr w:type="spellStart"/>
      <w:r w:rsidRPr="00DA196C">
        <w:rPr>
          <w:rFonts w:ascii="Garamond" w:hAnsi="Garamond"/>
          <w:i/>
          <w:sz w:val="24"/>
          <w:szCs w:val="24"/>
        </w:rPr>
        <w:t>reus</w:t>
      </w:r>
      <w:proofErr w:type="spellEnd"/>
      <w:r w:rsidRPr="00DA196C">
        <w:rPr>
          <w:rFonts w:ascii="Garamond" w:hAnsi="Garamond"/>
          <w:i/>
          <w:sz w:val="24"/>
          <w:szCs w:val="24"/>
        </w:rPr>
        <w:t xml:space="preserve"> in </w:t>
      </w:r>
      <w:proofErr w:type="spellStart"/>
      <w:r w:rsidRPr="00DA196C">
        <w:rPr>
          <w:rFonts w:ascii="Garamond" w:hAnsi="Garamond"/>
          <w:i/>
          <w:sz w:val="24"/>
          <w:szCs w:val="24"/>
        </w:rPr>
        <w:t>exceptione</w:t>
      </w:r>
      <w:proofErr w:type="spellEnd"/>
      <w:r w:rsidRPr="00DA196C">
        <w:rPr>
          <w:rFonts w:ascii="Garamond" w:hAnsi="Garamond"/>
          <w:i/>
          <w:sz w:val="24"/>
          <w:szCs w:val="24"/>
        </w:rPr>
        <w:t xml:space="preserve"> </w:t>
      </w:r>
      <w:proofErr w:type="spellStart"/>
      <w:r w:rsidRPr="00DA196C">
        <w:rPr>
          <w:rFonts w:ascii="Garamond" w:hAnsi="Garamond"/>
          <w:i/>
          <w:sz w:val="24"/>
          <w:szCs w:val="24"/>
        </w:rPr>
        <w:t>actor</w:t>
      </w:r>
      <w:proofErr w:type="spellEnd"/>
      <w:r w:rsidRPr="00DA196C">
        <w:rPr>
          <w:rFonts w:ascii="Garamond" w:hAnsi="Garamond"/>
          <w:i/>
          <w:sz w:val="24"/>
          <w:szCs w:val="24"/>
        </w:rPr>
        <w:t xml:space="preserve"> </w:t>
      </w:r>
      <w:proofErr w:type="spellStart"/>
      <w:r w:rsidRPr="00DA196C">
        <w:rPr>
          <w:rFonts w:ascii="Garamond" w:hAnsi="Garamond"/>
          <w:i/>
          <w:sz w:val="24"/>
          <w:szCs w:val="24"/>
        </w:rPr>
        <w:t>est</w:t>
      </w:r>
      <w:proofErr w:type="spellEnd"/>
      <w:r w:rsidR="0076692C">
        <w:rPr>
          <w:rFonts w:ascii="Garamond" w:hAnsi="Garamond"/>
          <w:i/>
          <w:sz w:val="24"/>
          <w:szCs w:val="24"/>
        </w:rPr>
        <w:t>“</w:t>
      </w:r>
      <w:r w:rsidRPr="00DA196C">
        <w:rPr>
          <w:rFonts w:ascii="Garamond" w:hAnsi="Garamond"/>
          <w:i/>
          <w:sz w:val="24"/>
          <w:szCs w:val="24"/>
        </w:rPr>
        <w:t>.</w:t>
      </w:r>
      <w:r w:rsidR="00ED45EA" w:rsidRPr="00DA196C">
        <w:rPr>
          <w:rStyle w:val="Znakapoznpodarou"/>
          <w:rFonts w:ascii="Garamond" w:hAnsi="Garamond"/>
          <w:i/>
          <w:sz w:val="24"/>
          <w:szCs w:val="24"/>
        </w:rPr>
        <w:footnoteReference w:id="89"/>
      </w:r>
      <w:r w:rsidRPr="00DA196C">
        <w:rPr>
          <w:rFonts w:ascii="Garamond" w:hAnsi="Garamond"/>
          <w:i/>
          <w:sz w:val="24"/>
          <w:szCs w:val="24"/>
        </w:rPr>
        <w:t xml:space="preserve"> </w:t>
      </w:r>
      <w:r w:rsidRPr="00DA196C">
        <w:rPr>
          <w:rFonts w:ascii="Garamond" w:hAnsi="Garamond"/>
          <w:sz w:val="24"/>
          <w:szCs w:val="24"/>
        </w:rPr>
        <w:t xml:space="preserve">To znamenalo, že </w:t>
      </w:r>
      <w:r w:rsidR="00ED45EA" w:rsidRPr="00DA196C">
        <w:rPr>
          <w:rFonts w:ascii="Garamond" w:hAnsi="Garamond"/>
          <w:sz w:val="24"/>
          <w:szCs w:val="24"/>
        </w:rPr>
        <w:t>co se excep</w:t>
      </w:r>
      <w:r w:rsidR="001E3B46" w:rsidRPr="00DA196C">
        <w:rPr>
          <w:rFonts w:ascii="Garamond" w:hAnsi="Garamond"/>
          <w:sz w:val="24"/>
          <w:szCs w:val="24"/>
        </w:rPr>
        <w:t>ce</w:t>
      </w:r>
      <w:r w:rsidR="00ED45EA" w:rsidRPr="00DA196C">
        <w:rPr>
          <w:rFonts w:ascii="Garamond" w:hAnsi="Garamond"/>
          <w:sz w:val="24"/>
          <w:szCs w:val="24"/>
        </w:rPr>
        <w:t xml:space="preserve"> týče, nastupoval žalovaný v podstatě na místo žalobce</w:t>
      </w:r>
      <w:r w:rsidR="00AA371A" w:rsidRPr="00DA196C">
        <w:rPr>
          <w:rFonts w:ascii="Garamond" w:hAnsi="Garamond"/>
          <w:sz w:val="24"/>
          <w:szCs w:val="24"/>
        </w:rPr>
        <w:t xml:space="preserve"> a</w:t>
      </w:r>
      <w:r w:rsidR="00ED45EA" w:rsidRPr="00DA196C">
        <w:rPr>
          <w:rFonts w:ascii="Garamond" w:hAnsi="Garamond"/>
          <w:sz w:val="24"/>
          <w:szCs w:val="24"/>
        </w:rPr>
        <w:t xml:space="preserve"> pro úspěch ve věci </w:t>
      </w:r>
      <w:r w:rsidR="00AA371A" w:rsidRPr="00DA196C">
        <w:rPr>
          <w:rFonts w:ascii="Garamond" w:hAnsi="Garamond"/>
          <w:sz w:val="24"/>
          <w:szCs w:val="24"/>
        </w:rPr>
        <w:t xml:space="preserve">proto </w:t>
      </w:r>
      <w:r w:rsidR="00ED45EA" w:rsidRPr="00DA196C">
        <w:rPr>
          <w:rFonts w:ascii="Garamond" w:hAnsi="Garamond"/>
          <w:sz w:val="24"/>
          <w:szCs w:val="24"/>
        </w:rPr>
        <w:t xml:space="preserve">musel prokázat skutkový stav, na němž zakládal tuto svou procesní výhradu. </w:t>
      </w:r>
    </w:p>
    <w:p w:rsidR="00CC3341" w:rsidRPr="00DA196C" w:rsidRDefault="00FA796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Strany řízení nemusely dokazovat skutečnosti, které nebyly sporné, zejména se jednalo o skutečnosti obecně známé nebo takové skutečnosti, na nichž se strany řízení shodly. U některých skutečností bylo dokazování ulehčeno, jednalo se o tzv. právní domněnky</w:t>
      </w:r>
      <w:r w:rsidR="00B67C47" w:rsidRPr="00DA196C">
        <w:rPr>
          <w:rFonts w:ascii="Garamond" w:hAnsi="Garamond"/>
          <w:sz w:val="24"/>
          <w:szCs w:val="24"/>
        </w:rPr>
        <w:t xml:space="preserve"> (</w:t>
      </w:r>
      <w:proofErr w:type="spellStart"/>
      <w:r w:rsidR="00B67C47" w:rsidRPr="0076692C">
        <w:rPr>
          <w:rFonts w:ascii="Garamond" w:hAnsi="Garamond"/>
          <w:i/>
          <w:sz w:val="24"/>
          <w:szCs w:val="24"/>
        </w:rPr>
        <w:t>praesumptiones</w:t>
      </w:r>
      <w:proofErr w:type="spellEnd"/>
      <w:r w:rsidR="00B67C47" w:rsidRPr="00DA196C">
        <w:rPr>
          <w:rFonts w:ascii="Garamond" w:hAnsi="Garamond"/>
          <w:sz w:val="24"/>
          <w:szCs w:val="24"/>
        </w:rPr>
        <w:t>)</w:t>
      </w:r>
      <w:r w:rsidRPr="00DA196C">
        <w:rPr>
          <w:rFonts w:ascii="Garamond" w:hAnsi="Garamond"/>
          <w:sz w:val="24"/>
          <w:szCs w:val="24"/>
        </w:rPr>
        <w:t xml:space="preserve">. </w:t>
      </w:r>
      <w:r w:rsidR="00B67C47" w:rsidRPr="00DA196C">
        <w:rPr>
          <w:rFonts w:ascii="Garamond" w:hAnsi="Garamond"/>
          <w:sz w:val="24"/>
          <w:szCs w:val="24"/>
        </w:rPr>
        <w:t xml:space="preserve">Původně se jednalo o </w:t>
      </w:r>
      <w:proofErr w:type="spellStart"/>
      <w:r w:rsidR="00B67C47" w:rsidRPr="0076692C">
        <w:rPr>
          <w:rFonts w:ascii="Garamond" w:hAnsi="Garamond"/>
          <w:i/>
          <w:sz w:val="24"/>
          <w:szCs w:val="24"/>
        </w:rPr>
        <w:t>praesumptiones</w:t>
      </w:r>
      <w:proofErr w:type="spellEnd"/>
      <w:r w:rsidR="00B67C47" w:rsidRPr="0076692C">
        <w:rPr>
          <w:rFonts w:ascii="Garamond" w:hAnsi="Garamond"/>
          <w:i/>
          <w:sz w:val="24"/>
          <w:szCs w:val="24"/>
        </w:rPr>
        <w:t xml:space="preserve"> </w:t>
      </w:r>
      <w:proofErr w:type="spellStart"/>
      <w:r w:rsidR="0076692C" w:rsidRPr="0076692C">
        <w:rPr>
          <w:rFonts w:ascii="Garamond" w:hAnsi="Garamond"/>
          <w:i/>
          <w:sz w:val="24"/>
          <w:szCs w:val="24"/>
        </w:rPr>
        <w:t>hominis</w:t>
      </w:r>
      <w:proofErr w:type="spellEnd"/>
      <w:r w:rsidR="00B67C47" w:rsidRPr="00DA196C">
        <w:rPr>
          <w:rFonts w:ascii="Garamond" w:hAnsi="Garamond"/>
          <w:sz w:val="24"/>
          <w:szCs w:val="24"/>
        </w:rPr>
        <w:t xml:space="preserve">, </w:t>
      </w:r>
      <w:r w:rsidR="000A7EF4" w:rsidRPr="00DA196C">
        <w:rPr>
          <w:rFonts w:ascii="Garamond" w:hAnsi="Garamond"/>
          <w:sz w:val="24"/>
          <w:szCs w:val="24"/>
        </w:rPr>
        <w:t xml:space="preserve">tedy na základě logického uvážení bylo z určitého faktu usuzováno na existenci faktu jiného. Později, za dob </w:t>
      </w:r>
      <w:proofErr w:type="spellStart"/>
      <w:r w:rsidR="000A7EF4" w:rsidRPr="00DA196C">
        <w:rPr>
          <w:rFonts w:ascii="Garamond" w:hAnsi="Garamond"/>
          <w:sz w:val="24"/>
          <w:szCs w:val="24"/>
        </w:rPr>
        <w:t>justiniánského</w:t>
      </w:r>
      <w:proofErr w:type="spellEnd"/>
      <w:r w:rsidR="000A7EF4" w:rsidRPr="00DA196C">
        <w:rPr>
          <w:rFonts w:ascii="Garamond" w:hAnsi="Garamond"/>
          <w:sz w:val="24"/>
          <w:szCs w:val="24"/>
        </w:rPr>
        <w:t xml:space="preserve"> práva, se jednalo již o právní domněnky stanovené zákonem, proti nimž buď byl připuštěn protidůkaz (</w:t>
      </w:r>
      <w:proofErr w:type="spellStart"/>
      <w:r w:rsidR="000A7EF4" w:rsidRPr="0076692C">
        <w:rPr>
          <w:rFonts w:ascii="Garamond" w:hAnsi="Garamond"/>
          <w:i/>
          <w:sz w:val="24"/>
          <w:szCs w:val="24"/>
        </w:rPr>
        <w:t>praesumptiones</w:t>
      </w:r>
      <w:proofErr w:type="spellEnd"/>
      <w:r w:rsidR="000A7EF4" w:rsidRPr="0076692C">
        <w:rPr>
          <w:rFonts w:ascii="Garamond" w:hAnsi="Garamond"/>
          <w:i/>
          <w:sz w:val="24"/>
          <w:szCs w:val="24"/>
        </w:rPr>
        <w:t xml:space="preserve"> </w:t>
      </w:r>
      <w:proofErr w:type="spellStart"/>
      <w:r w:rsidR="000A7EF4" w:rsidRPr="0076692C">
        <w:rPr>
          <w:rFonts w:ascii="Garamond" w:hAnsi="Garamond"/>
          <w:i/>
          <w:sz w:val="24"/>
          <w:szCs w:val="24"/>
        </w:rPr>
        <w:t>iuris</w:t>
      </w:r>
      <w:proofErr w:type="spellEnd"/>
      <w:r w:rsidR="000A7EF4" w:rsidRPr="00DA196C">
        <w:rPr>
          <w:rFonts w:ascii="Garamond" w:hAnsi="Garamond"/>
          <w:sz w:val="24"/>
          <w:szCs w:val="24"/>
        </w:rPr>
        <w:t>) nebo nebyl (</w:t>
      </w:r>
      <w:proofErr w:type="spellStart"/>
      <w:r w:rsidR="000A7EF4" w:rsidRPr="0076692C">
        <w:rPr>
          <w:rFonts w:ascii="Garamond" w:hAnsi="Garamond"/>
          <w:i/>
          <w:sz w:val="24"/>
          <w:szCs w:val="24"/>
        </w:rPr>
        <w:t>praesumptiones</w:t>
      </w:r>
      <w:proofErr w:type="spellEnd"/>
      <w:r w:rsidR="000A7EF4" w:rsidRPr="0076692C">
        <w:rPr>
          <w:rFonts w:ascii="Garamond" w:hAnsi="Garamond"/>
          <w:i/>
          <w:sz w:val="24"/>
          <w:szCs w:val="24"/>
        </w:rPr>
        <w:t xml:space="preserve"> </w:t>
      </w:r>
      <w:proofErr w:type="spellStart"/>
      <w:r w:rsidR="000A7EF4" w:rsidRPr="0076692C">
        <w:rPr>
          <w:rFonts w:ascii="Garamond" w:hAnsi="Garamond"/>
          <w:i/>
          <w:sz w:val="24"/>
          <w:szCs w:val="24"/>
        </w:rPr>
        <w:t>iuris</w:t>
      </w:r>
      <w:proofErr w:type="spellEnd"/>
      <w:r w:rsidR="000A7EF4" w:rsidRPr="0076692C">
        <w:rPr>
          <w:rFonts w:ascii="Garamond" w:hAnsi="Garamond"/>
          <w:i/>
          <w:sz w:val="24"/>
          <w:szCs w:val="24"/>
        </w:rPr>
        <w:t xml:space="preserve"> </w:t>
      </w:r>
      <w:proofErr w:type="spellStart"/>
      <w:r w:rsidR="000A7EF4" w:rsidRPr="0076692C">
        <w:rPr>
          <w:rFonts w:ascii="Garamond" w:hAnsi="Garamond"/>
          <w:i/>
          <w:sz w:val="24"/>
          <w:szCs w:val="24"/>
        </w:rPr>
        <w:t>et</w:t>
      </w:r>
      <w:proofErr w:type="spellEnd"/>
      <w:r w:rsidR="000A7EF4" w:rsidRPr="0076692C">
        <w:rPr>
          <w:rFonts w:ascii="Garamond" w:hAnsi="Garamond"/>
          <w:i/>
          <w:sz w:val="24"/>
          <w:szCs w:val="24"/>
        </w:rPr>
        <w:t xml:space="preserve"> de iure</w:t>
      </w:r>
      <w:r w:rsidR="000A7EF4" w:rsidRPr="00DA196C">
        <w:rPr>
          <w:rFonts w:ascii="Garamond" w:hAnsi="Garamond"/>
          <w:sz w:val="24"/>
          <w:szCs w:val="24"/>
        </w:rPr>
        <w:t>).</w:t>
      </w:r>
      <w:r w:rsidR="000A7EF4" w:rsidRPr="00DA196C">
        <w:rPr>
          <w:rStyle w:val="Znakapoznpodarou"/>
          <w:rFonts w:ascii="Garamond" w:hAnsi="Garamond"/>
          <w:sz w:val="24"/>
          <w:szCs w:val="24"/>
        </w:rPr>
        <w:footnoteReference w:id="90"/>
      </w:r>
    </w:p>
    <w:p w:rsidR="003A1389" w:rsidRPr="00DA196C" w:rsidRDefault="003A1389"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Určitá modifikace, co se důkazního břemene týče, se při </w:t>
      </w:r>
      <w:proofErr w:type="spellStart"/>
      <w:r w:rsidRPr="00DA196C">
        <w:rPr>
          <w:rFonts w:ascii="Garamond" w:hAnsi="Garamond"/>
          <w:sz w:val="24"/>
          <w:szCs w:val="24"/>
        </w:rPr>
        <w:t>reivindikaci</w:t>
      </w:r>
      <w:proofErr w:type="spellEnd"/>
      <w:r w:rsidRPr="00DA196C">
        <w:rPr>
          <w:rFonts w:ascii="Garamond" w:hAnsi="Garamond"/>
          <w:sz w:val="24"/>
          <w:szCs w:val="24"/>
        </w:rPr>
        <w:t xml:space="preserve"> vyskytovala v případě </w:t>
      </w:r>
      <w:proofErr w:type="spellStart"/>
      <w:r w:rsidR="00304DFA" w:rsidRPr="00DA196C">
        <w:rPr>
          <w:rFonts w:ascii="Garamond" w:hAnsi="Garamond"/>
          <w:sz w:val="24"/>
          <w:szCs w:val="24"/>
        </w:rPr>
        <w:t>vindikování</w:t>
      </w:r>
      <w:proofErr w:type="spellEnd"/>
      <w:r w:rsidR="00304DFA" w:rsidRPr="00DA196C">
        <w:rPr>
          <w:rFonts w:ascii="Garamond" w:hAnsi="Garamond"/>
          <w:sz w:val="24"/>
          <w:szCs w:val="24"/>
        </w:rPr>
        <w:t xml:space="preserve"> stáda (</w:t>
      </w:r>
      <w:proofErr w:type="spellStart"/>
      <w:r w:rsidRPr="0076692C">
        <w:rPr>
          <w:rFonts w:ascii="Garamond" w:hAnsi="Garamond"/>
          <w:i/>
          <w:sz w:val="24"/>
          <w:szCs w:val="24"/>
        </w:rPr>
        <w:t>vindicatio</w:t>
      </w:r>
      <w:proofErr w:type="spellEnd"/>
      <w:r w:rsidRPr="0076692C">
        <w:rPr>
          <w:rFonts w:ascii="Garamond" w:hAnsi="Garamond"/>
          <w:i/>
          <w:sz w:val="24"/>
          <w:szCs w:val="24"/>
        </w:rPr>
        <w:t xml:space="preserve"> </w:t>
      </w:r>
      <w:proofErr w:type="spellStart"/>
      <w:r w:rsidRPr="0076692C">
        <w:rPr>
          <w:rFonts w:ascii="Garamond" w:hAnsi="Garamond"/>
          <w:i/>
          <w:sz w:val="24"/>
          <w:szCs w:val="24"/>
        </w:rPr>
        <w:t>gregis</w:t>
      </w:r>
      <w:proofErr w:type="spellEnd"/>
      <w:r w:rsidR="00304DFA" w:rsidRPr="00DA196C">
        <w:rPr>
          <w:rFonts w:ascii="Garamond" w:hAnsi="Garamond"/>
          <w:sz w:val="24"/>
          <w:szCs w:val="24"/>
        </w:rPr>
        <w:t>)</w:t>
      </w:r>
      <w:r w:rsidRPr="00DA196C">
        <w:rPr>
          <w:rFonts w:ascii="Garamond" w:hAnsi="Garamond"/>
          <w:sz w:val="24"/>
          <w:szCs w:val="24"/>
        </w:rPr>
        <w:t xml:space="preserve">. Žalobce </w:t>
      </w:r>
      <w:proofErr w:type="spellStart"/>
      <w:r w:rsidRPr="00DA196C">
        <w:rPr>
          <w:rFonts w:ascii="Garamond" w:hAnsi="Garamond"/>
          <w:sz w:val="24"/>
          <w:szCs w:val="24"/>
        </w:rPr>
        <w:t>vindikoval</w:t>
      </w:r>
      <w:proofErr w:type="spellEnd"/>
      <w:r w:rsidRPr="00DA196C">
        <w:rPr>
          <w:rFonts w:ascii="Garamond" w:hAnsi="Garamond"/>
          <w:sz w:val="24"/>
          <w:szCs w:val="24"/>
        </w:rPr>
        <w:t xml:space="preserve"> stádo jako celek, přičemž k unesení důkazního břemene stačilo, aby prokázal své vlastnické právo pouze k většině kusů dobytka tvořících stádo. V takovém př</w:t>
      </w:r>
      <w:r w:rsidR="006915D9" w:rsidRPr="00DA196C">
        <w:rPr>
          <w:rFonts w:ascii="Garamond" w:hAnsi="Garamond"/>
          <w:sz w:val="24"/>
          <w:szCs w:val="24"/>
        </w:rPr>
        <w:t>ípadě musel žalovaný žalobci vydat celé stádo</w:t>
      </w:r>
      <w:r w:rsidR="00316DF2" w:rsidRPr="00DA196C">
        <w:rPr>
          <w:rFonts w:ascii="Garamond" w:hAnsi="Garamond"/>
          <w:sz w:val="24"/>
          <w:szCs w:val="24"/>
        </w:rPr>
        <w:t>.</w:t>
      </w:r>
      <w:r w:rsidRPr="00DA196C">
        <w:rPr>
          <w:rStyle w:val="Znakapoznpodarou"/>
          <w:rFonts w:ascii="Garamond" w:hAnsi="Garamond"/>
          <w:sz w:val="24"/>
          <w:szCs w:val="24"/>
        </w:rPr>
        <w:footnoteReference w:id="91"/>
      </w:r>
      <w:r w:rsidR="00316DF2" w:rsidRPr="00DA196C">
        <w:rPr>
          <w:rFonts w:ascii="Garamond" w:hAnsi="Garamond"/>
          <w:sz w:val="24"/>
          <w:szCs w:val="24"/>
        </w:rPr>
        <w:t xml:space="preserve"> Žalovaný měl možnost vyloučit jednotlivé kusy dobytka tím, že ohledně nich popřel, že žalobce je vlastníkem a dokázal své vlastnictví, případně vlastnictví třetí osoby.</w:t>
      </w:r>
      <w:r w:rsidR="00316DF2" w:rsidRPr="00DA196C">
        <w:rPr>
          <w:rStyle w:val="Znakapoznpodarou"/>
          <w:rFonts w:ascii="Garamond" w:hAnsi="Garamond"/>
          <w:sz w:val="24"/>
          <w:szCs w:val="24"/>
        </w:rPr>
        <w:footnoteReference w:id="92"/>
      </w:r>
      <w:r w:rsidR="003B4E3A" w:rsidRPr="00DA196C">
        <w:rPr>
          <w:rFonts w:ascii="Garamond" w:hAnsi="Garamond"/>
          <w:sz w:val="24"/>
          <w:szCs w:val="24"/>
        </w:rPr>
        <w:t xml:space="preserve"> </w:t>
      </w:r>
      <w:r w:rsidR="0021573D" w:rsidRPr="00DA196C">
        <w:rPr>
          <w:rFonts w:ascii="Garamond" w:hAnsi="Garamond"/>
          <w:sz w:val="24"/>
          <w:szCs w:val="24"/>
        </w:rPr>
        <w:t xml:space="preserve">Zde je k doplnění třeba zmínit fragment z </w:t>
      </w:r>
      <w:proofErr w:type="gramStart"/>
      <w:r w:rsidR="0021573D" w:rsidRPr="00DA196C">
        <w:rPr>
          <w:rFonts w:ascii="Garamond" w:hAnsi="Garamond"/>
          <w:sz w:val="24"/>
          <w:szCs w:val="24"/>
        </w:rPr>
        <w:t>Digest</w:t>
      </w:r>
      <w:proofErr w:type="gramEnd"/>
      <w:r w:rsidR="003B4E3A" w:rsidRPr="00DA196C">
        <w:rPr>
          <w:rFonts w:ascii="Garamond" w:hAnsi="Garamond"/>
          <w:sz w:val="24"/>
          <w:szCs w:val="24"/>
        </w:rPr>
        <w:t xml:space="preserve"> </w:t>
      </w:r>
      <w:r w:rsidR="0021573D" w:rsidRPr="00DA196C">
        <w:rPr>
          <w:rFonts w:ascii="Garamond" w:hAnsi="Garamond"/>
          <w:sz w:val="24"/>
          <w:szCs w:val="24"/>
        </w:rPr>
        <w:t>(</w:t>
      </w:r>
      <w:r w:rsidR="0026291C" w:rsidRPr="00DA196C">
        <w:rPr>
          <w:rFonts w:ascii="Garamond" w:hAnsi="Garamond"/>
          <w:sz w:val="24"/>
          <w:szCs w:val="24"/>
        </w:rPr>
        <w:t>D 6. 1.</w:t>
      </w:r>
      <w:r w:rsidR="003B4E3A" w:rsidRPr="00DA196C">
        <w:rPr>
          <w:rFonts w:ascii="Garamond" w:hAnsi="Garamond"/>
          <w:sz w:val="24"/>
          <w:szCs w:val="24"/>
        </w:rPr>
        <w:t xml:space="preserve"> 2</w:t>
      </w:r>
      <w:r w:rsidR="0026291C" w:rsidRPr="00DA196C">
        <w:rPr>
          <w:rFonts w:ascii="Garamond" w:hAnsi="Garamond"/>
          <w:sz w:val="24"/>
          <w:szCs w:val="24"/>
        </w:rPr>
        <w:t>.</w:t>
      </w:r>
      <w:r w:rsidR="0021573D" w:rsidRPr="00DA196C">
        <w:rPr>
          <w:rFonts w:ascii="Garamond" w:hAnsi="Garamond"/>
          <w:sz w:val="24"/>
          <w:szCs w:val="24"/>
        </w:rPr>
        <w:t>), kdy z textu tohoto fragmentu plyne, že vlastnické právo k nadpoloviční většině kusů stáda neopravňuje vlastníka k vindikaci celého stáda.</w:t>
      </w:r>
      <w:r w:rsidR="0021573D" w:rsidRPr="00DA196C">
        <w:rPr>
          <w:rStyle w:val="Znakapoznpodarou"/>
          <w:rFonts w:ascii="Garamond" w:hAnsi="Garamond"/>
          <w:sz w:val="24"/>
          <w:szCs w:val="24"/>
        </w:rPr>
        <w:footnoteReference w:id="93"/>
      </w:r>
    </w:p>
    <w:p w:rsidR="00783672" w:rsidRPr="00DA196C" w:rsidRDefault="00783672" w:rsidP="00FA1FF7">
      <w:pPr>
        <w:pStyle w:val="Nadpis2"/>
        <w:contextualSpacing/>
      </w:pPr>
      <w:bookmarkStart w:id="19" w:name="_Toc36031948"/>
      <w:r w:rsidRPr="00DA196C">
        <w:lastRenderedPageBreak/>
        <w:t>Současná právní úprava dokazování</w:t>
      </w:r>
      <w:bookmarkEnd w:id="19"/>
    </w:p>
    <w:p w:rsidR="00783672" w:rsidRPr="00DA196C" w:rsidRDefault="00783672"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V současné době nalezneme právní úpravu dokazování v občanském soudním řádu</w:t>
      </w:r>
      <w:r w:rsidRPr="00DA196C">
        <w:rPr>
          <w:rStyle w:val="Znakapoznpodarou"/>
          <w:rFonts w:ascii="Garamond" w:hAnsi="Garamond"/>
          <w:sz w:val="24"/>
        </w:rPr>
        <w:footnoteReference w:id="94"/>
      </w:r>
      <w:r w:rsidRPr="00DA196C">
        <w:rPr>
          <w:rFonts w:ascii="Garamond" w:hAnsi="Garamond"/>
          <w:sz w:val="24"/>
          <w:szCs w:val="24"/>
        </w:rPr>
        <w:t xml:space="preserve"> v ustanoveních § 120 a následujících.</w:t>
      </w:r>
      <w:r w:rsidR="00EF0FF6" w:rsidRPr="00DA196C">
        <w:rPr>
          <w:rFonts w:ascii="Garamond" w:hAnsi="Garamond"/>
          <w:sz w:val="24"/>
          <w:szCs w:val="24"/>
        </w:rPr>
        <w:t xml:space="preserve"> </w:t>
      </w:r>
    </w:p>
    <w:p w:rsidR="00EF0FF6" w:rsidRPr="00DA196C" w:rsidRDefault="00EF0FF6" w:rsidP="00FA1FF7">
      <w:pPr>
        <w:spacing w:after="0" w:line="360" w:lineRule="auto"/>
        <w:contextualSpacing/>
        <w:jc w:val="both"/>
        <w:rPr>
          <w:rFonts w:ascii="Garamond" w:hAnsi="Garamond"/>
          <w:sz w:val="24"/>
          <w:szCs w:val="24"/>
        </w:rPr>
      </w:pPr>
      <w:r w:rsidRPr="00DA196C">
        <w:rPr>
          <w:rFonts w:ascii="Garamond" w:hAnsi="Garamond"/>
          <w:sz w:val="24"/>
          <w:szCs w:val="24"/>
        </w:rPr>
        <w:t xml:space="preserve">Civilní sporné řízení stojí na zásadě projednací, která je vyjádřena zejména v ustanovení § 120 </w:t>
      </w:r>
      <w:r w:rsidR="00184597" w:rsidRPr="00DA196C">
        <w:rPr>
          <w:rFonts w:ascii="Garamond" w:hAnsi="Garamond"/>
          <w:sz w:val="24"/>
          <w:szCs w:val="24"/>
        </w:rPr>
        <w:t xml:space="preserve">odst. 1 </w:t>
      </w:r>
      <w:r w:rsidRPr="00DA196C">
        <w:rPr>
          <w:rFonts w:ascii="Garamond" w:hAnsi="Garamond"/>
          <w:sz w:val="24"/>
          <w:szCs w:val="24"/>
        </w:rPr>
        <w:t xml:space="preserve">občanského soudního řádu. To znamená, že </w:t>
      </w:r>
      <w:r w:rsidR="008E37D1" w:rsidRPr="00DA196C">
        <w:rPr>
          <w:rFonts w:ascii="Garamond" w:hAnsi="Garamond"/>
          <w:sz w:val="24"/>
          <w:szCs w:val="24"/>
        </w:rPr>
        <w:t xml:space="preserve">objasnění skutkového stavu záleží </w:t>
      </w:r>
      <w:r w:rsidR="00F1225D" w:rsidRPr="00DA196C">
        <w:rPr>
          <w:rFonts w:ascii="Garamond" w:hAnsi="Garamond"/>
          <w:sz w:val="24"/>
          <w:szCs w:val="24"/>
        </w:rPr>
        <w:t xml:space="preserve">zásadně </w:t>
      </w:r>
      <w:r w:rsidR="008E37D1" w:rsidRPr="00DA196C">
        <w:rPr>
          <w:rFonts w:ascii="Garamond" w:hAnsi="Garamond"/>
          <w:sz w:val="24"/>
          <w:szCs w:val="24"/>
        </w:rPr>
        <w:t>na stranách sporu, neboť tyto jsou povinn</w:t>
      </w:r>
      <w:r w:rsidR="007E1423" w:rsidRPr="00DA196C">
        <w:rPr>
          <w:rFonts w:ascii="Garamond" w:hAnsi="Garamond"/>
          <w:sz w:val="24"/>
          <w:szCs w:val="24"/>
        </w:rPr>
        <w:t>é</w:t>
      </w:r>
      <w:r w:rsidR="008E37D1" w:rsidRPr="00DA196C">
        <w:rPr>
          <w:rFonts w:ascii="Garamond" w:hAnsi="Garamond"/>
          <w:sz w:val="24"/>
          <w:szCs w:val="24"/>
        </w:rPr>
        <w:t xml:space="preserve"> činit tvrzení a navrhovat důkazy k prokázání těchto svých tvrzení. Soud se pak zabývá právě tvrzeními a důkazními návrhy</w:t>
      </w:r>
      <w:r w:rsidR="00F1225D" w:rsidRPr="00DA196C">
        <w:rPr>
          <w:rFonts w:ascii="Garamond" w:hAnsi="Garamond"/>
          <w:sz w:val="24"/>
          <w:szCs w:val="24"/>
        </w:rPr>
        <w:t>, které strany sporu uplatnily, a</w:t>
      </w:r>
      <w:r w:rsidR="008E37D1" w:rsidRPr="00DA196C">
        <w:rPr>
          <w:rFonts w:ascii="Garamond" w:hAnsi="Garamond"/>
          <w:sz w:val="24"/>
          <w:szCs w:val="24"/>
        </w:rPr>
        <w:t xml:space="preserve"> na základě nich</w:t>
      </w:r>
      <w:r w:rsidR="00F1225D" w:rsidRPr="00DA196C">
        <w:rPr>
          <w:rFonts w:ascii="Garamond" w:hAnsi="Garamond"/>
          <w:sz w:val="24"/>
          <w:szCs w:val="24"/>
        </w:rPr>
        <w:t xml:space="preserve"> následně</w:t>
      </w:r>
      <w:r w:rsidR="008E37D1" w:rsidRPr="00DA196C">
        <w:rPr>
          <w:rFonts w:ascii="Garamond" w:hAnsi="Garamond"/>
          <w:sz w:val="24"/>
          <w:szCs w:val="24"/>
        </w:rPr>
        <w:t xml:space="preserve"> rozhoduje.</w:t>
      </w:r>
      <w:r w:rsidR="00F1225D" w:rsidRPr="00DA196C">
        <w:rPr>
          <w:rFonts w:ascii="Garamond" w:hAnsi="Garamond"/>
          <w:sz w:val="24"/>
          <w:szCs w:val="24"/>
        </w:rPr>
        <w:t xml:space="preserve"> K zjištění skutkového stavu tedy slouží zejména dokazování.</w:t>
      </w:r>
    </w:p>
    <w:p w:rsidR="00F1225D" w:rsidRPr="00DA196C" w:rsidRDefault="00F1225D"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Jak z výše uvedeného plyne, soud není ve sporném řízení odpovědný za zjištění skutkového stavu. I tak má však soud </w:t>
      </w:r>
      <w:r w:rsidR="00184597" w:rsidRPr="00DA196C">
        <w:rPr>
          <w:rFonts w:ascii="Garamond" w:hAnsi="Garamond"/>
          <w:sz w:val="24"/>
          <w:szCs w:val="24"/>
        </w:rPr>
        <w:t>dle ustanovení § 120 odst. 2 občanského soudního řádu možnost provést i jiné než účastníky navržené důkazy. Toto je možné učinit za splnění dvou kumulativních podmínek – takovéto důkazy musí být potřebné ke zjištění skutkového stavu a musí vyplývat ze spisu.</w:t>
      </w:r>
    </w:p>
    <w:p w:rsidR="00190324" w:rsidRPr="00DA196C" w:rsidRDefault="0019032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rozdělení důkazního břemene týče, </w:t>
      </w:r>
      <w:r w:rsidR="002868BD" w:rsidRPr="00DA196C">
        <w:rPr>
          <w:rFonts w:ascii="Garamond" w:hAnsi="Garamond"/>
          <w:i/>
          <w:sz w:val="24"/>
          <w:szCs w:val="24"/>
        </w:rPr>
        <w:t>„při uplatnění nároku na vydání věci je žalobce povinen prokázat okolnosti, od nichž odvozuje vlastnické právo k věci, jakož i skutečnost, že žalovaný nabyl držbu či detenci k jeho věci; naopak žalobce není povinen prokázat, že žalovaný mu věc stále neoprávněně zadržuje. Dojde-li k prokázání nabytí držby či detence žalovaným, leží důkazní břemeno o pozbytí držby na žalovaném.“</w:t>
      </w:r>
      <w:r w:rsidR="002868BD" w:rsidRPr="00DA196C">
        <w:rPr>
          <w:rStyle w:val="Znakapoznpodarou"/>
          <w:rFonts w:ascii="Garamond" w:hAnsi="Garamond"/>
          <w:i/>
          <w:sz w:val="24"/>
          <w:szCs w:val="24"/>
        </w:rPr>
        <w:footnoteReference w:id="95"/>
      </w:r>
      <w:r w:rsidR="00F47D00" w:rsidRPr="00DA196C">
        <w:rPr>
          <w:rFonts w:ascii="Garamond" w:hAnsi="Garamond"/>
          <w:sz w:val="24"/>
          <w:szCs w:val="24"/>
        </w:rPr>
        <w:t xml:space="preserve"> K tomuto je třeba dodat, že nepodaří-li se žalovanému takto prokázat, že jsou dány okolnosti, na základě nichž nabyl vlastnického práva k věci, nemusí to nutně znamenat neúspěch v celém řízení. </w:t>
      </w:r>
      <w:r w:rsidR="00B91034" w:rsidRPr="00DA196C">
        <w:rPr>
          <w:rFonts w:ascii="Garamond" w:hAnsi="Garamond"/>
          <w:sz w:val="24"/>
          <w:szCs w:val="24"/>
        </w:rPr>
        <w:t xml:space="preserve">Jak uvádí komentář k občanskému zákoníku, žalobce </w:t>
      </w:r>
      <w:r w:rsidR="00B91034" w:rsidRPr="00DA196C">
        <w:rPr>
          <w:rFonts w:ascii="Garamond" w:hAnsi="Garamond"/>
          <w:i/>
          <w:sz w:val="24"/>
          <w:szCs w:val="24"/>
        </w:rPr>
        <w:t xml:space="preserve">„může být přesto úspěšný, bude-li podle žalobních tvrzení i výsledku řízení možno uplatněný nárok opřít o § 1043 a </w:t>
      </w:r>
      <w:proofErr w:type="spellStart"/>
      <w:r w:rsidR="00B91034" w:rsidRPr="00DA196C">
        <w:rPr>
          <w:rFonts w:ascii="Garamond" w:hAnsi="Garamond"/>
          <w:i/>
          <w:sz w:val="24"/>
          <w:szCs w:val="24"/>
        </w:rPr>
        <w:t>násl</w:t>
      </w:r>
      <w:proofErr w:type="spellEnd"/>
      <w:r w:rsidR="00B91034" w:rsidRPr="00DA196C">
        <w:rPr>
          <w:rFonts w:ascii="Garamond" w:hAnsi="Garamond"/>
          <w:i/>
          <w:sz w:val="24"/>
          <w:szCs w:val="24"/>
        </w:rPr>
        <w:t>., poskytující ochranu těm, kdo mají právo mít věc u sebe.“</w:t>
      </w:r>
      <w:r w:rsidR="00B91034" w:rsidRPr="00DA196C">
        <w:rPr>
          <w:rStyle w:val="Znakapoznpodarou"/>
          <w:rFonts w:ascii="Garamond" w:hAnsi="Garamond"/>
          <w:sz w:val="24"/>
          <w:szCs w:val="24"/>
        </w:rPr>
        <w:footnoteReference w:id="96"/>
      </w:r>
      <w:r w:rsidR="00F47D00" w:rsidRPr="00DA196C">
        <w:rPr>
          <w:rFonts w:ascii="Garamond" w:hAnsi="Garamond"/>
          <w:sz w:val="24"/>
          <w:szCs w:val="24"/>
        </w:rPr>
        <w:t xml:space="preserve"> </w:t>
      </w:r>
    </w:p>
    <w:p w:rsidR="0076692C" w:rsidRDefault="008E37D1"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důkazních prostředků týče, tak ustanovení § 125 říká, že: </w:t>
      </w:r>
      <w:r w:rsidRPr="00DA196C">
        <w:rPr>
          <w:rFonts w:ascii="Garamond" w:hAnsi="Garamond"/>
          <w:i/>
          <w:sz w:val="24"/>
          <w:szCs w:val="24"/>
        </w:rPr>
        <w:t xml:space="preserve">„Za důkaz mohou sloužit všechny prostředky, jimiž lze zjistit stav </w:t>
      </w:r>
      <w:proofErr w:type="gramStart"/>
      <w:r w:rsidRPr="00DA196C">
        <w:rPr>
          <w:rFonts w:ascii="Garamond" w:hAnsi="Garamond"/>
          <w:i/>
          <w:sz w:val="24"/>
          <w:szCs w:val="24"/>
        </w:rPr>
        <w:t>věci...“</w:t>
      </w:r>
      <w:proofErr w:type="gramEnd"/>
      <w:r w:rsidRPr="00DA196C">
        <w:rPr>
          <w:rFonts w:ascii="Garamond" w:hAnsi="Garamond"/>
          <w:sz w:val="24"/>
          <w:szCs w:val="24"/>
        </w:rPr>
        <w:t xml:space="preserve"> V</w:t>
      </w:r>
      <w:r w:rsidR="00520122" w:rsidRPr="00DA196C">
        <w:rPr>
          <w:rFonts w:ascii="Garamond" w:hAnsi="Garamond"/>
          <w:sz w:val="24"/>
          <w:szCs w:val="24"/>
        </w:rPr>
        <w:t xml:space="preserve"> občanském soudním řádu dále najdeme demonstrativní výčet důkazních prostředků, které jsou užívány nejčastěji, jsou nejběžnější. Těmi jsou dle ustanovení § 125 </w:t>
      </w:r>
      <w:r w:rsidR="00520122" w:rsidRPr="00DA196C">
        <w:rPr>
          <w:rFonts w:ascii="Garamond" w:hAnsi="Garamond"/>
          <w:i/>
          <w:sz w:val="24"/>
          <w:szCs w:val="24"/>
        </w:rPr>
        <w:t>„výslech svědků, znalecký posudek, zprávy a vyjádření orgánů, fyzických a právnických osob, notářské nebo exekutorské zápisy a jiné listiny, ohledání a výslech účastníků“</w:t>
      </w:r>
      <w:r w:rsidR="00520122" w:rsidRPr="00DA196C">
        <w:rPr>
          <w:rFonts w:ascii="Garamond" w:hAnsi="Garamond"/>
          <w:sz w:val="24"/>
          <w:szCs w:val="24"/>
        </w:rPr>
        <w:t>. U těchto důkazů občanský soudní řád rovněž předepisuje způsob, jakým mají být provedeny. U ostatních důkazů, které nejsou součástí demonstarativního výčtu uvedeného v zákoně, stanoví způsob provedení soud.</w:t>
      </w:r>
    </w:p>
    <w:p w:rsidR="008E37D1" w:rsidRPr="00DA196C" w:rsidRDefault="0076692C" w:rsidP="00FA1FF7">
      <w:pPr>
        <w:spacing w:line="360" w:lineRule="auto"/>
        <w:contextualSpacing/>
        <w:jc w:val="both"/>
        <w:rPr>
          <w:rFonts w:ascii="Garamond" w:hAnsi="Garamond"/>
          <w:sz w:val="24"/>
          <w:szCs w:val="24"/>
        </w:rPr>
      </w:pPr>
      <w:r>
        <w:rPr>
          <w:rFonts w:ascii="Garamond" w:hAnsi="Garamond"/>
          <w:sz w:val="24"/>
          <w:szCs w:val="24"/>
        </w:rPr>
        <w:br w:type="page"/>
      </w:r>
    </w:p>
    <w:p w:rsidR="00783672" w:rsidRPr="00DA196C" w:rsidRDefault="00783672" w:rsidP="00FA1FF7">
      <w:pPr>
        <w:pStyle w:val="Nadpis1"/>
        <w:contextualSpacing/>
      </w:pPr>
      <w:bookmarkStart w:id="20" w:name="_Toc36031949"/>
      <w:r w:rsidRPr="00DA196C">
        <w:lastRenderedPageBreak/>
        <w:t>Náklady řízení</w:t>
      </w:r>
      <w:bookmarkEnd w:id="20"/>
    </w:p>
    <w:p w:rsidR="00783672" w:rsidRPr="00DA196C" w:rsidRDefault="00783672" w:rsidP="00FA1FF7">
      <w:pPr>
        <w:pStyle w:val="Nadpis2"/>
        <w:contextualSpacing/>
      </w:pPr>
      <w:bookmarkStart w:id="21" w:name="_Toc36031950"/>
      <w:r w:rsidRPr="00DA196C">
        <w:t>Stanovení výše nákladů řízení</w:t>
      </w:r>
      <w:bookmarkEnd w:id="21"/>
    </w:p>
    <w:p w:rsidR="00983F39" w:rsidRPr="00DA196C" w:rsidRDefault="00983F39" w:rsidP="00FA1FF7">
      <w:pPr>
        <w:pStyle w:val="Nadpis3"/>
        <w:spacing w:line="360" w:lineRule="auto"/>
        <w:contextualSpacing/>
      </w:pPr>
      <w:bookmarkStart w:id="22" w:name="_Toc36031951"/>
      <w:r w:rsidRPr="00DA196C">
        <w:t>Soudní poplatky</w:t>
      </w:r>
      <w:bookmarkEnd w:id="22"/>
    </w:p>
    <w:p w:rsidR="00983F39" w:rsidRPr="00DA196C" w:rsidRDefault="00EB040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Jistou formou soudního poplatku </w:t>
      </w:r>
      <w:r w:rsidR="00080FC3" w:rsidRPr="00DA196C">
        <w:rPr>
          <w:rFonts w:ascii="Garamond" w:hAnsi="Garamond"/>
          <w:sz w:val="24"/>
          <w:szCs w:val="24"/>
        </w:rPr>
        <w:t xml:space="preserve">za dob </w:t>
      </w:r>
      <w:proofErr w:type="spellStart"/>
      <w:r w:rsidR="00080FC3" w:rsidRPr="00DA196C">
        <w:rPr>
          <w:rFonts w:ascii="Garamond" w:hAnsi="Garamond"/>
          <w:sz w:val="24"/>
          <w:szCs w:val="24"/>
        </w:rPr>
        <w:t>legisakčního</w:t>
      </w:r>
      <w:proofErr w:type="spellEnd"/>
      <w:r w:rsidR="00080FC3" w:rsidRPr="00DA196C">
        <w:rPr>
          <w:rFonts w:ascii="Garamond" w:hAnsi="Garamond"/>
          <w:sz w:val="24"/>
          <w:szCs w:val="24"/>
        </w:rPr>
        <w:t xml:space="preserve"> řízení </w:t>
      </w:r>
      <w:r w:rsidRPr="00DA196C">
        <w:rPr>
          <w:rFonts w:ascii="Garamond" w:hAnsi="Garamond"/>
          <w:sz w:val="24"/>
          <w:szCs w:val="24"/>
        </w:rPr>
        <w:t xml:space="preserve">byla tzv. </w:t>
      </w:r>
      <w:proofErr w:type="spellStart"/>
      <w:r w:rsidRPr="0076692C">
        <w:rPr>
          <w:rFonts w:ascii="Garamond" w:hAnsi="Garamond"/>
          <w:i/>
          <w:sz w:val="24"/>
          <w:szCs w:val="24"/>
        </w:rPr>
        <w:t>summa</w:t>
      </w:r>
      <w:proofErr w:type="spellEnd"/>
      <w:r w:rsidRPr="0076692C">
        <w:rPr>
          <w:rFonts w:ascii="Garamond" w:hAnsi="Garamond"/>
          <w:i/>
          <w:sz w:val="24"/>
          <w:szCs w:val="24"/>
        </w:rPr>
        <w:t xml:space="preserve"> </w:t>
      </w:r>
      <w:proofErr w:type="spellStart"/>
      <w:r w:rsidRPr="0076692C">
        <w:rPr>
          <w:rFonts w:ascii="Garamond" w:hAnsi="Garamond"/>
          <w:i/>
          <w:sz w:val="24"/>
          <w:szCs w:val="24"/>
        </w:rPr>
        <w:t>sacramenti</w:t>
      </w:r>
      <w:proofErr w:type="spellEnd"/>
      <w:r w:rsidRPr="00DA196C">
        <w:rPr>
          <w:rFonts w:ascii="Garamond" w:hAnsi="Garamond"/>
          <w:sz w:val="24"/>
          <w:szCs w:val="24"/>
        </w:rPr>
        <w:t>.</w:t>
      </w:r>
      <w:r w:rsidR="007D7CB3" w:rsidRPr="00DA196C">
        <w:rPr>
          <w:rStyle w:val="Znakapoznpodarou"/>
          <w:rFonts w:ascii="Garamond" w:hAnsi="Garamond"/>
          <w:sz w:val="24"/>
          <w:szCs w:val="24"/>
        </w:rPr>
        <w:footnoteReference w:id="97"/>
      </w:r>
      <w:r w:rsidRPr="00DA196C">
        <w:rPr>
          <w:rFonts w:ascii="Garamond" w:hAnsi="Garamond"/>
          <w:sz w:val="24"/>
          <w:szCs w:val="24"/>
        </w:rPr>
        <w:t xml:space="preserve"> </w:t>
      </w:r>
      <w:proofErr w:type="spellStart"/>
      <w:r w:rsidR="004D4466" w:rsidRPr="0076692C">
        <w:rPr>
          <w:rFonts w:ascii="Garamond" w:hAnsi="Garamond"/>
          <w:i/>
          <w:sz w:val="24"/>
          <w:szCs w:val="24"/>
        </w:rPr>
        <w:t>Sacramentum</w:t>
      </w:r>
      <w:proofErr w:type="spellEnd"/>
      <w:r w:rsidR="004D4466" w:rsidRPr="00DA196C">
        <w:rPr>
          <w:rFonts w:ascii="Garamond" w:hAnsi="Garamond"/>
          <w:sz w:val="24"/>
          <w:szCs w:val="24"/>
        </w:rPr>
        <w:t xml:space="preserve"> původně představovalo jakousi přísahu, později očistnou oběť ve formě 5 dobytčat či ovcí, jíž se vykupoval poražený v soudním řízení. Nakonec </w:t>
      </w:r>
      <w:r w:rsidR="00BD44A9" w:rsidRPr="00DA196C">
        <w:rPr>
          <w:rFonts w:ascii="Garamond" w:hAnsi="Garamond"/>
          <w:sz w:val="24"/>
          <w:szCs w:val="24"/>
        </w:rPr>
        <w:t>se</w:t>
      </w:r>
      <w:r w:rsidR="004D4466" w:rsidRPr="00DA196C">
        <w:rPr>
          <w:rFonts w:ascii="Garamond" w:hAnsi="Garamond"/>
          <w:sz w:val="24"/>
          <w:szCs w:val="24"/>
        </w:rPr>
        <w:t xml:space="preserve"> jednalo již jen</w:t>
      </w:r>
      <w:r w:rsidR="00BD44A9" w:rsidRPr="00DA196C">
        <w:rPr>
          <w:rFonts w:ascii="Garamond" w:hAnsi="Garamond"/>
          <w:sz w:val="24"/>
          <w:szCs w:val="24"/>
        </w:rPr>
        <w:t xml:space="preserve"> o </w:t>
      </w:r>
      <w:r w:rsidR="004D4466" w:rsidRPr="00DA196C">
        <w:rPr>
          <w:rFonts w:ascii="Garamond" w:hAnsi="Garamond"/>
          <w:sz w:val="24"/>
          <w:szCs w:val="24"/>
        </w:rPr>
        <w:t xml:space="preserve">peněžitou </w:t>
      </w:r>
      <w:r w:rsidR="007D7CB3" w:rsidRPr="00DA196C">
        <w:rPr>
          <w:rFonts w:ascii="Garamond" w:hAnsi="Garamond"/>
          <w:sz w:val="24"/>
          <w:szCs w:val="24"/>
        </w:rPr>
        <w:t xml:space="preserve">procesní </w:t>
      </w:r>
      <w:r w:rsidR="004D4466" w:rsidRPr="00DA196C">
        <w:rPr>
          <w:rFonts w:ascii="Garamond" w:hAnsi="Garamond"/>
          <w:sz w:val="24"/>
          <w:szCs w:val="24"/>
        </w:rPr>
        <w:t xml:space="preserve">sázku, jež složil žalobce na oprávněnost svého tvrzení a žalovaný naopak na oprávněnost svého popírání. Strana sporu, jejíž sázka byla spravedlivá, spor vyhrála a vsazená částka jí byla vrácena. </w:t>
      </w:r>
      <w:r w:rsidR="007D7CB3" w:rsidRPr="00DA196C">
        <w:rPr>
          <w:rFonts w:ascii="Garamond" w:hAnsi="Garamond"/>
          <w:sz w:val="24"/>
          <w:szCs w:val="24"/>
        </w:rPr>
        <w:t>Částka vsazená poraženou stranou propadla státu.</w:t>
      </w:r>
      <w:r w:rsidR="007D7CB3" w:rsidRPr="00DA196C">
        <w:rPr>
          <w:rStyle w:val="Znakapoznpodarou"/>
          <w:rFonts w:ascii="Garamond" w:hAnsi="Garamond"/>
          <w:sz w:val="24"/>
          <w:szCs w:val="24"/>
        </w:rPr>
        <w:footnoteReference w:id="98"/>
      </w:r>
      <w:r w:rsidR="007D7CB3" w:rsidRPr="00DA196C">
        <w:rPr>
          <w:rFonts w:ascii="Garamond" w:hAnsi="Garamond"/>
          <w:sz w:val="24"/>
          <w:szCs w:val="24"/>
        </w:rPr>
        <w:t xml:space="preserve"> Později se </w:t>
      </w:r>
      <w:proofErr w:type="spellStart"/>
      <w:r w:rsidR="007D7CB3" w:rsidRPr="0076692C">
        <w:rPr>
          <w:rFonts w:ascii="Garamond" w:hAnsi="Garamond"/>
          <w:i/>
          <w:sz w:val="24"/>
          <w:szCs w:val="24"/>
        </w:rPr>
        <w:t>summa</w:t>
      </w:r>
      <w:proofErr w:type="spellEnd"/>
      <w:r w:rsidR="007D7CB3" w:rsidRPr="0076692C">
        <w:rPr>
          <w:rFonts w:ascii="Garamond" w:hAnsi="Garamond"/>
          <w:i/>
          <w:sz w:val="24"/>
          <w:szCs w:val="24"/>
        </w:rPr>
        <w:t xml:space="preserve"> </w:t>
      </w:r>
      <w:proofErr w:type="spellStart"/>
      <w:r w:rsidR="007D7CB3" w:rsidRPr="0076692C">
        <w:rPr>
          <w:rFonts w:ascii="Garamond" w:hAnsi="Garamond"/>
          <w:i/>
          <w:sz w:val="24"/>
          <w:szCs w:val="24"/>
        </w:rPr>
        <w:t>sacramenti</w:t>
      </w:r>
      <w:proofErr w:type="spellEnd"/>
      <w:r w:rsidR="007D7CB3" w:rsidRPr="0076692C">
        <w:rPr>
          <w:rFonts w:ascii="Garamond" w:hAnsi="Garamond"/>
          <w:i/>
          <w:sz w:val="24"/>
          <w:szCs w:val="24"/>
        </w:rPr>
        <w:t xml:space="preserve"> </w:t>
      </w:r>
      <w:r w:rsidR="007D7CB3" w:rsidRPr="00DA196C">
        <w:rPr>
          <w:rFonts w:ascii="Garamond" w:hAnsi="Garamond"/>
          <w:sz w:val="24"/>
          <w:szCs w:val="24"/>
        </w:rPr>
        <w:t xml:space="preserve">neskládala hotově, nýbrž pouze zaručovala rukojmími. </w:t>
      </w:r>
      <w:proofErr w:type="spellStart"/>
      <w:r w:rsidR="007D7CB3" w:rsidRPr="0076692C">
        <w:rPr>
          <w:rFonts w:ascii="Garamond" w:hAnsi="Garamond"/>
          <w:i/>
          <w:sz w:val="24"/>
          <w:szCs w:val="24"/>
        </w:rPr>
        <w:t>Summa</w:t>
      </w:r>
      <w:proofErr w:type="spellEnd"/>
      <w:r w:rsidR="007D7CB3" w:rsidRPr="0076692C">
        <w:rPr>
          <w:rFonts w:ascii="Garamond" w:hAnsi="Garamond"/>
          <w:i/>
          <w:sz w:val="24"/>
          <w:szCs w:val="24"/>
        </w:rPr>
        <w:t xml:space="preserve"> </w:t>
      </w:r>
      <w:proofErr w:type="spellStart"/>
      <w:r w:rsidR="007D7CB3" w:rsidRPr="0076692C">
        <w:rPr>
          <w:rFonts w:ascii="Garamond" w:hAnsi="Garamond"/>
          <w:i/>
          <w:sz w:val="24"/>
          <w:szCs w:val="24"/>
        </w:rPr>
        <w:t>sacramenti</w:t>
      </w:r>
      <w:proofErr w:type="spellEnd"/>
      <w:r w:rsidR="007D7CB3" w:rsidRPr="00DA196C">
        <w:rPr>
          <w:rFonts w:ascii="Garamond" w:hAnsi="Garamond"/>
          <w:sz w:val="24"/>
          <w:szCs w:val="24"/>
        </w:rPr>
        <w:t xml:space="preserve"> činila 500 </w:t>
      </w:r>
      <w:proofErr w:type="spellStart"/>
      <w:r w:rsidR="007D7CB3" w:rsidRPr="00DA196C">
        <w:rPr>
          <w:rFonts w:ascii="Garamond" w:hAnsi="Garamond"/>
          <w:sz w:val="24"/>
          <w:szCs w:val="24"/>
        </w:rPr>
        <w:t>assů</w:t>
      </w:r>
      <w:proofErr w:type="spellEnd"/>
      <w:r w:rsidR="007D7CB3" w:rsidRPr="00DA196C">
        <w:rPr>
          <w:rFonts w:ascii="Garamond" w:hAnsi="Garamond"/>
          <w:sz w:val="24"/>
          <w:szCs w:val="24"/>
        </w:rPr>
        <w:t xml:space="preserve"> ve sporech o hodnotě 1 000 a více </w:t>
      </w:r>
      <w:proofErr w:type="spellStart"/>
      <w:r w:rsidR="007D7CB3" w:rsidRPr="00DA196C">
        <w:rPr>
          <w:rFonts w:ascii="Garamond" w:hAnsi="Garamond"/>
          <w:sz w:val="24"/>
          <w:szCs w:val="24"/>
        </w:rPr>
        <w:t>assů</w:t>
      </w:r>
      <w:proofErr w:type="spellEnd"/>
      <w:r w:rsidR="007D7CB3" w:rsidRPr="00DA196C">
        <w:rPr>
          <w:rFonts w:ascii="Garamond" w:hAnsi="Garamond"/>
          <w:sz w:val="24"/>
          <w:szCs w:val="24"/>
        </w:rPr>
        <w:t xml:space="preserve">, v ostatních případech činila 50 </w:t>
      </w:r>
      <w:proofErr w:type="spellStart"/>
      <w:r w:rsidR="007D7CB3" w:rsidRPr="00DA196C">
        <w:rPr>
          <w:rFonts w:ascii="Garamond" w:hAnsi="Garamond"/>
          <w:sz w:val="24"/>
          <w:szCs w:val="24"/>
        </w:rPr>
        <w:t>assů</w:t>
      </w:r>
      <w:proofErr w:type="spellEnd"/>
      <w:r w:rsidR="007D7CB3" w:rsidRPr="00DA196C">
        <w:rPr>
          <w:rFonts w:ascii="Garamond" w:hAnsi="Garamond"/>
          <w:sz w:val="24"/>
          <w:szCs w:val="24"/>
        </w:rPr>
        <w:t>.</w:t>
      </w:r>
      <w:r w:rsidR="00016A01" w:rsidRPr="00DA196C">
        <w:rPr>
          <w:rStyle w:val="Znakapoznpodarou"/>
          <w:rFonts w:ascii="Garamond" w:hAnsi="Garamond"/>
          <w:sz w:val="24"/>
          <w:szCs w:val="24"/>
        </w:rPr>
        <w:footnoteReference w:id="99"/>
      </w:r>
      <w:r w:rsidR="007A3E0F" w:rsidRPr="00DA196C">
        <w:rPr>
          <w:rFonts w:ascii="Garamond" w:hAnsi="Garamond"/>
          <w:sz w:val="24"/>
          <w:szCs w:val="24"/>
        </w:rPr>
        <w:t xml:space="preserve"> Poplatek byl tedy odvislý od hodnoty předmětu sporu, nikoli od typu žaloby a pro </w:t>
      </w:r>
      <w:proofErr w:type="spellStart"/>
      <w:r w:rsidR="007A3E0F" w:rsidRPr="00DA196C">
        <w:rPr>
          <w:rFonts w:ascii="Garamond" w:hAnsi="Garamond"/>
          <w:sz w:val="24"/>
          <w:szCs w:val="24"/>
        </w:rPr>
        <w:t>reivindikační</w:t>
      </w:r>
      <w:proofErr w:type="spellEnd"/>
      <w:r w:rsidR="007A3E0F" w:rsidRPr="00DA196C">
        <w:rPr>
          <w:rFonts w:ascii="Garamond" w:hAnsi="Garamond"/>
          <w:sz w:val="24"/>
          <w:szCs w:val="24"/>
        </w:rPr>
        <w:t xml:space="preserve"> žaloby tak byl stejný jako pro žaloby ostatní.</w:t>
      </w:r>
    </w:p>
    <w:p w:rsidR="004B578B" w:rsidRPr="00DA196C" w:rsidRDefault="000A7EF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 pozdějších dobách, kolem 4. století, </w:t>
      </w:r>
      <w:r w:rsidR="004B578B" w:rsidRPr="00DA196C">
        <w:rPr>
          <w:rFonts w:ascii="Garamond" w:hAnsi="Garamond"/>
          <w:sz w:val="24"/>
          <w:szCs w:val="24"/>
        </w:rPr>
        <w:t xml:space="preserve">byly poplatky oficiálně stanoveny a zregulovány. Jedním z dochovaných příkladů je obsáhlý soupis poplatků za právní a administrativní úkony, </w:t>
      </w:r>
      <w:r w:rsidR="00917787" w:rsidRPr="00DA196C">
        <w:rPr>
          <w:rFonts w:ascii="Garamond" w:hAnsi="Garamond"/>
          <w:sz w:val="24"/>
          <w:szCs w:val="24"/>
        </w:rPr>
        <w:t xml:space="preserve">vytesaný do vápencové desky a </w:t>
      </w:r>
      <w:r w:rsidR="004B578B" w:rsidRPr="00DA196C">
        <w:rPr>
          <w:rFonts w:ascii="Garamond" w:hAnsi="Garamond"/>
          <w:sz w:val="24"/>
          <w:szCs w:val="24"/>
        </w:rPr>
        <w:t xml:space="preserve">pocházející z poloviny 4. století </w:t>
      </w:r>
      <w:r w:rsidR="00917787" w:rsidRPr="00DA196C">
        <w:rPr>
          <w:rFonts w:ascii="Garamond" w:hAnsi="Garamond"/>
          <w:sz w:val="24"/>
          <w:szCs w:val="24"/>
        </w:rPr>
        <w:t xml:space="preserve">z města </w:t>
      </w:r>
      <w:proofErr w:type="spellStart"/>
      <w:r w:rsidR="00917787" w:rsidRPr="00DA196C">
        <w:rPr>
          <w:rFonts w:ascii="Garamond" w:hAnsi="Garamond"/>
          <w:sz w:val="24"/>
          <w:szCs w:val="24"/>
        </w:rPr>
        <w:t>Timgad</w:t>
      </w:r>
      <w:proofErr w:type="spellEnd"/>
      <w:r w:rsidR="00917787" w:rsidRPr="00DA196C">
        <w:rPr>
          <w:rFonts w:ascii="Garamond" w:hAnsi="Garamond"/>
          <w:sz w:val="24"/>
          <w:szCs w:val="24"/>
        </w:rPr>
        <w:t xml:space="preserve"> (jednalo se o kopii bronzového originálu, který byl vystaven v provinčním hlavním městě </w:t>
      </w:r>
      <w:proofErr w:type="spellStart"/>
      <w:r w:rsidR="00917787" w:rsidRPr="00DA196C">
        <w:rPr>
          <w:rFonts w:ascii="Garamond" w:hAnsi="Garamond"/>
          <w:sz w:val="24"/>
          <w:szCs w:val="24"/>
        </w:rPr>
        <w:t>Cirtě</w:t>
      </w:r>
      <w:proofErr w:type="spellEnd"/>
      <w:r w:rsidR="00917787" w:rsidRPr="00DA196C">
        <w:rPr>
          <w:rFonts w:ascii="Garamond" w:hAnsi="Garamond"/>
          <w:sz w:val="24"/>
          <w:szCs w:val="24"/>
        </w:rPr>
        <w:t xml:space="preserve">). </w:t>
      </w:r>
      <w:r w:rsidR="0076444B" w:rsidRPr="00DA196C">
        <w:rPr>
          <w:rFonts w:ascii="Garamond" w:hAnsi="Garamond"/>
          <w:sz w:val="24"/>
          <w:szCs w:val="24"/>
        </w:rPr>
        <w:t xml:space="preserve">Jako jednotka pro uvedení cen byl použit </w:t>
      </w:r>
      <w:proofErr w:type="spellStart"/>
      <w:r w:rsidR="0076444B" w:rsidRPr="00DA196C">
        <w:rPr>
          <w:rFonts w:ascii="Garamond" w:hAnsi="Garamond"/>
          <w:sz w:val="24"/>
          <w:szCs w:val="24"/>
        </w:rPr>
        <w:t>modius</w:t>
      </w:r>
      <w:proofErr w:type="spellEnd"/>
      <w:r w:rsidR="0076444B" w:rsidRPr="00DA196C">
        <w:rPr>
          <w:rFonts w:ascii="Garamond" w:hAnsi="Garamond"/>
          <w:sz w:val="24"/>
          <w:szCs w:val="24"/>
        </w:rPr>
        <w:t xml:space="preserve">. Jednalo se o dutou míru užívanou zejména pro obilí, kdy jeden </w:t>
      </w:r>
      <w:proofErr w:type="spellStart"/>
      <w:r w:rsidR="0076444B" w:rsidRPr="00DA196C">
        <w:rPr>
          <w:rFonts w:ascii="Garamond" w:hAnsi="Garamond"/>
          <w:sz w:val="24"/>
          <w:szCs w:val="24"/>
        </w:rPr>
        <w:t>modius</w:t>
      </w:r>
      <w:proofErr w:type="spellEnd"/>
      <w:r w:rsidR="0076444B" w:rsidRPr="00DA196C">
        <w:rPr>
          <w:rFonts w:ascii="Garamond" w:hAnsi="Garamond"/>
          <w:sz w:val="24"/>
          <w:szCs w:val="24"/>
        </w:rPr>
        <w:t xml:space="preserve"> odpovídal objemu 8,</w:t>
      </w:r>
      <w:r w:rsidR="008644AC" w:rsidRPr="00DA196C">
        <w:rPr>
          <w:rFonts w:ascii="Garamond" w:hAnsi="Garamond"/>
          <w:sz w:val="24"/>
          <w:szCs w:val="24"/>
        </w:rPr>
        <w:t>7</w:t>
      </w:r>
      <w:r w:rsidR="0076444B" w:rsidRPr="00DA196C">
        <w:rPr>
          <w:rFonts w:ascii="Garamond" w:hAnsi="Garamond"/>
          <w:sz w:val="24"/>
          <w:szCs w:val="24"/>
        </w:rPr>
        <w:t xml:space="preserve"> litru.</w:t>
      </w:r>
      <w:r w:rsidR="0076444B" w:rsidRPr="00DA196C">
        <w:rPr>
          <w:rStyle w:val="Znakapoznpodarou"/>
          <w:rFonts w:ascii="Garamond" w:hAnsi="Garamond"/>
          <w:sz w:val="24"/>
          <w:szCs w:val="24"/>
        </w:rPr>
        <w:footnoteReference w:id="100"/>
      </w:r>
      <w:r w:rsidR="008644AC" w:rsidRPr="00DA196C">
        <w:rPr>
          <w:rFonts w:ascii="Garamond" w:hAnsi="Garamond"/>
          <w:sz w:val="24"/>
          <w:szCs w:val="24"/>
        </w:rPr>
        <w:t xml:space="preserve"> V době, ze které sazebník pochází, a v daném místě se pohybovala cena za 1 </w:t>
      </w:r>
      <w:proofErr w:type="spellStart"/>
      <w:r w:rsidR="008644AC" w:rsidRPr="00DA196C">
        <w:rPr>
          <w:rFonts w:ascii="Garamond" w:hAnsi="Garamond"/>
          <w:sz w:val="24"/>
          <w:szCs w:val="24"/>
        </w:rPr>
        <w:t>modius</w:t>
      </w:r>
      <w:proofErr w:type="spellEnd"/>
      <w:r w:rsidR="008644AC" w:rsidRPr="00DA196C">
        <w:rPr>
          <w:rFonts w:ascii="Garamond" w:hAnsi="Garamond"/>
          <w:sz w:val="24"/>
          <w:szCs w:val="24"/>
        </w:rPr>
        <w:t xml:space="preserve"> obilí zhruba okolo 1/13 až 1/14 solidu.</w:t>
      </w:r>
      <w:r w:rsidR="008644AC" w:rsidRPr="00DA196C">
        <w:rPr>
          <w:rStyle w:val="Znakapoznpodarou"/>
          <w:rFonts w:ascii="Garamond" w:hAnsi="Garamond"/>
          <w:sz w:val="24"/>
          <w:szCs w:val="24"/>
        </w:rPr>
        <w:footnoteReference w:id="101"/>
      </w:r>
      <w:r w:rsidR="008644AC" w:rsidRPr="00DA196C">
        <w:rPr>
          <w:rFonts w:ascii="Garamond" w:hAnsi="Garamond"/>
          <w:sz w:val="24"/>
          <w:szCs w:val="24"/>
        </w:rPr>
        <w:t xml:space="preserve"> </w:t>
      </w:r>
      <w:r w:rsidR="00917787" w:rsidRPr="00DA196C">
        <w:rPr>
          <w:rFonts w:ascii="Garamond" w:hAnsi="Garamond"/>
          <w:sz w:val="24"/>
          <w:szCs w:val="24"/>
        </w:rPr>
        <w:t xml:space="preserve">Dle tohoto sazebníku byl žalobce povinen zaplatit </w:t>
      </w:r>
      <w:r w:rsidR="005E6236" w:rsidRPr="00DA196C">
        <w:rPr>
          <w:rFonts w:ascii="Garamond" w:hAnsi="Garamond"/>
          <w:sz w:val="24"/>
          <w:szCs w:val="24"/>
        </w:rPr>
        <w:t xml:space="preserve">za zahájení procesu </w:t>
      </w:r>
      <w:r w:rsidR="0076692C">
        <w:rPr>
          <w:rFonts w:ascii="Garamond" w:hAnsi="Garamond"/>
          <w:sz w:val="24"/>
          <w:szCs w:val="24"/>
        </w:rPr>
        <w:t xml:space="preserve">5 </w:t>
      </w:r>
      <w:proofErr w:type="spellStart"/>
      <w:r w:rsidR="0076692C">
        <w:rPr>
          <w:rFonts w:ascii="Garamond" w:hAnsi="Garamond"/>
          <w:sz w:val="24"/>
          <w:szCs w:val="24"/>
        </w:rPr>
        <w:t>modiů</w:t>
      </w:r>
      <w:proofErr w:type="spellEnd"/>
      <w:r w:rsidR="00917787" w:rsidRPr="00DA196C">
        <w:rPr>
          <w:rFonts w:ascii="Garamond" w:hAnsi="Garamond"/>
          <w:sz w:val="24"/>
          <w:szCs w:val="24"/>
        </w:rPr>
        <w:t xml:space="preserve"> </w:t>
      </w:r>
      <w:r w:rsidR="00563141" w:rsidRPr="00DA196C">
        <w:rPr>
          <w:rFonts w:ascii="Garamond" w:hAnsi="Garamond"/>
          <w:sz w:val="24"/>
          <w:szCs w:val="24"/>
        </w:rPr>
        <w:t>soudním úředníkům (</w:t>
      </w:r>
      <w:proofErr w:type="spellStart"/>
      <w:r w:rsidR="00917787" w:rsidRPr="00DA196C">
        <w:rPr>
          <w:rFonts w:ascii="Garamond" w:hAnsi="Garamond"/>
          <w:i/>
          <w:sz w:val="24"/>
          <w:szCs w:val="24"/>
        </w:rPr>
        <w:t>exceptores</w:t>
      </w:r>
      <w:proofErr w:type="spellEnd"/>
      <w:r w:rsidR="00563141" w:rsidRPr="00DA196C">
        <w:rPr>
          <w:rFonts w:ascii="Garamond" w:hAnsi="Garamond"/>
          <w:sz w:val="24"/>
          <w:szCs w:val="24"/>
        </w:rPr>
        <w:t>)</w:t>
      </w:r>
      <w:r w:rsidR="00917787" w:rsidRPr="00DA196C">
        <w:rPr>
          <w:rFonts w:ascii="Garamond" w:hAnsi="Garamond"/>
          <w:sz w:val="24"/>
          <w:szCs w:val="24"/>
        </w:rPr>
        <w:t xml:space="preserve"> </w:t>
      </w:r>
      <w:r w:rsidR="005E6236" w:rsidRPr="00DA196C">
        <w:rPr>
          <w:rFonts w:ascii="Garamond" w:hAnsi="Garamond"/>
          <w:sz w:val="24"/>
          <w:szCs w:val="24"/>
        </w:rPr>
        <w:t>a</w:t>
      </w:r>
      <w:r w:rsidR="0076692C">
        <w:rPr>
          <w:rFonts w:ascii="Garamond" w:hAnsi="Garamond"/>
          <w:sz w:val="24"/>
          <w:szCs w:val="24"/>
        </w:rPr>
        <w:t xml:space="preserve"> 5 </w:t>
      </w:r>
      <w:proofErr w:type="spellStart"/>
      <w:r w:rsidR="0076692C">
        <w:rPr>
          <w:rFonts w:ascii="Garamond" w:hAnsi="Garamond"/>
          <w:sz w:val="24"/>
          <w:szCs w:val="24"/>
        </w:rPr>
        <w:t>modiů</w:t>
      </w:r>
      <w:proofErr w:type="spellEnd"/>
      <w:r w:rsidR="00917787" w:rsidRPr="00DA196C">
        <w:rPr>
          <w:rFonts w:ascii="Garamond" w:hAnsi="Garamond"/>
          <w:sz w:val="24"/>
          <w:szCs w:val="24"/>
        </w:rPr>
        <w:t xml:space="preserve"> advokát</w:t>
      </w:r>
      <w:r w:rsidR="005E6236" w:rsidRPr="00DA196C">
        <w:rPr>
          <w:rFonts w:ascii="Garamond" w:hAnsi="Garamond"/>
          <w:sz w:val="24"/>
          <w:szCs w:val="24"/>
        </w:rPr>
        <w:t xml:space="preserve">ovi za přednesení návrhu u soudu. Dále musel zaplatit </w:t>
      </w:r>
      <w:r w:rsidR="0076692C">
        <w:rPr>
          <w:rFonts w:ascii="Garamond" w:hAnsi="Garamond"/>
          <w:sz w:val="24"/>
          <w:szCs w:val="24"/>
        </w:rPr>
        <w:t xml:space="preserve">za předvolání žalovaného 5 </w:t>
      </w:r>
      <w:proofErr w:type="spellStart"/>
      <w:r w:rsidR="0076692C">
        <w:rPr>
          <w:rFonts w:ascii="Garamond" w:hAnsi="Garamond"/>
          <w:sz w:val="24"/>
          <w:szCs w:val="24"/>
        </w:rPr>
        <w:t>modiů</w:t>
      </w:r>
      <w:proofErr w:type="spellEnd"/>
      <w:r w:rsidR="00563141" w:rsidRPr="00DA196C">
        <w:rPr>
          <w:rFonts w:ascii="Garamond" w:hAnsi="Garamond"/>
          <w:sz w:val="24"/>
          <w:szCs w:val="24"/>
        </w:rPr>
        <w:t xml:space="preserve"> představenému daného úřadu</w:t>
      </w:r>
      <w:r w:rsidR="005E6236" w:rsidRPr="00DA196C">
        <w:rPr>
          <w:rFonts w:ascii="Garamond" w:hAnsi="Garamond"/>
          <w:sz w:val="24"/>
          <w:szCs w:val="24"/>
        </w:rPr>
        <w:t xml:space="preserve"> </w:t>
      </w:r>
      <w:r w:rsidR="00563141" w:rsidRPr="00DA196C">
        <w:rPr>
          <w:rFonts w:ascii="Garamond" w:hAnsi="Garamond"/>
          <w:sz w:val="24"/>
          <w:szCs w:val="24"/>
        </w:rPr>
        <w:t>(</w:t>
      </w:r>
      <w:proofErr w:type="spellStart"/>
      <w:r w:rsidR="005E6236" w:rsidRPr="00DA196C">
        <w:rPr>
          <w:rFonts w:ascii="Garamond" w:hAnsi="Garamond"/>
          <w:i/>
          <w:sz w:val="24"/>
          <w:szCs w:val="24"/>
        </w:rPr>
        <w:t>princeps</w:t>
      </w:r>
      <w:proofErr w:type="spellEnd"/>
      <w:r w:rsidR="005E6236" w:rsidRPr="00DA196C">
        <w:rPr>
          <w:rFonts w:ascii="Garamond" w:hAnsi="Garamond"/>
          <w:i/>
          <w:sz w:val="24"/>
          <w:szCs w:val="24"/>
        </w:rPr>
        <w:t xml:space="preserve"> </w:t>
      </w:r>
      <w:proofErr w:type="spellStart"/>
      <w:r w:rsidR="005E6236" w:rsidRPr="00DA196C">
        <w:rPr>
          <w:rFonts w:ascii="Garamond" w:hAnsi="Garamond"/>
          <w:i/>
          <w:sz w:val="24"/>
          <w:szCs w:val="24"/>
        </w:rPr>
        <w:t>officii</w:t>
      </w:r>
      <w:proofErr w:type="spellEnd"/>
      <w:r w:rsidR="00563141" w:rsidRPr="00DA196C">
        <w:rPr>
          <w:rFonts w:ascii="Garamond" w:hAnsi="Garamond"/>
          <w:sz w:val="24"/>
          <w:szCs w:val="24"/>
        </w:rPr>
        <w:t>)</w:t>
      </w:r>
      <w:r w:rsidR="00563141" w:rsidRPr="00DA196C">
        <w:rPr>
          <w:rStyle w:val="Znakapoznpodarou"/>
          <w:rFonts w:ascii="Garamond" w:hAnsi="Garamond"/>
          <w:sz w:val="24"/>
          <w:szCs w:val="24"/>
        </w:rPr>
        <w:footnoteReference w:id="102"/>
      </w:r>
      <w:r w:rsidR="0076692C">
        <w:rPr>
          <w:rFonts w:ascii="Garamond" w:hAnsi="Garamond"/>
          <w:sz w:val="24"/>
          <w:szCs w:val="24"/>
        </w:rPr>
        <w:t xml:space="preserve"> a 2,5 </w:t>
      </w:r>
      <w:proofErr w:type="spellStart"/>
      <w:r w:rsidR="0076692C">
        <w:rPr>
          <w:rFonts w:ascii="Garamond" w:hAnsi="Garamond"/>
          <w:sz w:val="24"/>
          <w:szCs w:val="24"/>
        </w:rPr>
        <w:t>modie</w:t>
      </w:r>
      <w:proofErr w:type="spellEnd"/>
      <w:r w:rsidR="005E6236" w:rsidRPr="00DA196C">
        <w:rPr>
          <w:rFonts w:ascii="Garamond" w:hAnsi="Garamond"/>
          <w:sz w:val="24"/>
          <w:szCs w:val="24"/>
        </w:rPr>
        <w:t xml:space="preserve"> </w:t>
      </w:r>
      <w:r w:rsidR="005C0F44" w:rsidRPr="00DA196C">
        <w:rPr>
          <w:rFonts w:ascii="Garamond" w:hAnsi="Garamond"/>
          <w:sz w:val="24"/>
          <w:szCs w:val="24"/>
        </w:rPr>
        <w:t>každému z jeho dvou vyšších podřízených (</w:t>
      </w:r>
      <w:proofErr w:type="spellStart"/>
      <w:r w:rsidR="005E6236" w:rsidRPr="00DA196C">
        <w:rPr>
          <w:rFonts w:ascii="Garamond" w:hAnsi="Garamond"/>
          <w:i/>
          <w:sz w:val="24"/>
          <w:szCs w:val="24"/>
        </w:rPr>
        <w:t>cornicularius</w:t>
      </w:r>
      <w:proofErr w:type="spellEnd"/>
      <w:r w:rsidR="005E6236" w:rsidRPr="00DA196C">
        <w:rPr>
          <w:rFonts w:ascii="Garamond" w:hAnsi="Garamond"/>
          <w:sz w:val="24"/>
          <w:szCs w:val="24"/>
        </w:rPr>
        <w:t xml:space="preserve"> a </w:t>
      </w:r>
      <w:proofErr w:type="spellStart"/>
      <w:r w:rsidR="005E6236" w:rsidRPr="00DA196C">
        <w:rPr>
          <w:rFonts w:ascii="Garamond" w:hAnsi="Garamond"/>
          <w:i/>
          <w:sz w:val="24"/>
          <w:szCs w:val="24"/>
        </w:rPr>
        <w:t>commentariensis</w:t>
      </w:r>
      <w:proofErr w:type="spellEnd"/>
      <w:r w:rsidR="005C0F44" w:rsidRPr="00DA196C">
        <w:rPr>
          <w:rFonts w:ascii="Garamond" w:hAnsi="Garamond"/>
          <w:sz w:val="24"/>
          <w:szCs w:val="24"/>
        </w:rPr>
        <w:t>)</w:t>
      </w:r>
      <w:r w:rsidR="005E6236" w:rsidRPr="00DA196C">
        <w:rPr>
          <w:rFonts w:ascii="Garamond" w:hAnsi="Garamond"/>
          <w:sz w:val="24"/>
          <w:szCs w:val="24"/>
        </w:rPr>
        <w:t xml:space="preserve">. </w:t>
      </w:r>
      <w:r w:rsidR="005C0F44" w:rsidRPr="00DA196C">
        <w:rPr>
          <w:rFonts w:ascii="Garamond" w:hAnsi="Garamond"/>
          <w:sz w:val="24"/>
          <w:szCs w:val="24"/>
        </w:rPr>
        <w:t>Soudní zřízenec (</w:t>
      </w:r>
      <w:proofErr w:type="spellStart"/>
      <w:r w:rsidR="005C0F44" w:rsidRPr="00DA196C">
        <w:rPr>
          <w:rFonts w:ascii="Garamond" w:hAnsi="Garamond"/>
          <w:i/>
          <w:sz w:val="24"/>
          <w:szCs w:val="24"/>
        </w:rPr>
        <w:t>e</w:t>
      </w:r>
      <w:r w:rsidR="005E6236" w:rsidRPr="00DA196C">
        <w:rPr>
          <w:rFonts w:ascii="Garamond" w:hAnsi="Garamond"/>
          <w:i/>
          <w:sz w:val="24"/>
          <w:szCs w:val="24"/>
        </w:rPr>
        <w:t>x</w:t>
      </w:r>
      <w:r w:rsidR="008E43D4" w:rsidRPr="00DA196C">
        <w:rPr>
          <w:rFonts w:ascii="Garamond" w:hAnsi="Garamond"/>
          <w:i/>
          <w:sz w:val="24"/>
          <w:szCs w:val="24"/>
        </w:rPr>
        <w:t>s</w:t>
      </w:r>
      <w:r w:rsidR="005E6236" w:rsidRPr="00DA196C">
        <w:rPr>
          <w:rFonts w:ascii="Garamond" w:hAnsi="Garamond"/>
          <w:i/>
          <w:sz w:val="24"/>
          <w:szCs w:val="24"/>
        </w:rPr>
        <w:t>ecutor</w:t>
      </w:r>
      <w:proofErr w:type="spellEnd"/>
      <w:r w:rsidR="008E43D4" w:rsidRPr="00DA196C">
        <w:rPr>
          <w:rFonts w:ascii="Garamond" w:hAnsi="Garamond"/>
          <w:sz w:val="24"/>
          <w:szCs w:val="24"/>
        </w:rPr>
        <w:t>)</w:t>
      </w:r>
      <w:r w:rsidR="0076692C">
        <w:rPr>
          <w:rFonts w:ascii="Garamond" w:hAnsi="Garamond"/>
          <w:sz w:val="24"/>
          <w:szCs w:val="24"/>
        </w:rPr>
        <w:t xml:space="preserve"> obdržel od žalobce 2 </w:t>
      </w:r>
      <w:proofErr w:type="spellStart"/>
      <w:r w:rsidR="0076692C">
        <w:rPr>
          <w:rFonts w:ascii="Garamond" w:hAnsi="Garamond"/>
          <w:sz w:val="24"/>
          <w:szCs w:val="24"/>
        </w:rPr>
        <w:t>modie</w:t>
      </w:r>
      <w:proofErr w:type="spellEnd"/>
      <w:r w:rsidR="005E6236" w:rsidRPr="00DA196C">
        <w:rPr>
          <w:rFonts w:ascii="Garamond" w:hAnsi="Garamond"/>
          <w:sz w:val="24"/>
          <w:szCs w:val="24"/>
        </w:rPr>
        <w:t xml:space="preserve">. </w:t>
      </w:r>
      <w:r w:rsidR="007E2E68" w:rsidRPr="00DA196C">
        <w:rPr>
          <w:rFonts w:ascii="Garamond" w:hAnsi="Garamond"/>
          <w:sz w:val="24"/>
          <w:szCs w:val="24"/>
        </w:rPr>
        <w:t>Jestliže žalovaný žalobě odporoval, tak žalobce i žalovan</w:t>
      </w:r>
      <w:r w:rsidR="00471106">
        <w:rPr>
          <w:rFonts w:ascii="Garamond" w:hAnsi="Garamond"/>
          <w:sz w:val="24"/>
          <w:szCs w:val="24"/>
        </w:rPr>
        <w:t xml:space="preserve">ý byli povinni zaplatit 12 </w:t>
      </w:r>
      <w:proofErr w:type="spellStart"/>
      <w:r w:rsidR="00471106">
        <w:rPr>
          <w:rFonts w:ascii="Garamond" w:hAnsi="Garamond"/>
          <w:sz w:val="24"/>
          <w:szCs w:val="24"/>
        </w:rPr>
        <w:t>modiů</w:t>
      </w:r>
      <w:proofErr w:type="spellEnd"/>
      <w:r w:rsidR="007E2E68" w:rsidRPr="00DA196C">
        <w:rPr>
          <w:rFonts w:ascii="Garamond" w:hAnsi="Garamond"/>
          <w:sz w:val="24"/>
          <w:szCs w:val="24"/>
        </w:rPr>
        <w:t xml:space="preserve"> </w:t>
      </w:r>
      <w:r w:rsidR="008E43D4" w:rsidRPr="00DA196C">
        <w:rPr>
          <w:rFonts w:ascii="Garamond" w:hAnsi="Garamond"/>
          <w:sz w:val="24"/>
          <w:szCs w:val="24"/>
        </w:rPr>
        <w:t>soudním úředníkům (</w:t>
      </w:r>
      <w:proofErr w:type="spellStart"/>
      <w:r w:rsidR="007E2E68" w:rsidRPr="00DA196C">
        <w:rPr>
          <w:rFonts w:ascii="Garamond" w:hAnsi="Garamond"/>
          <w:i/>
          <w:sz w:val="24"/>
          <w:szCs w:val="24"/>
        </w:rPr>
        <w:t>exceptores</w:t>
      </w:r>
      <w:proofErr w:type="spellEnd"/>
      <w:r w:rsidR="008E43D4" w:rsidRPr="00DA196C">
        <w:rPr>
          <w:rFonts w:ascii="Garamond" w:hAnsi="Garamond"/>
          <w:sz w:val="24"/>
          <w:szCs w:val="24"/>
        </w:rPr>
        <w:t>)</w:t>
      </w:r>
      <w:r w:rsidR="00471106">
        <w:rPr>
          <w:rFonts w:ascii="Garamond" w:hAnsi="Garamond"/>
          <w:sz w:val="24"/>
          <w:szCs w:val="24"/>
        </w:rPr>
        <w:t xml:space="preserve"> a 10 </w:t>
      </w:r>
      <w:proofErr w:type="spellStart"/>
      <w:r w:rsidR="00471106">
        <w:rPr>
          <w:rFonts w:ascii="Garamond" w:hAnsi="Garamond"/>
          <w:sz w:val="24"/>
          <w:szCs w:val="24"/>
        </w:rPr>
        <w:t>modiů</w:t>
      </w:r>
      <w:proofErr w:type="spellEnd"/>
      <w:r w:rsidR="007E2E68" w:rsidRPr="00DA196C">
        <w:rPr>
          <w:rFonts w:ascii="Garamond" w:hAnsi="Garamond"/>
          <w:sz w:val="24"/>
          <w:szCs w:val="24"/>
        </w:rPr>
        <w:t xml:space="preserve"> advokátovi. Po ukončení soudního řízení obdrželi </w:t>
      </w:r>
      <w:r w:rsidR="008E43D4" w:rsidRPr="00DA196C">
        <w:rPr>
          <w:rFonts w:ascii="Garamond" w:hAnsi="Garamond"/>
          <w:sz w:val="24"/>
          <w:szCs w:val="24"/>
        </w:rPr>
        <w:t>soudní úředníci (</w:t>
      </w:r>
      <w:proofErr w:type="spellStart"/>
      <w:r w:rsidR="007E2E68" w:rsidRPr="00DA196C">
        <w:rPr>
          <w:rFonts w:ascii="Garamond" w:hAnsi="Garamond"/>
          <w:i/>
          <w:sz w:val="24"/>
          <w:szCs w:val="24"/>
        </w:rPr>
        <w:t>exceptores</w:t>
      </w:r>
      <w:proofErr w:type="spellEnd"/>
      <w:r w:rsidR="008E43D4" w:rsidRPr="00DA196C">
        <w:rPr>
          <w:rFonts w:ascii="Garamond" w:hAnsi="Garamond"/>
          <w:sz w:val="24"/>
          <w:szCs w:val="24"/>
        </w:rPr>
        <w:t>)</w:t>
      </w:r>
      <w:r w:rsidR="007E2E68" w:rsidRPr="00DA196C">
        <w:rPr>
          <w:rFonts w:ascii="Garamond" w:hAnsi="Garamond"/>
          <w:sz w:val="24"/>
          <w:szCs w:val="24"/>
        </w:rPr>
        <w:t xml:space="preserve"> 2</w:t>
      </w:r>
      <w:r w:rsidR="00471106">
        <w:rPr>
          <w:rFonts w:ascii="Garamond" w:hAnsi="Garamond"/>
          <w:sz w:val="24"/>
          <w:szCs w:val="24"/>
        </w:rPr>
        <w:t xml:space="preserve">0 </w:t>
      </w:r>
      <w:proofErr w:type="spellStart"/>
      <w:r w:rsidR="00471106">
        <w:rPr>
          <w:rFonts w:ascii="Garamond" w:hAnsi="Garamond"/>
          <w:sz w:val="24"/>
          <w:szCs w:val="24"/>
        </w:rPr>
        <w:t>modiů</w:t>
      </w:r>
      <w:proofErr w:type="spellEnd"/>
      <w:r w:rsidR="00563141" w:rsidRPr="00DA196C">
        <w:rPr>
          <w:rFonts w:ascii="Garamond" w:hAnsi="Garamond"/>
          <w:sz w:val="24"/>
          <w:szCs w:val="24"/>
        </w:rPr>
        <w:t xml:space="preserve"> a advokát</w:t>
      </w:r>
      <w:r w:rsidR="00471106">
        <w:rPr>
          <w:rFonts w:ascii="Garamond" w:hAnsi="Garamond"/>
          <w:sz w:val="24"/>
          <w:szCs w:val="24"/>
        </w:rPr>
        <w:t xml:space="preserve"> 15 </w:t>
      </w:r>
      <w:proofErr w:type="spellStart"/>
      <w:r w:rsidR="00471106">
        <w:rPr>
          <w:rFonts w:ascii="Garamond" w:hAnsi="Garamond"/>
          <w:sz w:val="24"/>
          <w:szCs w:val="24"/>
        </w:rPr>
        <w:t>modiů</w:t>
      </w:r>
      <w:proofErr w:type="spellEnd"/>
      <w:r w:rsidR="007E2E68" w:rsidRPr="00DA196C">
        <w:rPr>
          <w:rFonts w:ascii="Garamond" w:hAnsi="Garamond"/>
          <w:sz w:val="24"/>
          <w:szCs w:val="24"/>
        </w:rPr>
        <w:t xml:space="preserve">. </w:t>
      </w:r>
      <w:proofErr w:type="spellStart"/>
      <w:r w:rsidR="007E2E68" w:rsidRPr="00DA196C">
        <w:rPr>
          <w:rFonts w:ascii="Garamond" w:hAnsi="Garamond"/>
          <w:i/>
          <w:sz w:val="24"/>
          <w:szCs w:val="24"/>
        </w:rPr>
        <w:t>Libellensis</w:t>
      </w:r>
      <w:proofErr w:type="spellEnd"/>
      <w:r w:rsidR="008E43D4" w:rsidRPr="00DA196C">
        <w:rPr>
          <w:rFonts w:ascii="Garamond" w:hAnsi="Garamond"/>
          <w:sz w:val="24"/>
          <w:szCs w:val="24"/>
        </w:rPr>
        <w:t>, jejichž úkolem bylo vyhotovovat dokumenty,</w:t>
      </w:r>
      <w:r w:rsidR="00471106">
        <w:rPr>
          <w:rFonts w:ascii="Garamond" w:hAnsi="Garamond"/>
          <w:sz w:val="24"/>
          <w:szCs w:val="24"/>
        </w:rPr>
        <w:t xml:space="preserve"> obdrželi 2 </w:t>
      </w:r>
      <w:proofErr w:type="spellStart"/>
      <w:r w:rsidR="00471106">
        <w:rPr>
          <w:rFonts w:ascii="Garamond" w:hAnsi="Garamond"/>
          <w:sz w:val="24"/>
          <w:szCs w:val="24"/>
        </w:rPr>
        <w:t>modie</w:t>
      </w:r>
      <w:proofErr w:type="spellEnd"/>
      <w:r w:rsidR="007E2E68" w:rsidRPr="00DA196C">
        <w:rPr>
          <w:rFonts w:ascii="Garamond" w:hAnsi="Garamond"/>
          <w:sz w:val="24"/>
          <w:szCs w:val="24"/>
        </w:rPr>
        <w:t xml:space="preserve">. Jestliže tedy soudní řízení prošlo všemi svými stádii, činily poplatky </w:t>
      </w:r>
      <w:r w:rsidR="007E2E68" w:rsidRPr="00DA196C">
        <w:rPr>
          <w:rFonts w:ascii="Garamond" w:hAnsi="Garamond"/>
          <w:sz w:val="24"/>
          <w:szCs w:val="24"/>
        </w:rPr>
        <w:lastRenderedPageBreak/>
        <w:t xml:space="preserve">za vedení </w:t>
      </w:r>
      <w:r w:rsidR="00471106">
        <w:rPr>
          <w:rFonts w:ascii="Garamond" w:hAnsi="Garamond"/>
          <w:sz w:val="24"/>
          <w:szCs w:val="24"/>
        </w:rPr>
        <w:t>soudního řízení v </w:t>
      </w:r>
      <w:proofErr w:type="spellStart"/>
      <w:r w:rsidR="00471106">
        <w:rPr>
          <w:rFonts w:ascii="Garamond" w:hAnsi="Garamond"/>
          <w:sz w:val="24"/>
          <w:szCs w:val="24"/>
        </w:rPr>
        <w:t>Cirtě</w:t>
      </w:r>
      <w:proofErr w:type="spellEnd"/>
      <w:r w:rsidR="00471106">
        <w:rPr>
          <w:rFonts w:ascii="Garamond" w:hAnsi="Garamond"/>
          <w:sz w:val="24"/>
          <w:szCs w:val="24"/>
        </w:rPr>
        <w:t xml:space="preserve"> 81 </w:t>
      </w:r>
      <w:proofErr w:type="spellStart"/>
      <w:r w:rsidR="00471106">
        <w:rPr>
          <w:rFonts w:ascii="Garamond" w:hAnsi="Garamond"/>
          <w:sz w:val="24"/>
          <w:szCs w:val="24"/>
        </w:rPr>
        <w:t>modiů</w:t>
      </w:r>
      <w:proofErr w:type="spellEnd"/>
      <w:r w:rsidR="00471106">
        <w:rPr>
          <w:rFonts w:ascii="Garamond" w:hAnsi="Garamond"/>
          <w:sz w:val="24"/>
          <w:szCs w:val="24"/>
        </w:rPr>
        <w:t xml:space="preserve"> pro žalobce a 59 </w:t>
      </w:r>
      <w:proofErr w:type="spellStart"/>
      <w:r w:rsidR="00471106">
        <w:rPr>
          <w:rFonts w:ascii="Garamond" w:hAnsi="Garamond"/>
          <w:sz w:val="24"/>
          <w:szCs w:val="24"/>
        </w:rPr>
        <w:t>modiiů</w:t>
      </w:r>
      <w:proofErr w:type="spellEnd"/>
      <w:r w:rsidR="00471106">
        <w:rPr>
          <w:rFonts w:ascii="Garamond" w:hAnsi="Garamond"/>
          <w:sz w:val="24"/>
          <w:szCs w:val="24"/>
        </w:rPr>
        <w:t xml:space="preserve"> </w:t>
      </w:r>
      <w:r w:rsidR="007E2E68" w:rsidRPr="00DA196C">
        <w:rPr>
          <w:rFonts w:ascii="Garamond" w:hAnsi="Garamond"/>
          <w:sz w:val="24"/>
          <w:szCs w:val="24"/>
        </w:rPr>
        <w:t xml:space="preserve">pro žalovaného bez poplatků za papyrus. </w:t>
      </w:r>
      <w:r w:rsidR="00175851" w:rsidRPr="00DA196C">
        <w:rPr>
          <w:rFonts w:ascii="Garamond" w:hAnsi="Garamond"/>
          <w:sz w:val="24"/>
          <w:szCs w:val="24"/>
        </w:rPr>
        <w:t>Navíc pak byly účtovány příplatky, j</w:t>
      </w:r>
      <w:r w:rsidR="007A3E0F" w:rsidRPr="00DA196C">
        <w:rPr>
          <w:rFonts w:ascii="Garamond" w:hAnsi="Garamond"/>
          <w:sz w:val="24"/>
          <w:szCs w:val="24"/>
        </w:rPr>
        <w:t>estliže žalovaný nebyl z </w:t>
      </w:r>
      <w:r w:rsidR="00175851" w:rsidRPr="00DA196C">
        <w:rPr>
          <w:rFonts w:ascii="Garamond" w:hAnsi="Garamond"/>
          <w:sz w:val="24"/>
          <w:szCs w:val="24"/>
        </w:rPr>
        <w:t>města</w:t>
      </w:r>
      <w:r w:rsidR="007A3E0F" w:rsidRPr="00DA196C">
        <w:rPr>
          <w:rFonts w:ascii="Garamond" w:hAnsi="Garamond"/>
          <w:sz w:val="24"/>
          <w:szCs w:val="24"/>
        </w:rPr>
        <w:t>, ve kterém řízení probíhalo</w:t>
      </w:r>
      <w:r w:rsidR="00175851" w:rsidRPr="00DA196C">
        <w:rPr>
          <w:rFonts w:ascii="Garamond" w:hAnsi="Garamond"/>
          <w:sz w:val="24"/>
          <w:szCs w:val="24"/>
        </w:rPr>
        <w:t>.</w:t>
      </w:r>
      <w:r w:rsidR="00175851" w:rsidRPr="00DA196C">
        <w:rPr>
          <w:rStyle w:val="Znakapoznpodarou"/>
          <w:rFonts w:ascii="Garamond" w:hAnsi="Garamond"/>
          <w:sz w:val="24"/>
          <w:szCs w:val="24"/>
        </w:rPr>
        <w:footnoteReference w:id="103"/>
      </w:r>
      <w:r w:rsidR="007A3E0F" w:rsidRPr="00DA196C">
        <w:rPr>
          <w:rFonts w:ascii="Garamond" w:hAnsi="Garamond"/>
          <w:sz w:val="24"/>
          <w:szCs w:val="24"/>
        </w:rPr>
        <w:t xml:space="preserve"> Z výše uvedeného je tedy patrné, že poplatky byly jednotné bez ohledu na typ žaloby či hodnotu předmětu sporu. </w:t>
      </w:r>
    </w:p>
    <w:p w:rsidR="00983F39" w:rsidRPr="00DA196C" w:rsidRDefault="00983F39" w:rsidP="00FA1FF7">
      <w:pPr>
        <w:pStyle w:val="Nadpis3"/>
        <w:spacing w:line="360" w:lineRule="auto"/>
        <w:contextualSpacing/>
      </w:pPr>
      <w:bookmarkStart w:id="23" w:name="_Toc36031952"/>
      <w:r w:rsidRPr="00DA196C">
        <w:t>Náklady na zastoupení</w:t>
      </w:r>
      <w:bookmarkEnd w:id="23"/>
    </w:p>
    <w:p w:rsidR="007A3E0F" w:rsidRPr="00DA196C" w:rsidRDefault="007A3E0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Další podstatnou složkou nákladů řízení jsou náklady na zastoupení stran sporu. Aby bylo možno rozebrat tuto problematiku, je třeba alespoň stručně shrnout též otázku vývoje právnické profese za dob římského práva.</w:t>
      </w:r>
    </w:p>
    <w:p w:rsidR="00245BB5" w:rsidRPr="00DA196C" w:rsidRDefault="00F731F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V nejstarších dobách byla</w:t>
      </w:r>
      <w:r w:rsidR="00480157" w:rsidRPr="00DA196C">
        <w:rPr>
          <w:rFonts w:ascii="Garamond" w:hAnsi="Garamond"/>
          <w:sz w:val="24"/>
          <w:szCs w:val="24"/>
        </w:rPr>
        <w:t xml:space="preserve"> znalost</w:t>
      </w:r>
      <w:r w:rsidRPr="00DA196C">
        <w:rPr>
          <w:rFonts w:ascii="Garamond" w:hAnsi="Garamond"/>
          <w:sz w:val="24"/>
          <w:szCs w:val="24"/>
        </w:rPr>
        <w:t>, výklad i aplikace</w:t>
      </w:r>
      <w:r w:rsidR="00480157" w:rsidRPr="00DA196C">
        <w:rPr>
          <w:rFonts w:ascii="Garamond" w:hAnsi="Garamond"/>
          <w:sz w:val="24"/>
          <w:szCs w:val="24"/>
        </w:rPr>
        <w:t xml:space="preserve"> práva vyhrazena </w:t>
      </w:r>
      <w:r w:rsidR="00B55912" w:rsidRPr="00DA196C">
        <w:rPr>
          <w:rFonts w:ascii="Garamond" w:hAnsi="Garamond"/>
          <w:sz w:val="24"/>
          <w:szCs w:val="24"/>
        </w:rPr>
        <w:t xml:space="preserve">pouze </w:t>
      </w:r>
      <w:r w:rsidR="00480157" w:rsidRPr="00DA196C">
        <w:rPr>
          <w:rFonts w:ascii="Garamond" w:hAnsi="Garamond"/>
          <w:sz w:val="24"/>
          <w:szCs w:val="24"/>
        </w:rPr>
        <w:t xml:space="preserve">sboru </w:t>
      </w:r>
      <w:proofErr w:type="spellStart"/>
      <w:r w:rsidR="00480157" w:rsidRPr="00DA196C">
        <w:rPr>
          <w:rFonts w:ascii="Garamond" w:hAnsi="Garamond"/>
          <w:sz w:val="24"/>
          <w:szCs w:val="24"/>
        </w:rPr>
        <w:t>pontifiků</w:t>
      </w:r>
      <w:proofErr w:type="spellEnd"/>
      <w:r w:rsidRPr="00DA196C">
        <w:rPr>
          <w:rFonts w:ascii="Garamond" w:hAnsi="Garamond"/>
          <w:sz w:val="24"/>
          <w:szCs w:val="24"/>
        </w:rPr>
        <w:t>, kteří tak pomáhali stranám při zahajování i vedení sporu</w:t>
      </w:r>
      <w:r w:rsidR="00480157" w:rsidRPr="00DA196C">
        <w:rPr>
          <w:rFonts w:ascii="Garamond" w:hAnsi="Garamond"/>
          <w:sz w:val="24"/>
          <w:szCs w:val="24"/>
        </w:rPr>
        <w:t xml:space="preserve">. </w:t>
      </w:r>
      <w:r w:rsidR="00471106">
        <w:rPr>
          <w:rFonts w:ascii="Garamond" w:hAnsi="Garamond"/>
          <w:sz w:val="24"/>
          <w:szCs w:val="24"/>
        </w:rPr>
        <w:t>Až v době kolem roku 300 př. n</w:t>
      </w:r>
      <w:r w:rsidRPr="00DA196C">
        <w:rPr>
          <w:rFonts w:ascii="Garamond" w:hAnsi="Garamond"/>
          <w:sz w:val="24"/>
          <w:szCs w:val="24"/>
        </w:rPr>
        <w:t>.</w:t>
      </w:r>
      <w:r w:rsidR="00480157" w:rsidRPr="00DA196C">
        <w:rPr>
          <w:rFonts w:ascii="Garamond" w:hAnsi="Garamond"/>
          <w:sz w:val="24"/>
          <w:szCs w:val="24"/>
        </w:rPr>
        <w:t xml:space="preserve"> </w:t>
      </w:r>
      <w:r w:rsidR="00471106">
        <w:rPr>
          <w:rFonts w:ascii="Garamond" w:hAnsi="Garamond"/>
          <w:sz w:val="24"/>
          <w:szCs w:val="24"/>
        </w:rPr>
        <w:t xml:space="preserve">l. </w:t>
      </w:r>
      <w:r w:rsidR="00480157" w:rsidRPr="00DA196C">
        <w:rPr>
          <w:rFonts w:ascii="Garamond" w:hAnsi="Garamond"/>
          <w:sz w:val="24"/>
          <w:szCs w:val="24"/>
        </w:rPr>
        <w:t xml:space="preserve">byl na </w:t>
      </w:r>
      <w:proofErr w:type="spellStart"/>
      <w:r w:rsidR="00480157" w:rsidRPr="00DA196C">
        <w:rPr>
          <w:rFonts w:ascii="Garamond" w:hAnsi="Garamond"/>
          <w:sz w:val="24"/>
          <w:szCs w:val="24"/>
        </w:rPr>
        <w:t>foru</w:t>
      </w:r>
      <w:proofErr w:type="spellEnd"/>
      <w:r w:rsidR="00480157" w:rsidRPr="00DA196C">
        <w:rPr>
          <w:rFonts w:ascii="Garamond" w:hAnsi="Garamond"/>
          <w:sz w:val="24"/>
          <w:szCs w:val="24"/>
        </w:rPr>
        <w:t xml:space="preserve"> uveřejněn soudní kalendář, jenž stanovoval </w:t>
      </w:r>
      <w:proofErr w:type="spellStart"/>
      <w:r w:rsidR="00480157" w:rsidRPr="00DA196C">
        <w:rPr>
          <w:rFonts w:ascii="Garamond" w:hAnsi="Garamond"/>
          <w:i/>
          <w:sz w:val="24"/>
          <w:szCs w:val="24"/>
        </w:rPr>
        <w:t>dies</w:t>
      </w:r>
      <w:proofErr w:type="spellEnd"/>
      <w:r w:rsidR="00480157" w:rsidRPr="00DA196C">
        <w:rPr>
          <w:rFonts w:ascii="Garamond" w:hAnsi="Garamond"/>
          <w:i/>
          <w:sz w:val="24"/>
          <w:szCs w:val="24"/>
        </w:rPr>
        <w:t xml:space="preserve"> </w:t>
      </w:r>
      <w:proofErr w:type="spellStart"/>
      <w:r w:rsidR="00480157" w:rsidRPr="00DA196C">
        <w:rPr>
          <w:rFonts w:ascii="Garamond" w:hAnsi="Garamond"/>
          <w:i/>
          <w:sz w:val="24"/>
          <w:szCs w:val="24"/>
        </w:rPr>
        <w:t>fasti</w:t>
      </w:r>
      <w:proofErr w:type="spellEnd"/>
      <w:r w:rsidR="00480157" w:rsidRPr="00DA196C">
        <w:rPr>
          <w:rFonts w:ascii="Garamond" w:hAnsi="Garamond"/>
          <w:sz w:val="24"/>
          <w:szCs w:val="24"/>
        </w:rPr>
        <w:t xml:space="preserve"> a </w:t>
      </w:r>
      <w:proofErr w:type="spellStart"/>
      <w:r w:rsidR="00480157" w:rsidRPr="00DA196C">
        <w:rPr>
          <w:rFonts w:ascii="Garamond" w:hAnsi="Garamond"/>
          <w:i/>
          <w:sz w:val="24"/>
          <w:szCs w:val="24"/>
        </w:rPr>
        <w:t>dies</w:t>
      </w:r>
      <w:proofErr w:type="spellEnd"/>
      <w:r w:rsidR="00480157" w:rsidRPr="00DA196C">
        <w:rPr>
          <w:rFonts w:ascii="Garamond" w:hAnsi="Garamond"/>
          <w:i/>
          <w:sz w:val="24"/>
          <w:szCs w:val="24"/>
        </w:rPr>
        <w:t xml:space="preserve"> </w:t>
      </w:r>
      <w:proofErr w:type="spellStart"/>
      <w:r w:rsidR="00480157" w:rsidRPr="00DA196C">
        <w:rPr>
          <w:rFonts w:ascii="Garamond" w:hAnsi="Garamond"/>
          <w:i/>
          <w:sz w:val="24"/>
          <w:szCs w:val="24"/>
        </w:rPr>
        <w:t>nefasti</w:t>
      </w:r>
      <w:proofErr w:type="spellEnd"/>
      <w:r w:rsidR="00480157" w:rsidRPr="00DA196C">
        <w:rPr>
          <w:rFonts w:ascii="Garamond" w:hAnsi="Garamond"/>
          <w:sz w:val="24"/>
          <w:szCs w:val="24"/>
        </w:rPr>
        <w:t xml:space="preserve">, a sbírka </w:t>
      </w:r>
      <w:proofErr w:type="spellStart"/>
      <w:r w:rsidR="00480157" w:rsidRPr="00DA196C">
        <w:rPr>
          <w:rFonts w:ascii="Garamond" w:hAnsi="Garamond"/>
          <w:sz w:val="24"/>
          <w:szCs w:val="24"/>
        </w:rPr>
        <w:t>legisakcí</w:t>
      </w:r>
      <w:proofErr w:type="spellEnd"/>
      <w:r w:rsidR="00480157" w:rsidRPr="00DA196C">
        <w:rPr>
          <w:rFonts w:ascii="Garamond" w:hAnsi="Garamond"/>
          <w:sz w:val="24"/>
          <w:szCs w:val="24"/>
        </w:rPr>
        <w:t xml:space="preserve">. </w:t>
      </w:r>
      <w:r w:rsidRPr="00DA196C">
        <w:rPr>
          <w:rFonts w:ascii="Garamond" w:hAnsi="Garamond"/>
          <w:sz w:val="24"/>
          <w:szCs w:val="24"/>
        </w:rPr>
        <w:t xml:space="preserve">Postupně pak </w:t>
      </w:r>
      <w:r w:rsidR="00B55912" w:rsidRPr="00DA196C">
        <w:rPr>
          <w:rFonts w:ascii="Garamond" w:hAnsi="Garamond"/>
          <w:sz w:val="24"/>
          <w:szCs w:val="24"/>
        </w:rPr>
        <w:t xml:space="preserve">začalo být </w:t>
      </w:r>
      <w:r w:rsidR="000640B1" w:rsidRPr="00DA196C">
        <w:rPr>
          <w:rFonts w:ascii="Garamond" w:hAnsi="Garamond"/>
          <w:sz w:val="24"/>
          <w:szCs w:val="24"/>
        </w:rPr>
        <w:t>zhru</w:t>
      </w:r>
      <w:r w:rsidR="00471106">
        <w:rPr>
          <w:rFonts w:ascii="Garamond" w:hAnsi="Garamond"/>
          <w:sz w:val="24"/>
          <w:szCs w:val="24"/>
        </w:rPr>
        <w:t>ba od poloviny 3. století př. n</w:t>
      </w:r>
      <w:r w:rsidR="000640B1" w:rsidRPr="00DA196C">
        <w:rPr>
          <w:rFonts w:ascii="Garamond" w:hAnsi="Garamond"/>
          <w:sz w:val="24"/>
          <w:szCs w:val="24"/>
        </w:rPr>
        <w:t xml:space="preserve">. </w:t>
      </w:r>
      <w:r w:rsidR="00471106">
        <w:rPr>
          <w:rFonts w:ascii="Garamond" w:hAnsi="Garamond"/>
          <w:sz w:val="24"/>
          <w:szCs w:val="24"/>
        </w:rPr>
        <w:t xml:space="preserve">l. </w:t>
      </w:r>
      <w:r w:rsidR="00B55912" w:rsidRPr="00DA196C">
        <w:rPr>
          <w:rFonts w:ascii="Garamond" w:hAnsi="Garamond"/>
          <w:sz w:val="24"/>
          <w:szCs w:val="24"/>
        </w:rPr>
        <w:t>právo vyučováno veřejně.</w:t>
      </w:r>
      <w:r w:rsidR="00203ACA" w:rsidRPr="00DA196C">
        <w:rPr>
          <w:rFonts w:ascii="Garamond" w:hAnsi="Garamond"/>
          <w:sz w:val="24"/>
          <w:szCs w:val="24"/>
          <w:vertAlign w:val="superscript"/>
        </w:rPr>
        <w:footnoteReference w:id="104"/>
      </w:r>
    </w:p>
    <w:p w:rsidR="00F07705" w:rsidRPr="00DA196C" w:rsidRDefault="00B55912"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Právem se zabývali </w:t>
      </w:r>
      <w:r w:rsidR="00C9593A" w:rsidRPr="00DA196C">
        <w:rPr>
          <w:rFonts w:ascii="Garamond" w:hAnsi="Garamond"/>
          <w:sz w:val="24"/>
          <w:szCs w:val="24"/>
        </w:rPr>
        <w:t>příslušníci vyšších společenských vrstev</w:t>
      </w:r>
      <w:r w:rsidR="00902B28" w:rsidRPr="00DA196C">
        <w:rPr>
          <w:rFonts w:ascii="Garamond" w:hAnsi="Garamond"/>
          <w:sz w:val="24"/>
          <w:szCs w:val="24"/>
        </w:rPr>
        <w:t xml:space="preserve"> ze zámožných rodin</w:t>
      </w:r>
      <w:r w:rsidR="000640B1" w:rsidRPr="00DA196C">
        <w:rPr>
          <w:rFonts w:ascii="Garamond" w:hAnsi="Garamond"/>
          <w:sz w:val="24"/>
          <w:szCs w:val="24"/>
        </w:rPr>
        <w:t>,</w:t>
      </w:r>
      <w:r w:rsidR="00F07705" w:rsidRPr="00DA196C">
        <w:rPr>
          <w:rFonts w:ascii="Garamond" w:hAnsi="Garamond"/>
          <w:sz w:val="24"/>
          <w:szCs w:val="24"/>
        </w:rPr>
        <w:t xml:space="preserve"> právní služby byly poskytovány bezplatně. Původně se jednalo o právní zastoupení </w:t>
      </w:r>
      <w:r w:rsidR="001364DF" w:rsidRPr="00DA196C">
        <w:rPr>
          <w:rFonts w:ascii="Garamond" w:hAnsi="Garamond"/>
          <w:sz w:val="24"/>
          <w:szCs w:val="24"/>
        </w:rPr>
        <w:t xml:space="preserve">vzniklé na základě vztahu patron – klient, kdy klient měl vůči patronovi povinnost úcty a loajality, </w:t>
      </w:r>
      <w:r w:rsidR="00747C57" w:rsidRPr="00DA196C">
        <w:rPr>
          <w:rFonts w:ascii="Garamond" w:hAnsi="Garamond"/>
          <w:sz w:val="24"/>
          <w:szCs w:val="24"/>
        </w:rPr>
        <w:t>povinnost pracovní, vojenskou, povinnost pečovat a patrona a jeho rodinu v nouzi atd. Patron měl naopak povinnost klienta chránit a zastupovat jej před soudem. Postupem času se pak zastoupení před soudem stávalo nezávislé na výše zmíněném vztahu mezi patronem a klientem, docházelo k jisté profesionalizaci a právní poradce a obh</w:t>
      </w:r>
      <w:r w:rsidR="00983F39" w:rsidRPr="00DA196C">
        <w:rPr>
          <w:rFonts w:ascii="Garamond" w:hAnsi="Garamond"/>
          <w:sz w:val="24"/>
          <w:szCs w:val="24"/>
        </w:rPr>
        <w:t xml:space="preserve">ájce strany před soudem se </w:t>
      </w:r>
      <w:r w:rsidR="00747C57" w:rsidRPr="00DA196C">
        <w:rPr>
          <w:rFonts w:ascii="Garamond" w:hAnsi="Garamond"/>
          <w:sz w:val="24"/>
          <w:szCs w:val="24"/>
        </w:rPr>
        <w:t xml:space="preserve">nazýval </w:t>
      </w:r>
      <w:proofErr w:type="spellStart"/>
      <w:r w:rsidR="00747C57" w:rsidRPr="00DA196C">
        <w:rPr>
          <w:rFonts w:ascii="Garamond" w:hAnsi="Garamond"/>
          <w:i/>
          <w:sz w:val="24"/>
          <w:szCs w:val="24"/>
        </w:rPr>
        <w:t>patronus</w:t>
      </w:r>
      <w:proofErr w:type="spellEnd"/>
      <w:r w:rsidR="00747C57" w:rsidRPr="00DA196C">
        <w:rPr>
          <w:rFonts w:ascii="Garamond" w:hAnsi="Garamond"/>
          <w:i/>
          <w:sz w:val="24"/>
          <w:szCs w:val="24"/>
        </w:rPr>
        <w:t xml:space="preserve"> </w:t>
      </w:r>
      <w:proofErr w:type="spellStart"/>
      <w:r w:rsidR="00747C57" w:rsidRPr="00DA196C">
        <w:rPr>
          <w:rFonts w:ascii="Garamond" w:hAnsi="Garamond"/>
          <w:i/>
          <w:sz w:val="24"/>
          <w:szCs w:val="24"/>
        </w:rPr>
        <w:t>causae</w:t>
      </w:r>
      <w:proofErr w:type="spellEnd"/>
      <w:r w:rsidR="00747C57" w:rsidRPr="00DA196C">
        <w:rPr>
          <w:rFonts w:ascii="Garamond" w:hAnsi="Garamond"/>
          <w:sz w:val="24"/>
          <w:szCs w:val="24"/>
        </w:rPr>
        <w:t>.</w:t>
      </w:r>
      <w:r w:rsidR="006E64A3" w:rsidRPr="00DA196C">
        <w:rPr>
          <w:rFonts w:ascii="Garamond" w:hAnsi="Garamond"/>
          <w:sz w:val="24"/>
          <w:szCs w:val="24"/>
        </w:rPr>
        <w:t xml:space="preserve"> I nadále zůstávalo poskytování právních rad a zastoupení bezplatné, poskytování právní pomoci bylo chápáno jako čestná povinnost.</w:t>
      </w:r>
      <w:r w:rsidR="00B902E2" w:rsidRPr="00DA196C">
        <w:rPr>
          <w:rStyle w:val="Znakapoznpodarou"/>
          <w:rFonts w:ascii="Garamond" w:hAnsi="Garamond"/>
          <w:sz w:val="24"/>
          <w:szCs w:val="24"/>
        </w:rPr>
        <w:footnoteReference w:id="105"/>
      </w:r>
      <w:r w:rsidR="00245BB5" w:rsidRPr="00DA196C">
        <w:rPr>
          <w:rFonts w:ascii="Garamond" w:hAnsi="Garamond"/>
          <w:sz w:val="24"/>
          <w:szCs w:val="24"/>
        </w:rPr>
        <w:t xml:space="preserve"> </w:t>
      </w:r>
    </w:p>
    <w:p w:rsidR="00B902E2" w:rsidRPr="00DA196C" w:rsidRDefault="00245BB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Výše </w:t>
      </w:r>
      <w:r w:rsidR="000640B1" w:rsidRPr="00DA196C">
        <w:rPr>
          <w:rFonts w:ascii="Garamond" w:hAnsi="Garamond"/>
          <w:sz w:val="24"/>
          <w:szCs w:val="24"/>
        </w:rPr>
        <w:t>zmíněné mělo</w:t>
      </w:r>
      <w:r w:rsidRPr="00DA196C">
        <w:rPr>
          <w:rFonts w:ascii="Garamond" w:hAnsi="Garamond"/>
          <w:sz w:val="24"/>
          <w:szCs w:val="24"/>
        </w:rPr>
        <w:t xml:space="preserve"> vést k tomu, že obhajoba před soudem bude dostupná pro všechny</w:t>
      </w:r>
      <w:r w:rsidR="00AF2B69" w:rsidRPr="00DA196C">
        <w:rPr>
          <w:rFonts w:ascii="Garamond" w:hAnsi="Garamond"/>
          <w:sz w:val="24"/>
          <w:szCs w:val="24"/>
        </w:rPr>
        <w:t>. I přesto však bylo zvykem</w:t>
      </w:r>
      <w:r w:rsidR="002F0301" w:rsidRPr="00DA196C">
        <w:rPr>
          <w:rFonts w:ascii="Garamond" w:hAnsi="Garamond"/>
          <w:sz w:val="24"/>
          <w:szCs w:val="24"/>
        </w:rPr>
        <w:t xml:space="preserve">, ne-li </w:t>
      </w:r>
      <w:r w:rsidR="000640B1" w:rsidRPr="00DA196C">
        <w:rPr>
          <w:rFonts w:ascii="Garamond" w:hAnsi="Garamond"/>
          <w:sz w:val="24"/>
          <w:szCs w:val="24"/>
        </w:rPr>
        <w:t xml:space="preserve">společenskou </w:t>
      </w:r>
      <w:r w:rsidR="002F0301" w:rsidRPr="00DA196C">
        <w:rPr>
          <w:rFonts w:ascii="Garamond" w:hAnsi="Garamond"/>
          <w:sz w:val="24"/>
          <w:szCs w:val="24"/>
        </w:rPr>
        <w:t>nutností,</w:t>
      </w:r>
      <w:r w:rsidR="00AF2B69" w:rsidRPr="00DA196C">
        <w:rPr>
          <w:rFonts w:ascii="Garamond" w:hAnsi="Garamond"/>
          <w:sz w:val="24"/>
          <w:szCs w:val="24"/>
        </w:rPr>
        <w:t xml:space="preserve"> za obhajobu</w:t>
      </w:r>
      <w:r w:rsidR="002F0301" w:rsidRPr="00DA196C">
        <w:rPr>
          <w:rFonts w:ascii="Garamond" w:hAnsi="Garamond"/>
          <w:sz w:val="24"/>
          <w:szCs w:val="24"/>
        </w:rPr>
        <w:t xml:space="preserve"> </w:t>
      </w:r>
      <w:r w:rsidR="007C0626" w:rsidRPr="00DA196C">
        <w:rPr>
          <w:rFonts w:ascii="Garamond" w:hAnsi="Garamond"/>
          <w:sz w:val="24"/>
          <w:szCs w:val="24"/>
        </w:rPr>
        <w:t>určitým způsobem zaplatit, například v podobě daru</w:t>
      </w:r>
      <w:r w:rsidR="002F0301" w:rsidRPr="00DA196C">
        <w:rPr>
          <w:rFonts w:ascii="Garamond" w:hAnsi="Garamond"/>
          <w:sz w:val="24"/>
          <w:szCs w:val="24"/>
        </w:rPr>
        <w:t>.</w:t>
      </w:r>
      <w:r w:rsidR="000106BE" w:rsidRPr="00DA196C">
        <w:rPr>
          <w:rStyle w:val="Znakapoznpodarou"/>
          <w:rFonts w:ascii="Garamond" w:hAnsi="Garamond"/>
          <w:sz w:val="24"/>
          <w:szCs w:val="24"/>
        </w:rPr>
        <w:footnoteReference w:id="106"/>
      </w:r>
      <w:r w:rsidR="00471106">
        <w:rPr>
          <w:rFonts w:ascii="Garamond" w:hAnsi="Garamond"/>
          <w:sz w:val="24"/>
          <w:szCs w:val="24"/>
        </w:rPr>
        <w:t xml:space="preserve"> Roku 204 př. n</w:t>
      </w:r>
      <w:r w:rsidR="002F0301" w:rsidRPr="00DA196C">
        <w:rPr>
          <w:rFonts w:ascii="Garamond" w:hAnsi="Garamond"/>
          <w:sz w:val="24"/>
          <w:szCs w:val="24"/>
        </w:rPr>
        <w:t xml:space="preserve">. </w:t>
      </w:r>
      <w:r w:rsidR="00471106">
        <w:rPr>
          <w:rFonts w:ascii="Garamond" w:hAnsi="Garamond"/>
          <w:sz w:val="24"/>
          <w:szCs w:val="24"/>
        </w:rPr>
        <w:t xml:space="preserve">l. </w:t>
      </w:r>
      <w:r w:rsidR="002F0301" w:rsidRPr="00DA196C">
        <w:rPr>
          <w:rFonts w:ascii="Garamond" w:hAnsi="Garamond"/>
          <w:sz w:val="24"/>
          <w:szCs w:val="24"/>
        </w:rPr>
        <w:t xml:space="preserve">byl proto vydán </w:t>
      </w:r>
      <w:proofErr w:type="spellStart"/>
      <w:r w:rsidR="002F0301" w:rsidRPr="00DA196C">
        <w:rPr>
          <w:rFonts w:ascii="Garamond" w:hAnsi="Garamond"/>
          <w:i/>
          <w:sz w:val="24"/>
          <w:szCs w:val="24"/>
        </w:rPr>
        <w:t>lex</w:t>
      </w:r>
      <w:proofErr w:type="spellEnd"/>
      <w:r w:rsidR="002F0301" w:rsidRPr="00DA196C">
        <w:rPr>
          <w:rFonts w:ascii="Garamond" w:hAnsi="Garamond"/>
          <w:i/>
          <w:sz w:val="24"/>
          <w:szCs w:val="24"/>
        </w:rPr>
        <w:t xml:space="preserve"> </w:t>
      </w:r>
      <w:proofErr w:type="spellStart"/>
      <w:r w:rsidR="002F0301" w:rsidRPr="00DA196C">
        <w:rPr>
          <w:rFonts w:ascii="Garamond" w:hAnsi="Garamond"/>
          <w:i/>
          <w:sz w:val="24"/>
          <w:szCs w:val="24"/>
        </w:rPr>
        <w:t>Cincia</w:t>
      </w:r>
      <w:proofErr w:type="spellEnd"/>
      <w:r w:rsidR="002F0301" w:rsidRPr="00DA196C">
        <w:rPr>
          <w:rFonts w:ascii="Garamond" w:hAnsi="Garamond"/>
          <w:sz w:val="24"/>
          <w:szCs w:val="24"/>
        </w:rPr>
        <w:t>, jímž bylo zakázáno přijmout dar či peníze za soudní obhajobu.</w:t>
      </w:r>
      <w:r w:rsidR="002F0301" w:rsidRPr="00DA196C">
        <w:rPr>
          <w:rStyle w:val="Znakapoznpodarou"/>
          <w:rFonts w:ascii="Garamond" w:hAnsi="Garamond"/>
          <w:sz w:val="24"/>
          <w:szCs w:val="24"/>
        </w:rPr>
        <w:footnoteReference w:id="107"/>
      </w:r>
    </w:p>
    <w:p w:rsidR="00840375" w:rsidRPr="00DA196C" w:rsidRDefault="00744CF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Zákaz byl ovšem neustále porušován. V</w:t>
      </w:r>
      <w:r w:rsidR="00840375" w:rsidRPr="00DA196C">
        <w:rPr>
          <w:rFonts w:ascii="Garamond" w:hAnsi="Garamond"/>
          <w:sz w:val="24"/>
          <w:szCs w:val="24"/>
        </w:rPr>
        <w:t xml:space="preserve">ýkon právnické profese </w:t>
      </w:r>
      <w:r w:rsidRPr="00DA196C">
        <w:rPr>
          <w:rFonts w:ascii="Garamond" w:hAnsi="Garamond"/>
          <w:sz w:val="24"/>
          <w:szCs w:val="24"/>
        </w:rPr>
        <w:t xml:space="preserve">se </w:t>
      </w:r>
      <w:r w:rsidR="00840375" w:rsidRPr="00DA196C">
        <w:rPr>
          <w:rFonts w:ascii="Garamond" w:hAnsi="Garamond"/>
          <w:sz w:val="24"/>
          <w:szCs w:val="24"/>
        </w:rPr>
        <w:t xml:space="preserve">stával čím dál tím více prostředkem k zaopatření živobytí, právníci čím dál častěji pocházeli i z řad prostších obyvatel, </w:t>
      </w:r>
      <w:r w:rsidR="00840375" w:rsidRPr="00DA196C">
        <w:rPr>
          <w:rFonts w:ascii="Garamond" w:hAnsi="Garamond"/>
          <w:sz w:val="24"/>
          <w:szCs w:val="24"/>
        </w:rPr>
        <w:lastRenderedPageBreak/>
        <w:t>než tomu bývalo dříve, a nemohli si dovolit vykonávat tuto profesi bez jakékoli formy odměny.</w:t>
      </w:r>
      <w:r w:rsidR="00E645BD" w:rsidRPr="00DA196C">
        <w:rPr>
          <w:rStyle w:val="Znakapoznpodarou"/>
          <w:rFonts w:ascii="Garamond" w:hAnsi="Garamond"/>
          <w:sz w:val="24"/>
          <w:szCs w:val="24"/>
        </w:rPr>
        <w:footnoteReference w:id="108"/>
      </w:r>
      <w:r w:rsidR="00840375" w:rsidRPr="00DA196C">
        <w:rPr>
          <w:rFonts w:ascii="Garamond" w:hAnsi="Garamond"/>
          <w:sz w:val="24"/>
          <w:szCs w:val="24"/>
        </w:rPr>
        <w:t xml:space="preserve"> </w:t>
      </w:r>
      <w:proofErr w:type="spellStart"/>
      <w:r w:rsidR="00997900" w:rsidRPr="00DA196C">
        <w:rPr>
          <w:rFonts w:ascii="Garamond" w:hAnsi="Garamond"/>
          <w:i/>
          <w:sz w:val="24"/>
          <w:szCs w:val="24"/>
        </w:rPr>
        <w:t>Senatusconsultum</w:t>
      </w:r>
      <w:proofErr w:type="spellEnd"/>
      <w:r w:rsidR="00997900" w:rsidRPr="00DA196C">
        <w:rPr>
          <w:rFonts w:ascii="Garamond" w:hAnsi="Garamond"/>
          <w:i/>
          <w:sz w:val="24"/>
          <w:szCs w:val="24"/>
        </w:rPr>
        <w:t xml:space="preserve"> </w:t>
      </w:r>
      <w:proofErr w:type="spellStart"/>
      <w:r w:rsidR="00997900" w:rsidRPr="00DA196C">
        <w:rPr>
          <w:rFonts w:ascii="Garamond" w:hAnsi="Garamond"/>
          <w:i/>
          <w:sz w:val="24"/>
          <w:szCs w:val="24"/>
        </w:rPr>
        <w:t>Claudianum</w:t>
      </w:r>
      <w:proofErr w:type="spellEnd"/>
      <w:r w:rsidR="00997900" w:rsidRPr="00DA196C">
        <w:rPr>
          <w:rFonts w:ascii="Garamond" w:hAnsi="Garamond"/>
          <w:sz w:val="24"/>
          <w:szCs w:val="24"/>
        </w:rPr>
        <w:t xml:space="preserve"> z roku 47 </w:t>
      </w:r>
      <w:r w:rsidRPr="00DA196C">
        <w:rPr>
          <w:rFonts w:ascii="Garamond" w:hAnsi="Garamond"/>
          <w:sz w:val="24"/>
          <w:szCs w:val="24"/>
        </w:rPr>
        <w:t xml:space="preserve">proto </w:t>
      </w:r>
      <w:r w:rsidR="00997900" w:rsidRPr="00DA196C">
        <w:rPr>
          <w:rFonts w:ascii="Garamond" w:hAnsi="Garamond"/>
          <w:sz w:val="24"/>
          <w:szCs w:val="24"/>
        </w:rPr>
        <w:t>připustilo odměnu advokátům do maximální výše 10 000 sesterciů</w:t>
      </w:r>
      <w:r w:rsidRPr="00DA196C">
        <w:rPr>
          <w:rFonts w:ascii="Garamond" w:hAnsi="Garamond"/>
          <w:sz w:val="24"/>
          <w:szCs w:val="24"/>
        </w:rPr>
        <w:t xml:space="preserve">, s hrozbou </w:t>
      </w:r>
      <w:proofErr w:type="spellStart"/>
      <w:r w:rsidRPr="00DA196C">
        <w:rPr>
          <w:rFonts w:ascii="Garamond" w:hAnsi="Garamond"/>
          <w:sz w:val="24"/>
          <w:szCs w:val="24"/>
        </w:rPr>
        <w:t>repetundárního</w:t>
      </w:r>
      <w:proofErr w:type="spellEnd"/>
      <w:r w:rsidRPr="00DA196C">
        <w:rPr>
          <w:rFonts w:ascii="Garamond" w:hAnsi="Garamond"/>
          <w:sz w:val="24"/>
          <w:szCs w:val="24"/>
        </w:rPr>
        <w:t xml:space="preserve"> procesu při překročení této hranice. Odměna až do maximální stanovené výše </w:t>
      </w:r>
      <w:r w:rsidR="00745D3E" w:rsidRPr="00DA196C">
        <w:rPr>
          <w:rFonts w:ascii="Garamond" w:hAnsi="Garamond"/>
          <w:sz w:val="24"/>
          <w:szCs w:val="24"/>
        </w:rPr>
        <w:t>ovšem musela být poskytnuta formou daru, jako projev uznání a vděku, a nesměla být sjednána předem.</w:t>
      </w:r>
      <w:r w:rsidR="00745D3E" w:rsidRPr="00DA196C">
        <w:rPr>
          <w:rStyle w:val="Znakapoznpodarou"/>
          <w:rFonts w:ascii="Garamond" w:hAnsi="Garamond"/>
          <w:sz w:val="24"/>
          <w:szCs w:val="24"/>
        </w:rPr>
        <w:footnoteReference w:id="109"/>
      </w:r>
    </w:p>
    <w:p w:rsidR="0051509E" w:rsidRPr="00DA196C" w:rsidRDefault="00AC731E"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Je třeba zmínit též edikt císaře </w:t>
      </w:r>
      <w:proofErr w:type="spellStart"/>
      <w:r w:rsidRPr="00DA196C">
        <w:rPr>
          <w:rFonts w:ascii="Garamond" w:hAnsi="Garamond"/>
          <w:sz w:val="24"/>
          <w:szCs w:val="24"/>
        </w:rPr>
        <w:t>Diokleciána</w:t>
      </w:r>
      <w:proofErr w:type="spellEnd"/>
      <w:r w:rsidRPr="00DA196C">
        <w:rPr>
          <w:rFonts w:ascii="Garamond" w:hAnsi="Garamond"/>
          <w:sz w:val="24"/>
          <w:szCs w:val="24"/>
        </w:rPr>
        <w:t xml:space="preserve"> z roku 301, jímž byly určeny maximální ceny za zboží a služby.</w:t>
      </w:r>
      <w:r w:rsidR="00CD5B9A" w:rsidRPr="00DA196C">
        <w:rPr>
          <w:rFonts w:ascii="Garamond" w:hAnsi="Garamond"/>
          <w:sz w:val="24"/>
          <w:szCs w:val="24"/>
        </w:rPr>
        <w:t xml:space="preserve"> Pro advokáty stanovil maximální sazbu 250</w:t>
      </w:r>
      <w:r w:rsidR="000640B1" w:rsidRPr="00DA196C">
        <w:rPr>
          <w:rFonts w:ascii="Garamond" w:hAnsi="Garamond"/>
          <w:sz w:val="24"/>
          <w:szCs w:val="24"/>
        </w:rPr>
        <w:t xml:space="preserve"> denárů</w:t>
      </w:r>
      <w:r w:rsidR="00CD5B9A" w:rsidRPr="00DA196C">
        <w:rPr>
          <w:rFonts w:ascii="Garamond" w:hAnsi="Garamond"/>
          <w:sz w:val="24"/>
          <w:szCs w:val="24"/>
        </w:rPr>
        <w:t xml:space="preserve"> za zahájení soudního řízení a 1 000 </w:t>
      </w:r>
      <w:r w:rsidR="000640B1" w:rsidRPr="00DA196C">
        <w:rPr>
          <w:rFonts w:ascii="Garamond" w:hAnsi="Garamond"/>
          <w:sz w:val="24"/>
          <w:szCs w:val="24"/>
        </w:rPr>
        <w:t xml:space="preserve">denárů </w:t>
      </w:r>
      <w:r w:rsidR="00CD5B9A" w:rsidRPr="00DA196C">
        <w:rPr>
          <w:rFonts w:ascii="Garamond" w:hAnsi="Garamond"/>
          <w:sz w:val="24"/>
          <w:szCs w:val="24"/>
        </w:rPr>
        <w:t xml:space="preserve">za </w:t>
      </w:r>
      <w:r w:rsidR="000640B1" w:rsidRPr="00DA196C">
        <w:rPr>
          <w:rFonts w:ascii="Garamond" w:hAnsi="Garamond"/>
          <w:sz w:val="24"/>
          <w:szCs w:val="24"/>
        </w:rPr>
        <w:t>zastupování v řízení.</w:t>
      </w:r>
      <w:r w:rsidRPr="00DA196C">
        <w:rPr>
          <w:rFonts w:ascii="Garamond" w:hAnsi="Garamond"/>
          <w:sz w:val="24"/>
          <w:szCs w:val="24"/>
        </w:rPr>
        <w:t xml:space="preserve"> I přes přísně stanovené sankce </w:t>
      </w:r>
      <w:r w:rsidR="00CD5B9A" w:rsidRPr="00DA196C">
        <w:rPr>
          <w:rFonts w:ascii="Garamond" w:hAnsi="Garamond"/>
          <w:sz w:val="24"/>
          <w:szCs w:val="24"/>
        </w:rPr>
        <w:t>však nebyl edikt dodržován.</w:t>
      </w:r>
      <w:r w:rsidR="000640B1" w:rsidRPr="00DA196C">
        <w:rPr>
          <w:rStyle w:val="Znakapoznpodarou"/>
          <w:rFonts w:ascii="Garamond" w:hAnsi="Garamond"/>
          <w:sz w:val="24"/>
          <w:szCs w:val="24"/>
        </w:rPr>
        <w:footnoteReference w:id="110"/>
      </w:r>
      <w:r w:rsidR="00CD5B9A" w:rsidRPr="00DA196C">
        <w:rPr>
          <w:rFonts w:ascii="Garamond" w:hAnsi="Garamond"/>
          <w:sz w:val="24"/>
          <w:szCs w:val="24"/>
        </w:rPr>
        <w:t xml:space="preserve"> </w:t>
      </w:r>
    </w:p>
    <w:p w:rsidR="00783672" w:rsidRPr="00DA196C" w:rsidRDefault="00783672" w:rsidP="00FA1FF7">
      <w:pPr>
        <w:pStyle w:val="Nadpis2"/>
        <w:contextualSpacing/>
      </w:pPr>
      <w:bookmarkStart w:id="24" w:name="_Toc36031953"/>
      <w:r w:rsidRPr="00DA196C">
        <w:t>Kdo nesl náklady řízení</w:t>
      </w:r>
      <w:bookmarkEnd w:id="24"/>
    </w:p>
    <w:p w:rsidR="0000274D" w:rsidRPr="00DA196C" w:rsidRDefault="0000274D" w:rsidP="00FA1FF7">
      <w:pPr>
        <w:pStyle w:val="Textpoznpodarou"/>
        <w:spacing w:line="360" w:lineRule="auto"/>
        <w:ind w:firstLine="708"/>
        <w:contextualSpacing/>
        <w:jc w:val="both"/>
        <w:rPr>
          <w:rFonts w:ascii="Garamond" w:hAnsi="Garamond"/>
          <w:sz w:val="24"/>
        </w:rPr>
      </w:pPr>
      <w:r w:rsidRPr="00DA196C">
        <w:rPr>
          <w:rFonts w:ascii="Garamond" w:hAnsi="Garamond"/>
          <w:sz w:val="24"/>
        </w:rPr>
        <w:t xml:space="preserve">Zásada náhrady nákladů, jakou známe ze současného práva, byla v římském právu zavedena až koncem 5. století. Císař </w:t>
      </w:r>
      <w:proofErr w:type="spellStart"/>
      <w:r w:rsidRPr="00DA196C">
        <w:rPr>
          <w:rFonts w:ascii="Garamond" w:hAnsi="Garamond"/>
          <w:sz w:val="24"/>
        </w:rPr>
        <w:t>Zenon</w:t>
      </w:r>
      <w:proofErr w:type="spellEnd"/>
      <w:r w:rsidRPr="00DA196C">
        <w:rPr>
          <w:rFonts w:ascii="Garamond" w:hAnsi="Garamond"/>
          <w:sz w:val="24"/>
        </w:rPr>
        <w:t xml:space="preserve"> zavedl roku 487 obecné pravidlo, že každý, kdo prohrál v soudním sporu, ať už se jednalo o žalobce či žalovaného, a ať byl v dobré víře či nikoli, musel nahradit vítězné protistraně náklady spojené s daným soudním řízením.</w:t>
      </w:r>
      <w:r w:rsidR="00676BDB" w:rsidRPr="00DA196C">
        <w:rPr>
          <w:rStyle w:val="Znakapoznpodarou"/>
          <w:rFonts w:ascii="Garamond" w:hAnsi="Garamond"/>
          <w:sz w:val="24"/>
        </w:rPr>
        <w:footnoteReference w:id="111"/>
      </w:r>
      <w:r w:rsidRPr="00DA196C">
        <w:rPr>
          <w:rFonts w:ascii="Garamond" w:hAnsi="Garamond"/>
          <w:sz w:val="24"/>
        </w:rPr>
        <w:t xml:space="preserve"> </w:t>
      </w:r>
      <w:r w:rsidR="00676BDB" w:rsidRPr="00DA196C">
        <w:rPr>
          <w:rFonts w:ascii="Garamond" w:hAnsi="Garamond"/>
          <w:sz w:val="24"/>
        </w:rPr>
        <w:t>Jestliže ale žalobce projevil svou dobrou víru tím, že od žaloby upustil, nebo žalovaný tím, že plnil, nebo jestliže soudce dospěl k závěru, že žalobce nežaloval zlovolně a předmětem sporu byla rozporuplná záležitost (tedy žalobce se mohl domnívat, že uplatňuje žalobu po právu), pak nebyla strana sporu, která prohrála odsouzena rozsudkem k náhradě nákladů.</w:t>
      </w:r>
      <w:r w:rsidR="00676BDB" w:rsidRPr="00DA196C">
        <w:rPr>
          <w:rStyle w:val="Znakapoznpodarou"/>
          <w:rFonts w:ascii="Garamond" w:hAnsi="Garamond"/>
          <w:sz w:val="24"/>
        </w:rPr>
        <w:footnoteReference w:id="112"/>
      </w:r>
    </w:p>
    <w:p w:rsidR="00783672" w:rsidRPr="00DA196C" w:rsidRDefault="00783672" w:rsidP="00FA1FF7">
      <w:pPr>
        <w:pStyle w:val="Nadpis2"/>
        <w:contextualSpacing/>
      </w:pPr>
      <w:bookmarkStart w:id="25" w:name="_Toc36031954"/>
      <w:r w:rsidRPr="00DA196C">
        <w:t>Současná právní úprava nákladů řízení</w:t>
      </w:r>
      <w:bookmarkEnd w:id="25"/>
    </w:p>
    <w:p w:rsidR="007E1423" w:rsidRPr="00DA196C" w:rsidRDefault="007E142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Základ současné právní úpravy nákladů řízení nalezneme v občanském soudním řádu v ustanoveních § 137 a následujících. </w:t>
      </w:r>
    </w:p>
    <w:p w:rsidR="007E1423" w:rsidRPr="00DA196C" w:rsidRDefault="007E142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 ustanovení § 137 odst. 1 je uveden demonstrativní výčet toho, co je považováno za náklady řízení. Jsou to </w:t>
      </w:r>
      <w:r w:rsidRPr="00DA196C">
        <w:rPr>
          <w:rFonts w:ascii="Garamond" w:hAnsi="Garamond"/>
          <w:i/>
          <w:sz w:val="24"/>
          <w:szCs w:val="24"/>
        </w:rPr>
        <w:t>„zejména hotové výdaje účastníků a jejich zástupců, včetně soudního poplatku, ušlý výdělek účastníků a jejich zákonných zástupců, náklady důkazů, tlumočné, náhrada za daň z přidané hodnoty, odměna za zastupování a odměna pro mediátora podle zákona o mediaci za první setkání s mediátorem nařízené soudem podle § 100 odst. 2“</w:t>
      </w:r>
      <w:r w:rsidRPr="00DA196C">
        <w:rPr>
          <w:rFonts w:ascii="Garamond" w:hAnsi="Garamond"/>
          <w:sz w:val="24"/>
          <w:szCs w:val="24"/>
        </w:rPr>
        <w:t>.</w:t>
      </w:r>
    </w:p>
    <w:p w:rsidR="005B20EA" w:rsidRPr="00DA196C" w:rsidRDefault="008D4A69"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lastRenderedPageBreak/>
        <w:t>Hotové výdaje účastníků a jejich zástupců jsou takové výdaje, které mají souvislost s řízením. Jednací řád pro okresní a krajské soudy</w:t>
      </w:r>
      <w:r w:rsidRPr="00DA196C">
        <w:rPr>
          <w:rStyle w:val="Znakapoznpodarou"/>
          <w:rFonts w:ascii="Garamond" w:hAnsi="Garamond"/>
          <w:sz w:val="24"/>
          <w:szCs w:val="24"/>
        </w:rPr>
        <w:footnoteReference w:id="113"/>
      </w:r>
      <w:r w:rsidRPr="00DA196C">
        <w:rPr>
          <w:rFonts w:ascii="Garamond" w:hAnsi="Garamond"/>
          <w:sz w:val="24"/>
          <w:szCs w:val="24"/>
        </w:rPr>
        <w:t xml:space="preserve"> stanovuje v ustanovení § 29 odst. 1 demonstrativním výčtem, že </w:t>
      </w:r>
      <w:r w:rsidRPr="00DA196C">
        <w:rPr>
          <w:rFonts w:ascii="Garamond" w:hAnsi="Garamond"/>
          <w:i/>
          <w:sz w:val="24"/>
          <w:szCs w:val="24"/>
        </w:rPr>
        <w:t>„k hotovým výdajům účastníka náleží jízdné, stravné a nocležné“</w:t>
      </w:r>
      <w:r w:rsidRPr="00DA196C">
        <w:rPr>
          <w:rFonts w:ascii="Garamond" w:hAnsi="Garamond"/>
          <w:sz w:val="24"/>
          <w:szCs w:val="24"/>
        </w:rPr>
        <w:t xml:space="preserve">. Taktéž demonstrativním výčtem jsou stanoveny hotové výdaje advokáta v ustanovení § 13 odst. 1 advokátního tarifu, které říká, že: </w:t>
      </w:r>
      <w:r w:rsidRPr="00DA196C">
        <w:rPr>
          <w:rFonts w:ascii="Garamond" w:hAnsi="Garamond"/>
          <w:i/>
          <w:sz w:val="24"/>
          <w:szCs w:val="24"/>
        </w:rPr>
        <w:t>„Advokátu náleží náhrada hotových výdajů účelně vynaložených v souvislosti s poskytnutím právní služby, zejména na soudní a jiné poplatky, cestovní výdaje, poštovné, telekomunikační poplatky, znalecké posudky a odborná vyjádření, překlady, opisy a fotokopie.</w:t>
      </w:r>
      <w:r w:rsidR="00E97D72" w:rsidRPr="00DA196C">
        <w:rPr>
          <w:rFonts w:ascii="Garamond" w:hAnsi="Garamond"/>
          <w:i/>
          <w:sz w:val="24"/>
          <w:szCs w:val="24"/>
        </w:rPr>
        <w:t>“</w:t>
      </w:r>
      <w:r w:rsidR="006D72CB" w:rsidRPr="00DA196C">
        <w:rPr>
          <w:rFonts w:ascii="Garamond" w:hAnsi="Garamond"/>
          <w:sz w:val="24"/>
          <w:szCs w:val="24"/>
        </w:rPr>
        <w:t xml:space="preserve"> </w:t>
      </w:r>
      <w:r w:rsidR="006D72CB" w:rsidRPr="00DA196C">
        <w:rPr>
          <w:rFonts w:ascii="Garamond" w:hAnsi="Garamond"/>
          <w:i/>
          <w:sz w:val="24"/>
          <w:szCs w:val="24"/>
        </w:rPr>
        <w:t>„Jejich výši je třeba vždy doložit, pokud by ale bylo prokázáno, že vznikly, a jejich výše byla sporná, měly by se přiznávat v obvyklé výši, nikoliv nepřiznávat vůbec.“</w:t>
      </w:r>
      <w:r w:rsidR="006D72CB" w:rsidRPr="00DA196C">
        <w:rPr>
          <w:rStyle w:val="Znakapoznpodarou"/>
          <w:rFonts w:ascii="Garamond" w:hAnsi="Garamond"/>
          <w:i/>
          <w:sz w:val="24"/>
          <w:szCs w:val="24"/>
        </w:rPr>
        <w:footnoteReference w:id="114"/>
      </w:r>
    </w:p>
    <w:p w:rsidR="00452155" w:rsidRPr="00DA196C" w:rsidRDefault="0045215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Soudní poplatky jsou upraveny zákonem o soudních poplatcích</w:t>
      </w:r>
      <w:r w:rsidR="00FF2AC2" w:rsidRPr="00DA196C">
        <w:rPr>
          <w:rStyle w:val="Znakapoznpodarou"/>
          <w:rFonts w:ascii="Garamond" w:hAnsi="Garamond"/>
          <w:sz w:val="24"/>
          <w:szCs w:val="24"/>
        </w:rPr>
        <w:footnoteReference w:id="115"/>
      </w:r>
      <w:r w:rsidR="002C3689" w:rsidRPr="00DA196C">
        <w:rPr>
          <w:rFonts w:ascii="Garamond" w:hAnsi="Garamond"/>
          <w:sz w:val="24"/>
          <w:szCs w:val="24"/>
        </w:rPr>
        <w:t xml:space="preserve">, který v příloze nazvané </w:t>
      </w:r>
      <w:r w:rsidR="002C3689" w:rsidRPr="00DA196C">
        <w:rPr>
          <w:rFonts w:ascii="Garamond" w:hAnsi="Garamond"/>
          <w:i/>
          <w:sz w:val="24"/>
          <w:szCs w:val="24"/>
        </w:rPr>
        <w:t>„Sazebník poplatků“</w:t>
      </w:r>
      <w:r w:rsidR="002C3689" w:rsidRPr="00DA196C">
        <w:rPr>
          <w:rFonts w:ascii="Garamond" w:hAnsi="Garamond"/>
          <w:sz w:val="24"/>
          <w:szCs w:val="24"/>
        </w:rPr>
        <w:t xml:space="preserve"> stanovuje konkrétní výši poplatků za řízení nebo úkony prováděné soudem. Na podání žaloby na vydání věci se vztahuje položka 4 bod 1písmeno c) této přílohy, kdy výše soudního poplatku je zde stanovena na 2 000 Kč.</w:t>
      </w:r>
      <w:r w:rsidR="00177123" w:rsidRPr="00DA196C">
        <w:rPr>
          <w:rFonts w:ascii="Garamond" w:hAnsi="Garamond"/>
          <w:sz w:val="24"/>
          <w:szCs w:val="24"/>
        </w:rPr>
        <w:t xml:space="preserve"> </w:t>
      </w:r>
      <w:r w:rsidR="007B1B27" w:rsidRPr="00DA196C">
        <w:rPr>
          <w:rFonts w:ascii="Garamond" w:hAnsi="Garamond"/>
          <w:sz w:val="24"/>
          <w:szCs w:val="24"/>
        </w:rPr>
        <w:t xml:space="preserve">Výše soudních poplatků je dnes tedy diverzifikována </w:t>
      </w:r>
      <w:r w:rsidR="00BE5E1F" w:rsidRPr="00DA196C">
        <w:rPr>
          <w:rFonts w:ascii="Garamond" w:hAnsi="Garamond"/>
          <w:sz w:val="24"/>
          <w:szCs w:val="24"/>
        </w:rPr>
        <w:t>na základě druhů žalob, n</w:t>
      </w:r>
      <w:r w:rsidR="00AA371A" w:rsidRPr="00DA196C">
        <w:rPr>
          <w:rFonts w:ascii="Garamond" w:hAnsi="Garamond"/>
          <w:sz w:val="24"/>
          <w:szCs w:val="24"/>
        </w:rPr>
        <w:t xml:space="preserve">a rozdíl od výše uvedené římskoprávní úpravy soudních poplatků, kdy poplatky byly více méně jednotné pro všechny žaloby. </w:t>
      </w:r>
      <w:r w:rsidR="0060067A" w:rsidRPr="00DA196C">
        <w:rPr>
          <w:rFonts w:ascii="Garamond" w:hAnsi="Garamond"/>
          <w:sz w:val="24"/>
          <w:szCs w:val="24"/>
        </w:rPr>
        <w:t xml:space="preserve">Poplatníkem je navrhovatel a </w:t>
      </w:r>
      <w:r w:rsidR="00650863" w:rsidRPr="00DA196C">
        <w:rPr>
          <w:rFonts w:ascii="Garamond" w:hAnsi="Garamond"/>
          <w:sz w:val="24"/>
          <w:szCs w:val="24"/>
        </w:rPr>
        <w:t>p</w:t>
      </w:r>
      <w:r w:rsidR="00177123" w:rsidRPr="00DA196C">
        <w:rPr>
          <w:rFonts w:ascii="Garamond" w:hAnsi="Garamond"/>
          <w:sz w:val="24"/>
          <w:szCs w:val="24"/>
        </w:rPr>
        <w:t xml:space="preserve">oplatková povinnost vzniká okamžikem podání návrhu a </w:t>
      </w:r>
      <w:r w:rsidR="0060067A" w:rsidRPr="00DA196C">
        <w:rPr>
          <w:rFonts w:ascii="Garamond" w:hAnsi="Garamond"/>
          <w:sz w:val="24"/>
          <w:szCs w:val="24"/>
        </w:rPr>
        <w:t>vznikem poplatkové povinnosti je poplatek splatný. Jestliže není splatný poplatek zaplacen, vyzve soud poplatníka k zap</w:t>
      </w:r>
      <w:bookmarkStart w:id="26" w:name="_GoBack"/>
      <w:bookmarkEnd w:id="26"/>
      <w:r w:rsidR="0060067A" w:rsidRPr="00DA196C">
        <w:rPr>
          <w:rFonts w:ascii="Garamond" w:hAnsi="Garamond"/>
          <w:sz w:val="24"/>
          <w:szCs w:val="24"/>
        </w:rPr>
        <w:t>lacení ve lhůtě, kterou soud určí. Jestliže není poplatek zaplacen ani v této lhůtě, má to za následek zastavení řízení.</w:t>
      </w:r>
      <w:r w:rsidR="00650863" w:rsidRPr="00DA196C">
        <w:rPr>
          <w:rFonts w:ascii="Garamond" w:hAnsi="Garamond"/>
          <w:sz w:val="24"/>
          <w:szCs w:val="24"/>
        </w:rPr>
        <w:t xml:space="preserve"> Pokud bylo řízení zastaveno pro nezaplacení soudního poplatku, lze žalobu na vydání věci podat znova.</w:t>
      </w:r>
      <w:r w:rsidR="0060067A" w:rsidRPr="00DA196C">
        <w:rPr>
          <w:rFonts w:ascii="Garamond" w:hAnsi="Garamond"/>
          <w:sz w:val="24"/>
          <w:szCs w:val="24"/>
        </w:rPr>
        <w:t xml:space="preserve"> Zastavení řízení pro nezpalacení soudního poplatku </w:t>
      </w:r>
      <w:r w:rsidR="00650863" w:rsidRPr="00DA196C">
        <w:rPr>
          <w:rFonts w:ascii="Garamond" w:hAnsi="Garamond"/>
          <w:sz w:val="24"/>
          <w:szCs w:val="24"/>
        </w:rPr>
        <w:t xml:space="preserve">totiž </w:t>
      </w:r>
      <w:r w:rsidR="0060067A" w:rsidRPr="00DA196C">
        <w:rPr>
          <w:rFonts w:ascii="Garamond" w:hAnsi="Garamond"/>
          <w:sz w:val="24"/>
          <w:szCs w:val="24"/>
        </w:rPr>
        <w:t>nezakládá překážku věci pravomocně rozhodnuté ve smyslu ustanovení § 159a odst. 4 občanského soudního řádu, jelikož se nejedná o rozhodnutí ve věci samé.</w:t>
      </w:r>
    </w:p>
    <w:p w:rsidR="009F0573" w:rsidRPr="00DA196C" w:rsidRDefault="009F057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Účastník řízení, případně i jeho zákonný zástupce, má právo na náhradu ušlého výdělku. Jedná se o kompenzaci za to, že účastník musel věnovat určitý čas samotnému řízení a tedy během této doby nemohl dosáhnout výdělku, kterého by jinak dosáhl, kdyby se mohl věnovat práci. </w:t>
      </w:r>
      <w:r w:rsidRPr="00DA196C">
        <w:rPr>
          <w:rFonts w:ascii="Garamond" w:hAnsi="Garamond"/>
          <w:i/>
          <w:sz w:val="24"/>
          <w:szCs w:val="24"/>
        </w:rPr>
        <w:t>„Nahrazovaná doba tedy sestává z doby trvání jednání plus dopravy do místa soudu a zpět na pracoviště. V případě, že účastník již nemůže nastoupit na svou směnu (například řidič autobusu), nahradí se mu maximálně délka jeho směny.“</w:t>
      </w:r>
      <w:r w:rsidRPr="00DA196C">
        <w:rPr>
          <w:rStyle w:val="Znakapoznpodarou"/>
          <w:rFonts w:ascii="Garamond" w:hAnsi="Garamond"/>
          <w:i/>
          <w:sz w:val="24"/>
          <w:szCs w:val="24"/>
        </w:rPr>
        <w:footnoteReference w:id="116"/>
      </w:r>
    </w:p>
    <w:p w:rsidR="00062FF4" w:rsidRPr="00DA196C" w:rsidRDefault="00062FF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Odměna za zastupování </w:t>
      </w:r>
      <w:r w:rsidR="00226B61" w:rsidRPr="00DA196C">
        <w:rPr>
          <w:rFonts w:ascii="Garamond" w:hAnsi="Garamond"/>
          <w:sz w:val="24"/>
          <w:szCs w:val="24"/>
        </w:rPr>
        <w:t>advokátem se řídí smlouvou uzavřenou mezi advokátem a klientem a není-li takto stanovena smluvní odměna, řídí se ustanoveními advokátního tarifu</w:t>
      </w:r>
      <w:r w:rsidR="00226B61" w:rsidRPr="00DA196C">
        <w:rPr>
          <w:rStyle w:val="Znakapoznpodarou"/>
          <w:rFonts w:ascii="Garamond" w:hAnsi="Garamond"/>
          <w:sz w:val="24"/>
          <w:szCs w:val="24"/>
        </w:rPr>
        <w:footnoteReference w:id="117"/>
      </w:r>
      <w:r w:rsidR="00226B61" w:rsidRPr="00DA196C">
        <w:rPr>
          <w:rFonts w:ascii="Garamond" w:hAnsi="Garamond"/>
          <w:sz w:val="24"/>
          <w:szCs w:val="24"/>
        </w:rPr>
        <w:t xml:space="preserve">. Při </w:t>
      </w:r>
      <w:r w:rsidR="00226B61" w:rsidRPr="00DA196C">
        <w:rPr>
          <w:rFonts w:ascii="Garamond" w:hAnsi="Garamond"/>
          <w:sz w:val="24"/>
          <w:szCs w:val="24"/>
        </w:rPr>
        <w:lastRenderedPageBreak/>
        <w:t xml:space="preserve">stanovení náhrady nákladů řízení, která se přiznává klientovi, se však výše odměny advokáta určí podle </w:t>
      </w:r>
      <w:r w:rsidR="005B20EA" w:rsidRPr="00DA196C">
        <w:rPr>
          <w:rFonts w:ascii="Garamond" w:hAnsi="Garamond"/>
          <w:sz w:val="24"/>
          <w:szCs w:val="24"/>
        </w:rPr>
        <w:t>advokátního tarifu a výše smluvní odměny tak zde nehraje roli.</w:t>
      </w:r>
    </w:p>
    <w:p w:rsidR="00471106" w:rsidRDefault="000D43B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týče náhrady nákladů řízení, </w:t>
      </w:r>
      <w:r w:rsidR="00304DFA" w:rsidRPr="00DA196C">
        <w:rPr>
          <w:rFonts w:ascii="Garamond" w:hAnsi="Garamond"/>
          <w:sz w:val="24"/>
          <w:szCs w:val="24"/>
        </w:rPr>
        <w:t>uplatní se zde zásada</w:t>
      </w:r>
      <w:r w:rsidRPr="00DA196C">
        <w:rPr>
          <w:rFonts w:ascii="Garamond" w:hAnsi="Garamond"/>
          <w:sz w:val="24"/>
          <w:szCs w:val="24"/>
        </w:rPr>
        <w:t xml:space="preserve"> úspěchu ve věci.</w:t>
      </w:r>
      <w:r w:rsidR="00AD6FA7" w:rsidRPr="00DA196C">
        <w:rPr>
          <w:rFonts w:ascii="Garamond" w:hAnsi="Garamond"/>
          <w:sz w:val="24"/>
          <w:szCs w:val="24"/>
        </w:rPr>
        <w:t xml:space="preserve"> Náhrada nákladů řízení je upravena v občanském soudním řádu v ustanoveních § 142 a následujících.</w:t>
      </w:r>
      <w:r w:rsidRPr="00DA196C">
        <w:rPr>
          <w:rFonts w:ascii="Garamond" w:hAnsi="Garamond"/>
          <w:sz w:val="24"/>
          <w:szCs w:val="24"/>
        </w:rPr>
        <w:t xml:space="preserve"> </w:t>
      </w:r>
      <w:r w:rsidR="00E9223C" w:rsidRPr="00DA196C">
        <w:rPr>
          <w:rFonts w:ascii="Garamond" w:hAnsi="Garamond"/>
          <w:sz w:val="24"/>
          <w:szCs w:val="24"/>
        </w:rPr>
        <w:t xml:space="preserve">Obecné pravidlo je zakotveno v </w:t>
      </w:r>
      <w:r w:rsidR="00AD6FA7" w:rsidRPr="00DA196C">
        <w:rPr>
          <w:rFonts w:ascii="Garamond" w:hAnsi="Garamond"/>
          <w:sz w:val="24"/>
          <w:szCs w:val="24"/>
        </w:rPr>
        <w:t>ustanovení § 142 odst. 1 občanského soudního řádu</w:t>
      </w:r>
      <w:r w:rsidR="00E9223C" w:rsidRPr="00DA196C">
        <w:rPr>
          <w:rFonts w:ascii="Garamond" w:hAnsi="Garamond"/>
          <w:sz w:val="24"/>
          <w:szCs w:val="24"/>
        </w:rPr>
        <w:t>, dle kterého</w:t>
      </w:r>
      <w:r w:rsidR="00AD6FA7" w:rsidRPr="00DA196C">
        <w:rPr>
          <w:rFonts w:ascii="Garamond" w:hAnsi="Garamond"/>
          <w:sz w:val="24"/>
          <w:szCs w:val="24"/>
        </w:rPr>
        <w:t xml:space="preserve"> je neúspěšný účastník sporu povinen nahradit protistraně náklady řízení, které jí vznikly.  </w:t>
      </w:r>
    </w:p>
    <w:p w:rsidR="000D43B8" w:rsidRPr="00DA196C" w:rsidRDefault="00471106" w:rsidP="00FA1FF7">
      <w:pPr>
        <w:spacing w:line="360" w:lineRule="auto"/>
        <w:contextualSpacing/>
        <w:jc w:val="both"/>
        <w:rPr>
          <w:rFonts w:ascii="Garamond" w:hAnsi="Garamond"/>
          <w:sz w:val="24"/>
          <w:szCs w:val="24"/>
        </w:rPr>
      </w:pPr>
      <w:r>
        <w:rPr>
          <w:rFonts w:ascii="Garamond" w:hAnsi="Garamond"/>
          <w:sz w:val="24"/>
          <w:szCs w:val="24"/>
        </w:rPr>
        <w:br w:type="page"/>
      </w:r>
    </w:p>
    <w:p w:rsidR="00783672" w:rsidRPr="00DA196C" w:rsidRDefault="00783672" w:rsidP="00FA1FF7">
      <w:pPr>
        <w:pStyle w:val="Nadpis1"/>
        <w:contextualSpacing/>
      </w:pPr>
      <w:bookmarkStart w:id="27" w:name="_Toc36031955"/>
      <w:r w:rsidRPr="00DA196C">
        <w:lastRenderedPageBreak/>
        <w:t>Výkon rozhodnutí</w:t>
      </w:r>
      <w:bookmarkEnd w:id="27"/>
    </w:p>
    <w:p w:rsidR="00783672" w:rsidRPr="00DA196C" w:rsidRDefault="00783672" w:rsidP="00FA1FF7">
      <w:pPr>
        <w:pStyle w:val="Nadpis2"/>
        <w:contextualSpacing/>
      </w:pPr>
      <w:bookmarkStart w:id="28" w:name="_Toc36031956"/>
      <w:r w:rsidRPr="00DA196C">
        <w:t>Předpoklady pro výkon rozhodnutí</w:t>
      </w:r>
      <w:bookmarkEnd w:id="28"/>
    </w:p>
    <w:p w:rsidR="00042C17" w:rsidRPr="00DA196C" w:rsidRDefault="006C65D2"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Nezbytným předpokladem pro výkon rozhodnutí byla existence </w:t>
      </w:r>
      <w:r w:rsidR="00A260C3" w:rsidRPr="00DA196C">
        <w:rPr>
          <w:rFonts w:ascii="Garamond" w:hAnsi="Garamond"/>
          <w:sz w:val="24"/>
          <w:szCs w:val="24"/>
        </w:rPr>
        <w:t xml:space="preserve">pravomocného </w:t>
      </w:r>
      <w:r w:rsidRPr="00DA196C">
        <w:rPr>
          <w:rFonts w:ascii="Garamond" w:hAnsi="Garamond"/>
          <w:sz w:val="24"/>
          <w:szCs w:val="24"/>
        </w:rPr>
        <w:t>odsuzujícího rozsudku přikazujícího žalovanému povinnost určitého plnění.</w:t>
      </w:r>
      <w:r w:rsidR="00C51BA4" w:rsidRPr="00DA196C">
        <w:rPr>
          <w:rFonts w:ascii="Garamond" w:hAnsi="Garamond"/>
          <w:sz w:val="24"/>
          <w:szCs w:val="24"/>
        </w:rPr>
        <w:t xml:space="preserve"> </w:t>
      </w:r>
      <w:r w:rsidR="0020280D" w:rsidRPr="00DA196C">
        <w:rPr>
          <w:rFonts w:ascii="Garamond" w:hAnsi="Garamond"/>
          <w:sz w:val="24"/>
          <w:szCs w:val="24"/>
        </w:rPr>
        <w:t>Z obsahového hlediska musel být rozsudek srozumitelný a musel směřo</w:t>
      </w:r>
      <w:r w:rsidR="00042C17" w:rsidRPr="00DA196C">
        <w:rPr>
          <w:rFonts w:ascii="Garamond" w:hAnsi="Garamond"/>
          <w:sz w:val="24"/>
          <w:szCs w:val="24"/>
        </w:rPr>
        <w:t xml:space="preserve">vat k jasnému rozsouzení sporu. </w:t>
      </w:r>
    </w:p>
    <w:p w:rsidR="00A260C3" w:rsidRPr="00DA196C" w:rsidRDefault="0020280D"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 případě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procesu bylo rozsudkem rozhodováno, která ze stran sporu učinila </w:t>
      </w:r>
      <w:proofErr w:type="spellStart"/>
      <w:r w:rsidR="00471106">
        <w:rPr>
          <w:rFonts w:ascii="Garamond" w:hAnsi="Garamond"/>
          <w:sz w:val="24"/>
          <w:szCs w:val="24"/>
        </w:rPr>
        <w:t>sacramentální</w:t>
      </w:r>
      <w:proofErr w:type="spellEnd"/>
      <w:r w:rsidRPr="00DA196C">
        <w:rPr>
          <w:rFonts w:ascii="Garamond" w:hAnsi="Garamond"/>
          <w:sz w:val="24"/>
          <w:szCs w:val="24"/>
        </w:rPr>
        <w:t xml:space="preserve"> sázku spravedlivě (</w:t>
      </w:r>
      <w:proofErr w:type="spellStart"/>
      <w:r w:rsidRPr="00471106">
        <w:rPr>
          <w:rFonts w:ascii="Garamond" w:hAnsi="Garamond"/>
          <w:i/>
          <w:sz w:val="24"/>
          <w:szCs w:val="24"/>
        </w:rPr>
        <w:t>sacramentum</w:t>
      </w:r>
      <w:proofErr w:type="spellEnd"/>
      <w:r w:rsidRPr="00471106">
        <w:rPr>
          <w:rFonts w:ascii="Garamond" w:hAnsi="Garamond"/>
          <w:i/>
          <w:sz w:val="24"/>
          <w:szCs w:val="24"/>
        </w:rPr>
        <w:t xml:space="preserve"> </w:t>
      </w:r>
      <w:proofErr w:type="spellStart"/>
      <w:r w:rsidRPr="00471106">
        <w:rPr>
          <w:rFonts w:ascii="Garamond" w:hAnsi="Garamond"/>
          <w:i/>
          <w:sz w:val="24"/>
          <w:szCs w:val="24"/>
        </w:rPr>
        <w:t>iustum</w:t>
      </w:r>
      <w:proofErr w:type="spellEnd"/>
      <w:r w:rsidRPr="00DA196C">
        <w:rPr>
          <w:rFonts w:ascii="Garamond" w:hAnsi="Garamond"/>
          <w:sz w:val="24"/>
          <w:szCs w:val="24"/>
        </w:rPr>
        <w:t xml:space="preserve">), otázka vlastnictví věci u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žaloby byla rozhodována nepřímo jako předběžná otázka. Ve formulovém procesu bylo rozsudkem </w:t>
      </w:r>
      <w:r w:rsidR="0067023F" w:rsidRPr="00DA196C">
        <w:rPr>
          <w:rFonts w:ascii="Garamond" w:hAnsi="Garamond"/>
          <w:sz w:val="24"/>
          <w:szCs w:val="24"/>
        </w:rPr>
        <w:t>rozhodováno již přímo o předmětu sporu, nicméně v obou případech šlo před soudem pouze o uplatnění a prokázání vlastnického práva, jemuž dle původního pojetí neodpovídala žádná povinnost.</w:t>
      </w:r>
      <w:r w:rsidR="00614CD6" w:rsidRPr="00DA196C">
        <w:rPr>
          <w:rStyle w:val="Znakapoznpodarou"/>
          <w:rFonts w:ascii="Garamond" w:hAnsi="Garamond"/>
          <w:sz w:val="24"/>
          <w:szCs w:val="24"/>
        </w:rPr>
        <w:footnoteReference w:id="118"/>
      </w:r>
      <w:r w:rsidR="0067023F" w:rsidRPr="00DA196C">
        <w:rPr>
          <w:rFonts w:ascii="Garamond" w:hAnsi="Garamond"/>
          <w:sz w:val="24"/>
          <w:szCs w:val="24"/>
        </w:rPr>
        <w:t xml:space="preserve"> Nebylo tedy možné tímto způsobem dosáhnout přímo vydání věci, nepřímo byl však k tomu žalovaný nucen tím, že mu byla uložena povinnost zaplatit žalobci peněžitou částku, kdy ocenění se provádělo na základě žalobcovy přísahy a zpravidla bylo vyšší, než skutečná hodnota věci. </w:t>
      </w:r>
      <w:r w:rsidR="00042C17" w:rsidRPr="00DA196C">
        <w:rPr>
          <w:rFonts w:ascii="Garamond" w:hAnsi="Garamond"/>
          <w:sz w:val="24"/>
          <w:szCs w:val="24"/>
        </w:rPr>
        <w:t xml:space="preserve">V souladu se zásadou pekuniární kondemnace tedy zněla žalobcova povinnost na zaplacení určité peněžité částky. </w:t>
      </w:r>
      <w:r w:rsidR="0067023F" w:rsidRPr="00DA196C">
        <w:rPr>
          <w:rFonts w:ascii="Garamond" w:hAnsi="Garamond"/>
          <w:sz w:val="24"/>
          <w:szCs w:val="24"/>
        </w:rPr>
        <w:t>Rozsudek byl vyhlašován ústně za přítomnosti stran sporu, pro které se tímto stával závazným</w:t>
      </w:r>
      <w:r w:rsidR="00471106">
        <w:rPr>
          <w:rFonts w:ascii="Garamond" w:hAnsi="Garamond"/>
          <w:sz w:val="24"/>
          <w:szCs w:val="24"/>
        </w:rPr>
        <w:t>.</w:t>
      </w:r>
      <w:r w:rsidR="0067023F" w:rsidRPr="00DA196C">
        <w:rPr>
          <w:rStyle w:val="Znakapoznpodarou"/>
          <w:rFonts w:ascii="Garamond" w:hAnsi="Garamond"/>
          <w:sz w:val="24"/>
          <w:szCs w:val="24"/>
        </w:rPr>
        <w:footnoteReference w:id="119"/>
      </w:r>
      <w:r w:rsidR="0067023F" w:rsidRPr="00DA196C">
        <w:rPr>
          <w:rFonts w:ascii="Garamond" w:hAnsi="Garamond"/>
          <w:sz w:val="24"/>
          <w:szCs w:val="24"/>
        </w:rPr>
        <w:t xml:space="preserve"> </w:t>
      </w:r>
      <w:r w:rsidR="008D562A" w:rsidRPr="00DA196C">
        <w:rPr>
          <w:rFonts w:ascii="Garamond" w:hAnsi="Garamond"/>
          <w:sz w:val="24"/>
          <w:szCs w:val="24"/>
        </w:rPr>
        <w:t>Vydáním rozsudku bylo řízení definitivně skončeno, nebyla možná apelace</w:t>
      </w:r>
      <w:r w:rsidR="00A260C3" w:rsidRPr="00DA196C">
        <w:rPr>
          <w:rFonts w:ascii="Garamond" w:hAnsi="Garamond"/>
          <w:sz w:val="24"/>
          <w:szCs w:val="24"/>
        </w:rPr>
        <w:t xml:space="preserve"> a nabýval tedy ihned právní moci.</w:t>
      </w:r>
    </w:p>
    <w:p w:rsidR="00042C17" w:rsidRPr="00DA196C" w:rsidRDefault="0078474A" w:rsidP="00FA1FF7">
      <w:pPr>
        <w:spacing w:after="0" w:line="360" w:lineRule="auto"/>
        <w:ind w:firstLine="708"/>
        <w:contextualSpacing/>
        <w:jc w:val="both"/>
        <w:rPr>
          <w:rFonts w:ascii="Garamond" w:hAnsi="Garamond"/>
          <w:i/>
          <w:sz w:val="24"/>
          <w:szCs w:val="24"/>
        </w:rPr>
      </w:pPr>
      <w:r w:rsidRPr="00DA196C">
        <w:rPr>
          <w:rFonts w:ascii="Garamond" w:hAnsi="Garamond"/>
          <w:sz w:val="24"/>
          <w:szCs w:val="24"/>
        </w:rPr>
        <w:t xml:space="preserve">Právní moc rozsudku, jak uvádí Vážný, </w:t>
      </w:r>
      <w:r w:rsidR="008D562A" w:rsidRPr="00DA196C">
        <w:rPr>
          <w:rFonts w:ascii="Garamond" w:hAnsi="Garamond"/>
          <w:sz w:val="24"/>
          <w:szCs w:val="24"/>
        </w:rPr>
        <w:t xml:space="preserve">však </w:t>
      </w:r>
      <w:r w:rsidRPr="00DA196C">
        <w:rPr>
          <w:rFonts w:ascii="Garamond" w:hAnsi="Garamond"/>
          <w:sz w:val="24"/>
          <w:szCs w:val="24"/>
        </w:rPr>
        <w:t xml:space="preserve">byla </w:t>
      </w:r>
      <w:r w:rsidRPr="00DA196C">
        <w:rPr>
          <w:rFonts w:ascii="Garamond" w:hAnsi="Garamond"/>
          <w:i/>
          <w:sz w:val="24"/>
          <w:szCs w:val="24"/>
        </w:rPr>
        <w:t>„</w:t>
      </w:r>
      <w:r w:rsidR="005E60F6" w:rsidRPr="00DA196C">
        <w:rPr>
          <w:rFonts w:ascii="Garamond" w:hAnsi="Garamond"/>
          <w:i/>
          <w:sz w:val="24"/>
          <w:szCs w:val="24"/>
        </w:rPr>
        <w:t xml:space="preserve">založena již konsumpčním účinkem </w:t>
      </w:r>
      <w:proofErr w:type="spellStart"/>
      <w:r w:rsidR="005E60F6" w:rsidRPr="00DA196C">
        <w:rPr>
          <w:rFonts w:ascii="Garamond" w:hAnsi="Garamond"/>
          <w:i/>
          <w:sz w:val="24"/>
          <w:szCs w:val="24"/>
        </w:rPr>
        <w:t>litiskontestace</w:t>
      </w:r>
      <w:proofErr w:type="spellEnd"/>
      <w:r w:rsidR="005E60F6" w:rsidRPr="00DA196C">
        <w:rPr>
          <w:rFonts w:ascii="Garamond" w:hAnsi="Garamond"/>
          <w:i/>
          <w:sz w:val="24"/>
          <w:szCs w:val="24"/>
        </w:rPr>
        <w:t xml:space="preserve">. Věc rozsouzená nemůže </w:t>
      </w:r>
      <w:proofErr w:type="spellStart"/>
      <w:r w:rsidR="005E60F6" w:rsidRPr="00DA196C">
        <w:rPr>
          <w:rFonts w:ascii="Garamond" w:hAnsi="Garamond"/>
          <w:i/>
          <w:sz w:val="24"/>
          <w:szCs w:val="24"/>
        </w:rPr>
        <w:t>býti</w:t>
      </w:r>
      <w:proofErr w:type="spellEnd"/>
      <w:r w:rsidR="005E60F6" w:rsidRPr="00DA196C">
        <w:rPr>
          <w:rFonts w:ascii="Garamond" w:hAnsi="Garamond"/>
          <w:i/>
          <w:sz w:val="24"/>
          <w:szCs w:val="24"/>
        </w:rPr>
        <w:t xml:space="preserve"> znova vznesena na soud, protože již prvním vznesením na soud byla žaloba konsumována.“</w:t>
      </w:r>
      <w:r w:rsidR="005E60F6" w:rsidRPr="00DA196C">
        <w:rPr>
          <w:rStyle w:val="Znakapoznpodarou"/>
          <w:rFonts w:ascii="Garamond" w:hAnsi="Garamond"/>
          <w:sz w:val="24"/>
          <w:szCs w:val="24"/>
        </w:rPr>
        <w:footnoteReference w:id="120"/>
      </w:r>
      <w:r w:rsidR="005E60F6" w:rsidRPr="00DA196C">
        <w:rPr>
          <w:rFonts w:ascii="Garamond" w:hAnsi="Garamond"/>
          <w:i/>
          <w:sz w:val="24"/>
          <w:szCs w:val="24"/>
        </w:rPr>
        <w:t xml:space="preserve"> </w:t>
      </w:r>
      <w:r w:rsidR="005E60F6" w:rsidRPr="00DA196C">
        <w:rPr>
          <w:rFonts w:ascii="Garamond" w:hAnsi="Garamond"/>
          <w:sz w:val="24"/>
          <w:szCs w:val="24"/>
        </w:rPr>
        <w:t xml:space="preserve">V případě </w:t>
      </w:r>
      <w:proofErr w:type="spellStart"/>
      <w:r w:rsidR="005E60F6" w:rsidRPr="00DA196C">
        <w:rPr>
          <w:rFonts w:ascii="Garamond" w:hAnsi="Garamond"/>
          <w:sz w:val="24"/>
          <w:szCs w:val="24"/>
        </w:rPr>
        <w:t>reivindikační</w:t>
      </w:r>
      <w:proofErr w:type="spellEnd"/>
      <w:r w:rsidR="005E60F6" w:rsidRPr="00DA196C">
        <w:rPr>
          <w:rFonts w:ascii="Garamond" w:hAnsi="Garamond"/>
          <w:sz w:val="24"/>
          <w:szCs w:val="24"/>
        </w:rPr>
        <w:t xml:space="preserve"> žaloby to znamenalo, že </w:t>
      </w:r>
      <w:r w:rsidR="005E60F6" w:rsidRPr="00DA196C">
        <w:rPr>
          <w:rFonts w:ascii="Garamond" w:hAnsi="Garamond"/>
          <w:i/>
          <w:sz w:val="24"/>
          <w:szCs w:val="24"/>
        </w:rPr>
        <w:t>„</w:t>
      </w:r>
      <w:proofErr w:type="spellStart"/>
      <w:r w:rsidR="005E60F6" w:rsidRPr="00DA196C">
        <w:rPr>
          <w:rFonts w:ascii="Garamond" w:hAnsi="Garamond"/>
          <w:i/>
          <w:sz w:val="24"/>
          <w:szCs w:val="24"/>
        </w:rPr>
        <w:t>Vindikoval</w:t>
      </w:r>
      <w:proofErr w:type="spellEnd"/>
      <w:r w:rsidR="005E60F6" w:rsidRPr="00DA196C">
        <w:rPr>
          <w:rFonts w:ascii="Garamond" w:hAnsi="Garamond"/>
          <w:i/>
          <w:sz w:val="24"/>
          <w:szCs w:val="24"/>
        </w:rPr>
        <w:t xml:space="preserve">-li někdo bez úspěchu proti druhému určitou věc, nemůže </w:t>
      </w:r>
      <w:proofErr w:type="spellStart"/>
      <w:r w:rsidR="005E60F6" w:rsidRPr="00DA196C">
        <w:rPr>
          <w:rFonts w:ascii="Garamond" w:hAnsi="Garamond"/>
          <w:i/>
          <w:sz w:val="24"/>
          <w:szCs w:val="24"/>
        </w:rPr>
        <w:t>vindikovat</w:t>
      </w:r>
      <w:proofErr w:type="spellEnd"/>
      <w:r w:rsidR="005E60F6" w:rsidRPr="00DA196C">
        <w:rPr>
          <w:rFonts w:ascii="Garamond" w:hAnsi="Garamond"/>
          <w:i/>
          <w:sz w:val="24"/>
          <w:szCs w:val="24"/>
        </w:rPr>
        <w:t xml:space="preserve"> znova, a to ani tehdy ne, když by chtěl vindikaci původně neúspěšně založenou nyní dodatečně </w:t>
      </w:r>
      <w:proofErr w:type="spellStart"/>
      <w:r w:rsidR="005E60F6" w:rsidRPr="00DA196C">
        <w:rPr>
          <w:rFonts w:ascii="Garamond" w:hAnsi="Garamond"/>
          <w:i/>
          <w:sz w:val="24"/>
          <w:szCs w:val="24"/>
        </w:rPr>
        <w:t>založiti</w:t>
      </w:r>
      <w:proofErr w:type="spellEnd"/>
      <w:r w:rsidR="005E60F6" w:rsidRPr="00DA196C">
        <w:rPr>
          <w:rFonts w:ascii="Garamond" w:hAnsi="Garamond"/>
          <w:i/>
          <w:sz w:val="24"/>
          <w:szCs w:val="24"/>
        </w:rPr>
        <w:t xml:space="preserve"> na jiném </w:t>
      </w:r>
      <w:proofErr w:type="spellStart"/>
      <w:r w:rsidR="005E60F6" w:rsidRPr="00DA196C">
        <w:rPr>
          <w:rFonts w:ascii="Garamond" w:hAnsi="Garamond"/>
          <w:i/>
          <w:sz w:val="24"/>
          <w:szCs w:val="24"/>
        </w:rPr>
        <w:t>důvodě</w:t>
      </w:r>
      <w:proofErr w:type="spellEnd"/>
      <w:r w:rsidR="005E60F6" w:rsidRPr="00DA196C">
        <w:rPr>
          <w:rFonts w:ascii="Garamond" w:hAnsi="Garamond"/>
          <w:i/>
          <w:sz w:val="24"/>
          <w:szCs w:val="24"/>
        </w:rPr>
        <w:t xml:space="preserve">. Neboť bylo již jeho tvrzení, že mu věc náleží podle práva </w:t>
      </w:r>
      <w:proofErr w:type="spellStart"/>
      <w:r w:rsidR="005E60F6" w:rsidRPr="00DA196C">
        <w:rPr>
          <w:rFonts w:ascii="Garamond" w:hAnsi="Garamond"/>
          <w:i/>
          <w:sz w:val="24"/>
          <w:szCs w:val="24"/>
        </w:rPr>
        <w:t>quiritského</w:t>
      </w:r>
      <w:proofErr w:type="spellEnd"/>
      <w:r w:rsidR="005E60F6" w:rsidRPr="00DA196C">
        <w:rPr>
          <w:rFonts w:ascii="Garamond" w:hAnsi="Garamond"/>
          <w:i/>
          <w:sz w:val="24"/>
          <w:szCs w:val="24"/>
        </w:rPr>
        <w:t xml:space="preserve">, vzneseno na soud a tudíž podrobeno soudcovu rozhodování. Jen tehdy, jestliže byla původní intence omezena na nabytí z určitého důvodu, mohl by po zamítnutí žaloby znovu </w:t>
      </w:r>
      <w:proofErr w:type="spellStart"/>
      <w:r w:rsidR="005E60F6" w:rsidRPr="00DA196C">
        <w:rPr>
          <w:rFonts w:ascii="Garamond" w:hAnsi="Garamond"/>
          <w:i/>
          <w:sz w:val="24"/>
          <w:szCs w:val="24"/>
        </w:rPr>
        <w:t>vindikovat</w:t>
      </w:r>
      <w:proofErr w:type="spellEnd"/>
      <w:r w:rsidR="005E60F6" w:rsidRPr="00DA196C">
        <w:rPr>
          <w:rFonts w:ascii="Garamond" w:hAnsi="Garamond"/>
          <w:i/>
          <w:sz w:val="24"/>
          <w:szCs w:val="24"/>
        </w:rPr>
        <w:t xml:space="preserve"> na podkladě jiné kausy. Rovněž tehdy, když původně obecně </w:t>
      </w:r>
      <w:proofErr w:type="spellStart"/>
      <w:r w:rsidR="005E60F6" w:rsidRPr="00DA196C">
        <w:rPr>
          <w:rFonts w:ascii="Garamond" w:hAnsi="Garamond"/>
          <w:i/>
          <w:sz w:val="24"/>
          <w:szCs w:val="24"/>
        </w:rPr>
        <w:t>vindikoval</w:t>
      </w:r>
      <w:proofErr w:type="spellEnd"/>
      <w:r w:rsidR="005E60F6" w:rsidRPr="00DA196C">
        <w:rPr>
          <w:rFonts w:ascii="Garamond" w:hAnsi="Garamond"/>
          <w:i/>
          <w:sz w:val="24"/>
          <w:szCs w:val="24"/>
        </w:rPr>
        <w:t>, ale po rozsudku nabyl věci znovu na podkladě nového titulu</w:t>
      </w:r>
      <w:r w:rsidR="00515C7E" w:rsidRPr="00DA196C">
        <w:rPr>
          <w:rFonts w:ascii="Garamond" w:hAnsi="Garamond"/>
          <w:i/>
          <w:sz w:val="24"/>
          <w:szCs w:val="24"/>
        </w:rPr>
        <w:t xml:space="preserve">, by mohl </w:t>
      </w:r>
      <w:proofErr w:type="spellStart"/>
      <w:r w:rsidR="00515C7E" w:rsidRPr="00DA196C">
        <w:rPr>
          <w:rFonts w:ascii="Garamond" w:hAnsi="Garamond"/>
          <w:i/>
          <w:sz w:val="24"/>
          <w:szCs w:val="24"/>
        </w:rPr>
        <w:t>vindikovati</w:t>
      </w:r>
      <w:proofErr w:type="spellEnd"/>
      <w:r w:rsidR="00515C7E" w:rsidRPr="00DA196C">
        <w:rPr>
          <w:rFonts w:ascii="Garamond" w:hAnsi="Garamond"/>
          <w:i/>
          <w:sz w:val="24"/>
          <w:szCs w:val="24"/>
        </w:rPr>
        <w:t xml:space="preserve"> na podkladě nového nabytí</w:t>
      </w:r>
      <w:r w:rsidR="005E60F6" w:rsidRPr="00DA196C">
        <w:rPr>
          <w:rFonts w:ascii="Garamond" w:hAnsi="Garamond"/>
          <w:i/>
          <w:sz w:val="24"/>
          <w:szCs w:val="24"/>
        </w:rPr>
        <w:t>…</w:t>
      </w:r>
      <w:proofErr w:type="spellStart"/>
      <w:r w:rsidR="00515C7E" w:rsidRPr="00DA196C">
        <w:rPr>
          <w:rFonts w:ascii="Garamond" w:hAnsi="Garamond"/>
          <w:i/>
          <w:sz w:val="24"/>
          <w:szCs w:val="24"/>
        </w:rPr>
        <w:t>Vindikoval</w:t>
      </w:r>
      <w:proofErr w:type="spellEnd"/>
      <w:r w:rsidR="00515C7E" w:rsidRPr="00DA196C">
        <w:rPr>
          <w:rFonts w:ascii="Garamond" w:hAnsi="Garamond"/>
          <w:i/>
          <w:sz w:val="24"/>
          <w:szCs w:val="24"/>
        </w:rPr>
        <w:t xml:space="preserve">-li někdo marně část, nemůže potom </w:t>
      </w:r>
      <w:proofErr w:type="spellStart"/>
      <w:r w:rsidR="00515C7E" w:rsidRPr="00DA196C">
        <w:rPr>
          <w:rFonts w:ascii="Garamond" w:hAnsi="Garamond"/>
          <w:i/>
          <w:sz w:val="24"/>
          <w:szCs w:val="24"/>
        </w:rPr>
        <w:t>vindikovati</w:t>
      </w:r>
      <w:proofErr w:type="spellEnd"/>
      <w:r w:rsidR="00515C7E" w:rsidRPr="00DA196C">
        <w:rPr>
          <w:rFonts w:ascii="Garamond" w:hAnsi="Garamond"/>
          <w:i/>
          <w:sz w:val="24"/>
          <w:szCs w:val="24"/>
        </w:rPr>
        <w:t xml:space="preserve"> celek, a obráceně…Ale indikoval-li někdo marně celý </w:t>
      </w:r>
      <w:proofErr w:type="spellStart"/>
      <w:r w:rsidR="00515C7E" w:rsidRPr="00DA196C">
        <w:rPr>
          <w:rFonts w:ascii="Garamond" w:hAnsi="Garamond"/>
          <w:i/>
          <w:sz w:val="24"/>
          <w:szCs w:val="24"/>
        </w:rPr>
        <w:t>ususfructus</w:t>
      </w:r>
      <w:proofErr w:type="spellEnd"/>
      <w:r w:rsidR="00515C7E" w:rsidRPr="00DA196C">
        <w:rPr>
          <w:rFonts w:ascii="Garamond" w:hAnsi="Garamond"/>
          <w:i/>
          <w:sz w:val="24"/>
          <w:szCs w:val="24"/>
        </w:rPr>
        <w:t xml:space="preserve">, může později </w:t>
      </w:r>
      <w:proofErr w:type="spellStart"/>
      <w:r w:rsidR="00515C7E" w:rsidRPr="00DA196C">
        <w:rPr>
          <w:rFonts w:ascii="Garamond" w:hAnsi="Garamond"/>
          <w:i/>
          <w:sz w:val="24"/>
          <w:szCs w:val="24"/>
        </w:rPr>
        <w:t>vindikovati</w:t>
      </w:r>
      <w:proofErr w:type="spellEnd"/>
      <w:r w:rsidR="00515C7E" w:rsidRPr="00DA196C">
        <w:rPr>
          <w:rFonts w:ascii="Garamond" w:hAnsi="Garamond"/>
          <w:i/>
          <w:sz w:val="24"/>
          <w:szCs w:val="24"/>
        </w:rPr>
        <w:t xml:space="preserve"> část </w:t>
      </w:r>
      <w:proofErr w:type="spellStart"/>
      <w:r w:rsidR="00515C7E" w:rsidRPr="00DA196C">
        <w:rPr>
          <w:rFonts w:ascii="Garamond" w:hAnsi="Garamond"/>
          <w:i/>
          <w:sz w:val="24"/>
          <w:szCs w:val="24"/>
        </w:rPr>
        <w:t>ususfruktu</w:t>
      </w:r>
      <w:proofErr w:type="spellEnd"/>
      <w:r w:rsidR="00515C7E" w:rsidRPr="00DA196C">
        <w:rPr>
          <w:rFonts w:ascii="Garamond" w:hAnsi="Garamond"/>
          <w:i/>
          <w:sz w:val="24"/>
          <w:szCs w:val="24"/>
        </w:rPr>
        <w:t xml:space="preserve">, jíž dodatečně nabyl </w:t>
      </w:r>
      <w:proofErr w:type="spellStart"/>
      <w:r w:rsidR="00515C7E" w:rsidRPr="00DA196C">
        <w:rPr>
          <w:rFonts w:ascii="Garamond" w:hAnsi="Garamond"/>
          <w:i/>
          <w:sz w:val="24"/>
          <w:szCs w:val="24"/>
        </w:rPr>
        <w:t>akkrescencí</w:t>
      </w:r>
      <w:proofErr w:type="spellEnd"/>
      <w:r w:rsidR="00515C7E" w:rsidRPr="00DA196C">
        <w:rPr>
          <w:rFonts w:ascii="Garamond" w:hAnsi="Garamond"/>
          <w:i/>
          <w:sz w:val="24"/>
          <w:szCs w:val="24"/>
        </w:rPr>
        <w:t xml:space="preserve"> </w:t>
      </w:r>
      <w:proofErr w:type="spellStart"/>
      <w:r w:rsidR="00515C7E" w:rsidRPr="00DA196C">
        <w:rPr>
          <w:rFonts w:ascii="Garamond" w:hAnsi="Garamond"/>
          <w:i/>
          <w:sz w:val="24"/>
          <w:szCs w:val="24"/>
        </w:rPr>
        <w:t>quia</w:t>
      </w:r>
      <w:proofErr w:type="spellEnd"/>
      <w:r w:rsidR="00515C7E" w:rsidRPr="00DA196C">
        <w:rPr>
          <w:rFonts w:ascii="Garamond" w:hAnsi="Garamond"/>
          <w:i/>
          <w:sz w:val="24"/>
          <w:szCs w:val="24"/>
        </w:rPr>
        <w:t xml:space="preserve"> </w:t>
      </w:r>
      <w:proofErr w:type="spellStart"/>
      <w:r w:rsidR="00515C7E" w:rsidRPr="00DA196C">
        <w:rPr>
          <w:rFonts w:ascii="Garamond" w:hAnsi="Garamond"/>
          <w:i/>
          <w:sz w:val="24"/>
          <w:szCs w:val="24"/>
        </w:rPr>
        <w:t>ususfructus</w:t>
      </w:r>
      <w:proofErr w:type="spellEnd"/>
      <w:r w:rsidR="00515C7E" w:rsidRPr="00DA196C">
        <w:rPr>
          <w:rFonts w:ascii="Garamond" w:hAnsi="Garamond"/>
          <w:i/>
          <w:sz w:val="24"/>
          <w:szCs w:val="24"/>
        </w:rPr>
        <w:t xml:space="preserve"> non </w:t>
      </w:r>
      <w:proofErr w:type="spellStart"/>
      <w:r w:rsidR="00515C7E" w:rsidRPr="00DA196C">
        <w:rPr>
          <w:rFonts w:ascii="Garamond" w:hAnsi="Garamond"/>
          <w:i/>
          <w:sz w:val="24"/>
          <w:szCs w:val="24"/>
        </w:rPr>
        <w:t>portioni</w:t>
      </w:r>
      <w:proofErr w:type="spellEnd"/>
      <w:r w:rsidR="00515C7E" w:rsidRPr="00DA196C">
        <w:rPr>
          <w:rFonts w:ascii="Garamond" w:hAnsi="Garamond"/>
          <w:i/>
          <w:sz w:val="24"/>
          <w:szCs w:val="24"/>
        </w:rPr>
        <w:t xml:space="preserve">, sed </w:t>
      </w:r>
      <w:proofErr w:type="spellStart"/>
      <w:r w:rsidR="00515C7E" w:rsidRPr="00DA196C">
        <w:rPr>
          <w:rFonts w:ascii="Garamond" w:hAnsi="Garamond"/>
          <w:i/>
          <w:sz w:val="24"/>
          <w:szCs w:val="24"/>
        </w:rPr>
        <w:t>homini</w:t>
      </w:r>
      <w:proofErr w:type="spellEnd"/>
      <w:r w:rsidR="00515C7E" w:rsidRPr="00DA196C">
        <w:rPr>
          <w:rFonts w:ascii="Garamond" w:hAnsi="Garamond"/>
          <w:i/>
          <w:sz w:val="24"/>
          <w:szCs w:val="24"/>
        </w:rPr>
        <w:t xml:space="preserve"> </w:t>
      </w:r>
      <w:proofErr w:type="spellStart"/>
      <w:r w:rsidR="00515C7E" w:rsidRPr="00DA196C">
        <w:rPr>
          <w:rFonts w:ascii="Garamond" w:hAnsi="Garamond"/>
          <w:i/>
          <w:sz w:val="24"/>
          <w:szCs w:val="24"/>
        </w:rPr>
        <w:t>adcrescit</w:t>
      </w:r>
      <w:proofErr w:type="spellEnd"/>
      <w:r w:rsidR="00515C7E" w:rsidRPr="00DA196C">
        <w:rPr>
          <w:rFonts w:ascii="Garamond" w:hAnsi="Garamond"/>
          <w:i/>
          <w:sz w:val="24"/>
          <w:szCs w:val="24"/>
        </w:rPr>
        <w:t xml:space="preserve"> (D 44, 2, 14, 1, D 7, 1, 33, 1). Žaloval-li někdo držebním interdiktem, může pak žalovat stran téže věci </w:t>
      </w:r>
      <w:proofErr w:type="spellStart"/>
      <w:r w:rsidR="00515C7E" w:rsidRPr="00DA196C">
        <w:rPr>
          <w:rFonts w:ascii="Garamond" w:hAnsi="Garamond"/>
          <w:i/>
          <w:sz w:val="24"/>
          <w:szCs w:val="24"/>
        </w:rPr>
        <w:t>reivindikací</w:t>
      </w:r>
      <w:proofErr w:type="spellEnd"/>
      <w:r w:rsidR="00515C7E" w:rsidRPr="00DA196C">
        <w:rPr>
          <w:rFonts w:ascii="Garamond" w:hAnsi="Garamond"/>
          <w:i/>
          <w:sz w:val="24"/>
          <w:szCs w:val="24"/>
        </w:rPr>
        <w:t>.“</w:t>
      </w:r>
      <w:r w:rsidR="00515C7E" w:rsidRPr="00DA196C">
        <w:rPr>
          <w:rStyle w:val="Znakapoznpodarou"/>
          <w:rFonts w:ascii="Garamond" w:hAnsi="Garamond"/>
          <w:i/>
          <w:sz w:val="24"/>
          <w:szCs w:val="24"/>
        </w:rPr>
        <w:footnoteReference w:id="121"/>
      </w:r>
    </w:p>
    <w:p w:rsidR="005013D1" w:rsidRPr="00DA196C" w:rsidRDefault="00D42B1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lastRenderedPageBreak/>
        <w:t xml:space="preserve">Žalobce, který se domáhal svého nároku tak </w:t>
      </w:r>
      <w:r w:rsidR="002F5DA7" w:rsidRPr="00DA196C">
        <w:rPr>
          <w:rFonts w:ascii="Garamond" w:hAnsi="Garamond"/>
          <w:sz w:val="24"/>
          <w:szCs w:val="24"/>
        </w:rPr>
        <w:t xml:space="preserve">tedy </w:t>
      </w:r>
      <w:r w:rsidRPr="00DA196C">
        <w:rPr>
          <w:rFonts w:ascii="Garamond" w:hAnsi="Garamond"/>
          <w:sz w:val="24"/>
          <w:szCs w:val="24"/>
        </w:rPr>
        <w:t xml:space="preserve">činil </w:t>
      </w:r>
      <w:r w:rsidR="002F5DA7" w:rsidRPr="00DA196C">
        <w:rPr>
          <w:rFonts w:ascii="Garamond" w:hAnsi="Garamond"/>
          <w:sz w:val="24"/>
          <w:szCs w:val="24"/>
        </w:rPr>
        <w:t xml:space="preserve">pouze </w:t>
      </w:r>
      <w:r w:rsidRPr="00DA196C">
        <w:rPr>
          <w:rFonts w:ascii="Garamond" w:hAnsi="Garamond"/>
          <w:sz w:val="24"/>
          <w:szCs w:val="24"/>
        </w:rPr>
        <w:t>na základě vydaného odsuzujícího rozsudku, neopír</w:t>
      </w:r>
      <w:r w:rsidR="002F5DA7" w:rsidRPr="00DA196C">
        <w:rPr>
          <w:rFonts w:ascii="Garamond" w:hAnsi="Garamond"/>
          <w:sz w:val="24"/>
          <w:szCs w:val="24"/>
        </w:rPr>
        <w:t>al</w:t>
      </w:r>
      <w:r w:rsidRPr="00DA196C">
        <w:rPr>
          <w:rFonts w:ascii="Garamond" w:hAnsi="Garamond"/>
          <w:sz w:val="24"/>
          <w:szCs w:val="24"/>
        </w:rPr>
        <w:t xml:space="preserve"> se dále o </w:t>
      </w:r>
      <w:r w:rsidR="002F5DA7" w:rsidRPr="00DA196C">
        <w:rPr>
          <w:rFonts w:ascii="Garamond" w:hAnsi="Garamond"/>
          <w:sz w:val="24"/>
          <w:szCs w:val="24"/>
        </w:rPr>
        <w:t>původn</w:t>
      </w:r>
      <w:r w:rsidR="001D6384" w:rsidRPr="00DA196C">
        <w:rPr>
          <w:rFonts w:ascii="Garamond" w:hAnsi="Garamond"/>
          <w:sz w:val="24"/>
          <w:szCs w:val="24"/>
        </w:rPr>
        <w:t>í důvod vzniku tohoto nároku, m</w:t>
      </w:r>
      <w:r w:rsidR="002F5DA7" w:rsidRPr="00DA196C">
        <w:rPr>
          <w:rFonts w:ascii="Garamond" w:hAnsi="Garamond"/>
          <w:sz w:val="24"/>
          <w:szCs w:val="24"/>
        </w:rPr>
        <w:t xml:space="preserve">ezi stranami </w:t>
      </w:r>
      <w:r w:rsidR="001D6384" w:rsidRPr="00DA196C">
        <w:rPr>
          <w:rFonts w:ascii="Garamond" w:hAnsi="Garamond"/>
          <w:sz w:val="24"/>
          <w:szCs w:val="24"/>
        </w:rPr>
        <w:t xml:space="preserve">sporu </w:t>
      </w:r>
      <w:r w:rsidR="002F5DA7" w:rsidRPr="00DA196C">
        <w:rPr>
          <w:rFonts w:ascii="Garamond" w:hAnsi="Garamond"/>
          <w:sz w:val="24"/>
          <w:szCs w:val="24"/>
        </w:rPr>
        <w:t xml:space="preserve">vzniklo tzv. </w:t>
      </w:r>
      <w:proofErr w:type="spellStart"/>
      <w:r w:rsidR="002F5DA7" w:rsidRPr="00DA196C">
        <w:rPr>
          <w:rFonts w:ascii="Garamond" w:hAnsi="Garamond"/>
          <w:i/>
          <w:sz w:val="24"/>
          <w:szCs w:val="24"/>
        </w:rPr>
        <w:t>obligatio</w:t>
      </w:r>
      <w:proofErr w:type="spellEnd"/>
      <w:r w:rsidR="002F5DA7" w:rsidRPr="00DA196C">
        <w:rPr>
          <w:rFonts w:ascii="Garamond" w:hAnsi="Garamond"/>
          <w:i/>
          <w:sz w:val="24"/>
          <w:szCs w:val="24"/>
        </w:rPr>
        <w:t xml:space="preserve">, </w:t>
      </w:r>
      <w:proofErr w:type="spellStart"/>
      <w:r w:rsidR="002F5DA7" w:rsidRPr="00DA196C">
        <w:rPr>
          <w:rFonts w:ascii="Garamond" w:hAnsi="Garamond"/>
          <w:i/>
          <w:sz w:val="24"/>
          <w:szCs w:val="24"/>
        </w:rPr>
        <w:t>quae</w:t>
      </w:r>
      <w:proofErr w:type="spellEnd"/>
      <w:r w:rsidR="002F5DA7" w:rsidRPr="00DA196C">
        <w:rPr>
          <w:rFonts w:ascii="Garamond" w:hAnsi="Garamond"/>
          <w:i/>
          <w:sz w:val="24"/>
          <w:szCs w:val="24"/>
        </w:rPr>
        <w:t xml:space="preserve"> ex causa </w:t>
      </w:r>
      <w:proofErr w:type="spellStart"/>
      <w:r w:rsidR="002F5DA7" w:rsidRPr="00DA196C">
        <w:rPr>
          <w:rFonts w:ascii="Garamond" w:hAnsi="Garamond"/>
          <w:i/>
          <w:sz w:val="24"/>
          <w:szCs w:val="24"/>
        </w:rPr>
        <w:t>iudicati</w:t>
      </w:r>
      <w:proofErr w:type="spellEnd"/>
      <w:r w:rsidR="002F5DA7" w:rsidRPr="00DA196C">
        <w:rPr>
          <w:rFonts w:ascii="Garamond" w:hAnsi="Garamond"/>
          <w:i/>
          <w:sz w:val="24"/>
          <w:szCs w:val="24"/>
        </w:rPr>
        <w:t xml:space="preserve"> </w:t>
      </w:r>
      <w:proofErr w:type="spellStart"/>
      <w:r w:rsidR="002F5DA7" w:rsidRPr="00DA196C">
        <w:rPr>
          <w:rFonts w:ascii="Garamond" w:hAnsi="Garamond"/>
          <w:i/>
          <w:sz w:val="24"/>
          <w:szCs w:val="24"/>
        </w:rPr>
        <w:t>descendit</w:t>
      </w:r>
      <w:proofErr w:type="spellEnd"/>
      <w:r w:rsidR="001D6384" w:rsidRPr="00DA196C">
        <w:rPr>
          <w:rFonts w:ascii="Garamond" w:hAnsi="Garamond"/>
          <w:sz w:val="24"/>
          <w:szCs w:val="24"/>
        </w:rPr>
        <w:t xml:space="preserve">. </w:t>
      </w:r>
      <w:r w:rsidR="002F5DA7" w:rsidRPr="00DA196C">
        <w:rPr>
          <w:rFonts w:ascii="Garamond" w:hAnsi="Garamond"/>
          <w:sz w:val="24"/>
          <w:szCs w:val="24"/>
        </w:rPr>
        <w:t>K uplatnění svého nároku</w:t>
      </w:r>
      <w:r w:rsidR="00614CD6" w:rsidRPr="00DA196C">
        <w:rPr>
          <w:rFonts w:ascii="Garamond" w:hAnsi="Garamond"/>
          <w:sz w:val="24"/>
          <w:szCs w:val="24"/>
        </w:rPr>
        <w:t xml:space="preserve"> vyplývajícího z rozsudku</w:t>
      </w:r>
      <w:r w:rsidR="002F5DA7" w:rsidRPr="00DA196C">
        <w:rPr>
          <w:rFonts w:ascii="Garamond" w:hAnsi="Garamond"/>
          <w:sz w:val="24"/>
          <w:szCs w:val="24"/>
        </w:rPr>
        <w:t xml:space="preserve"> musel žalobce užít další žalobu, kdy původně se jednalo o </w:t>
      </w:r>
      <w:proofErr w:type="spellStart"/>
      <w:r w:rsidR="002F5DA7" w:rsidRPr="00DA196C">
        <w:rPr>
          <w:rFonts w:ascii="Garamond" w:hAnsi="Garamond"/>
          <w:i/>
          <w:sz w:val="24"/>
          <w:szCs w:val="24"/>
        </w:rPr>
        <w:t>legis</w:t>
      </w:r>
      <w:proofErr w:type="spellEnd"/>
      <w:r w:rsidR="002F5DA7" w:rsidRPr="00DA196C">
        <w:rPr>
          <w:rFonts w:ascii="Garamond" w:hAnsi="Garamond"/>
          <w:i/>
          <w:sz w:val="24"/>
          <w:szCs w:val="24"/>
        </w:rPr>
        <w:t xml:space="preserve"> </w:t>
      </w:r>
      <w:proofErr w:type="spellStart"/>
      <w:r w:rsidR="002F5DA7" w:rsidRPr="00DA196C">
        <w:rPr>
          <w:rFonts w:ascii="Garamond" w:hAnsi="Garamond"/>
          <w:i/>
          <w:sz w:val="24"/>
          <w:szCs w:val="24"/>
        </w:rPr>
        <w:t>actio</w:t>
      </w:r>
      <w:proofErr w:type="spellEnd"/>
      <w:r w:rsidR="002F5DA7" w:rsidRPr="00DA196C">
        <w:rPr>
          <w:rFonts w:ascii="Garamond" w:hAnsi="Garamond"/>
          <w:i/>
          <w:sz w:val="24"/>
          <w:szCs w:val="24"/>
        </w:rPr>
        <w:t xml:space="preserve"> per </w:t>
      </w:r>
      <w:proofErr w:type="spellStart"/>
      <w:r w:rsidR="002F5DA7" w:rsidRPr="00DA196C">
        <w:rPr>
          <w:rFonts w:ascii="Garamond" w:hAnsi="Garamond"/>
          <w:i/>
          <w:sz w:val="24"/>
          <w:szCs w:val="24"/>
        </w:rPr>
        <w:t>manus</w:t>
      </w:r>
      <w:proofErr w:type="spellEnd"/>
      <w:r w:rsidR="002F5DA7" w:rsidRPr="00DA196C">
        <w:rPr>
          <w:rFonts w:ascii="Garamond" w:hAnsi="Garamond"/>
          <w:i/>
          <w:sz w:val="24"/>
          <w:szCs w:val="24"/>
        </w:rPr>
        <w:t xml:space="preserve"> </w:t>
      </w:r>
      <w:proofErr w:type="spellStart"/>
      <w:r w:rsidR="002F5DA7" w:rsidRPr="00DA196C">
        <w:rPr>
          <w:rFonts w:ascii="Garamond" w:hAnsi="Garamond"/>
          <w:i/>
          <w:sz w:val="24"/>
          <w:szCs w:val="24"/>
        </w:rPr>
        <w:t>iniectionem</w:t>
      </w:r>
      <w:proofErr w:type="spellEnd"/>
      <w:r w:rsidR="002F5DA7" w:rsidRPr="00DA196C">
        <w:rPr>
          <w:rFonts w:ascii="Garamond" w:hAnsi="Garamond"/>
          <w:sz w:val="24"/>
          <w:szCs w:val="24"/>
        </w:rPr>
        <w:t xml:space="preserve">, později to byla </w:t>
      </w:r>
      <w:proofErr w:type="spellStart"/>
      <w:r w:rsidR="002F5DA7" w:rsidRPr="00DA196C">
        <w:rPr>
          <w:rFonts w:ascii="Garamond" w:hAnsi="Garamond"/>
          <w:i/>
          <w:sz w:val="24"/>
          <w:szCs w:val="24"/>
        </w:rPr>
        <w:t>actio</w:t>
      </w:r>
      <w:proofErr w:type="spellEnd"/>
      <w:r w:rsidR="002F5DA7" w:rsidRPr="00DA196C">
        <w:rPr>
          <w:rFonts w:ascii="Garamond" w:hAnsi="Garamond"/>
          <w:i/>
          <w:sz w:val="24"/>
          <w:szCs w:val="24"/>
        </w:rPr>
        <w:t xml:space="preserve"> </w:t>
      </w:r>
      <w:proofErr w:type="spellStart"/>
      <w:r w:rsidR="002F5DA7" w:rsidRPr="00DA196C">
        <w:rPr>
          <w:rFonts w:ascii="Garamond" w:hAnsi="Garamond"/>
          <w:i/>
          <w:sz w:val="24"/>
          <w:szCs w:val="24"/>
        </w:rPr>
        <w:t>iudicati</w:t>
      </w:r>
      <w:proofErr w:type="spellEnd"/>
      <w:r w:rsidR="002F5DA7" w:rsidRPr="00DA196C">
        <w:rPr>
          <w:rFonts w:ascii="Garamond" w:hAnsi="Garamond"/>
          <w:sz w:val="24"/>
          <w:szCs w:val="24"/>
        </w:rPr>
        <w:t>.</w:t>
      </w:r>
      <w:r w:rsidR="00614CD6" w:rsidRPr="00DA196C">
        <w:rPr>
          <w:rStyle w:val="Znakapoznpodarou"/>
          <w:rFonts w:ascii="Garamond" w:hAnsi="Garamond"/>
          <w:sz w:val="24"/>
          <w:szCs w:val="24"/>
        </w:rPr>
        <w:footnoteReference w:id="122"/>
      </w:r>
    </w:p>
    <w:p w:rsidR="006C65D2" w:rsidRPr="00DA196C" w:rsidRDefault="00042C1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Při </w:t>
      </w:r>
      <w:proofErr w:type="spellStart"/>
      <w:r w:rsidRPr="00DA196C">
        <w:rPr>
          <w:rFonts w:ascii="Garamond" w:hAnsi="Garamond"/>
          <w:sz w:val="24"/>
          <w:szCs w:val="24"/>
        </w:rPr>
        <w:t>reivindikaci</w:t>
      </w:r>
      <w:proofErr w:type="spellEnd"/>
      <w:r w:rsidRPr="00DA196C">
        <w:rPr>
          <w:rFonts w:ascii="Garamond" w:hAnsi="Garamond"/>
          <w:sz w:val="24"/>
          <w:szCs w:val="24"/>
        </w:rPr>
        <w:t xml:space="preserve"> za dob úřednického procesu již bylo chápání vlastnického práva poněkud odlišné. Vlastnické právo začalo být chápáno ve smyslu subjektivního práva, kterému odpovídala povinnost všech os</w:t>
      </w:r>
      <w:r w:rsidR="001D6384" w:rsidRPr="00DA196C">
        <w:rPr>
          <w:rFonts w:ascii="Garamond" w:hAnsi="Garamond"/>
          <w:sz w:val="24"/>
          <w:szCs w:val="24"/>
        </w:rPr>
        <w:t>tatních toto právo nerušit. Byla</w:t>
      </w:r>
      <w:r w:rsidRPr="00DA196C">
        <w:rPr>
          <w:rFonts w:ascii="Garamond" w:hAnsi="Garamond"/>
          <w:sz w:val="24"/>
          <w:szCs w:val="24"/>
        </w:rPr>
        <w:t xml:space="preserve"> též </w:t>
      </w:r>
      <w:r w:rsidR="001D6384" w:rsidRPr="00DA196C">
        <w:rPr>
          <w:rFonts w:ascii="Garamond" w:hAnsi="Garamond"/>
          <w:sz w:val="24"/>
          <w:szCs w:val="24"/>
        </w:rPr>
        <w:t>prolomena zásada</w:t>
      </w:r>
      <w:r w:rsidRPr="00DA196C">
        <w:rPr>
          <w:rFonts w:ascii="Garamond" w:hAnsi="Garamond"/>
          <w:sz w:val="24"/>
          <w:szCs w:val="24"/>
        </w:rPr>
        <w:t xml:space="preserve"> pekuniární kondemnace. Na základě tohoto bylo možno již dosáhnout skutečného vydání věci a tedy i rozsudek </w:t>
      </w:r>
      <w:r w:rsidR="001D6384" w:rsidRPr="00DA196C">
        <w:rPr>
          <w:rFonts w:ascii="Garamond" w:hAnsi="Garamond"/>
          <w:sz w:val="24"/>
          <w:szCs w:val="24"/>
        </w:rPr>
        <w:t>mohl znít tak</w:t>
      </w:r>
      <w:r w:rsidRPr="00DA196C">
        <w:rPr>
          <w:rFonts w:ascii="Garamond" w:hAnsi="Garamond"/>
          <w:sz w:val="24"/>
          <w:szCs w:val="24"/>
        </w:rPr>
        <w:t>, že žalovanému byla uložena povinnost věc vydat</w:t>
      </w:r>
      <w:r w:rsidR="009F4947" w:rsidRPr="00DA196C">
        <w:rPr>
          <w:rFonts w:ascii="Garamond" w:hAnsi="Garamond"/>
          <w:sz w:val="24"/>
          <w:szCs w:val="24"/>
        </w:rPr>
        <w:t>, která mohla být případné i exekučně vymožena. Rozsudek byl vyhotoven písemně a stranám sporu byl vyhlášen, přičemž strany obdržely opis písemného vyhotovení (</w:t>
      </w:r>
      <w:proofErr w:type="spellStart"/>
      <w:r w:rsidR="009F4947" w:rsidRPr="00471106">
        <w:rPr>
          <w:rFonts w:ascii="Garamond" w:hAnsi="Garamond"/>
          <w:i/>
          <w:sz w:val="24"/>
          <w:szCs w:val="24"/>
        </w:rPr>
        <w:t>exemplum</w:t>
      </w:r>
      <w:proofErr w:type="spellEnd"/>
      <w:r w:rsidR="009F4947" w:rsidRPr="00DA196C">
        <w:rPr>
          <w:rFonts w:ascii="Garamond" w:hAnsi="Garamond"/>
          <w:sz w:val="24"/>
          <w:szCs w:val="24"/>
        </w:rPr>
        <w:t>).</w:t>
      </w:r>
      <w:r w:rsidR="002F5DA7" w:rsidRPr="00DA196C">
        <w:rPr>
          <w:rFonts w:ascii="Garamond" w:hAnsi="Garamond"/>
          <w:sz w:val="24"/>
          <w:szCs w:val="24"/>
        </w:rPr>
        <w:t xml:space="preserve"> Jelikož bylo možné se proti rozsudku odvolat, nabýval rozsudek právní moci až v okamžiku, kdy </w:t>
      </w:r>
      <w:r w:rsidR="00091DAC" w:rsidRPr="00DA196C">
        <w:rPr>
          <w:rFonts w:ascii="Garamond" w:hAnsi="Garamond"/>
          <w:sz w:val="24"/>
          <w:szCs w:val="24"/>
        </w:rPr>
        <w:t>marně uplynula lhůta k odvolání se, případně pokud z jiného důvodu nebylo odvolání možné.</w:t>
      </w:r>
      <w:r w:rsidR="008A2185" w:rsidRPr="00DA196C">
        <w:rPr>
          <w:rStyle w:val="Znakapoznpodarou"/>
          <w:rFonts w:ascii="Garamond" w:hAnsi="Garamond"/>
          <w:sz w:val="24"/>
          <w:szCs w:val="24"/>
        </w:rPr>
        <w:footnoteReference w:id="123"/>
      </w:r>
    </w:p>
    <w:p w:rsidR="005013D1" w:rsidRPr="00DA196C" w:rsidRDefault="005013D1"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Dalším nezbytným předpokladem pro výkon rozhodnutí byla skutečnost, že žalovaný ve stanovené lhůtě nesplnil povinnost, která mu byla uložena odsuzujícím rozsudkem. </w:t>
      </w:r>
      <w:r w:rsidR="00911EEC" w:rsidRPr="00DA196C">
        <w:rPr>
          <w:rFonts w:ascii="Garamond" w:hAnsi="Garamond"/>
          <w:sz w:val="24"/>
          <w:szCs w:val="24"/>
        </w:rPr>
        <w:t xml:space="preserve">Za dob </w:t>
      </w:r>
      <w:proofErr w:type="spellStart"/>
      <w:r w:rsidR="00911EEC" w:rsidRPr="00DA196C">
        <w:rPr>
          <w:rFonts w:ascii="Garamond" w:hAnsi="Garamond"/>
          <w:sz w:val="24"/>
          <w:szCs w:val="24"/>
        </w:rPr>
        <w:t>legisakčního</w:t>
      </w:r>
      <w:proofErr w:type="spellEnd"/>
      <w:r w:rsidR="00911EEC" w:rsidRPr="00DA196C">
        <w:rPr>
          <w:rFonts w:ascii="Garamond" w:hAnsi="Garamond"/>
          <w:sz w:val="24"/>
          <w:szCs w:val="24"/>
        </w:rPr>
        <w:t xml:space="preserve"> procesu byla lhůta pro splnění dluhu stanove</w:t>
      </w:r>
      <w:r w:rsidR="00EF640D" w:rsidRPr="00DA196C">
        <w:rPr>
          <w:rFonts w:ascii="Garamond" w:hAnsi="Garamond"/>
          <w:sz w:val="24"/>
          <w:szCs w:val="24"/>
        </w:rPr>
        <w:t>na zákonem XII desek na 30 dní.</w:t>
      </w:r>
      <w:r w:rsidR="00EF640D" w:rsidRPr="00DA196C">
        <w:rPr>
          <w:rStyle w:val="Znakapoznpodarou"/>
          <w:rFonts w:ascii="Garamond" w:hAnsi="Garamond"/>
          <w:sz w:val="24"/>
          <w:szCs w:val="24"/>
        </w:rPr>
        <w:footnoteReference w:id="124"/>
      </w:r>
      <w:r w:rsidR="00F40983" w:rsidRPr="00DA196C">
        <w:rPr>
          <w:rFonts w:ascii="Garamond" w:hAnsi="Garamond"/>
          <w:sz w:val="24"/>
          <w:szCs w:val="24"/>
        </w:rPr>
        <w:t xml:space="preserve"> Stejná lhůta pak platila také pro formulový proces.</w:t>
      </w:r>
      <w:r w:rsidR="00F40983" w:rsidRPr="00DA196C">
        <w:rPr>
          <w:rStyle w:val="Znakapoznpodarou"/>
          <w:rFonts w:ascii="Garamond" w:hAnsi="Garamond"/>
          <w:sz w:val="24"/>
          <w:szCs w:val="24"/>
        </w:rPr>
        <w:footnoteReference w:id="125"/>
      </w:r>
    </w:p>
    <w:p w:rsidR="00783672" w:rsidRPr="00DA196C" w:rsidRDefault="00911EEC" w:rsidP="00FA1FF7">
      <w:pPr>
        <w:pStyle w:val="Nadpis2"/>
        <w:contextualSpacing/>
      </w:pPr>
      <w:bookmarkStart w:id="31" w:name="_Toc36031957"/>
      <w:r w:rsidRPr="00DA196C">
        <w:t>Způsob</w:t>
      </w:r>
      <w:r w:rsidR="00783672" w:rsidRPr="00DA196C">
        <w:t xml:space="preserve"> výkonu rozhodnutí</w:t>
      </w:r>
      <w:bookmarkEnd w:id="31"/>
    </w:p>
    <w:p w:rsidR="00911EEC" w:rsidRPr="00DA196C" w:rsidRDefault="00911EEC" w:rsidP="00FA1FF7">
      <w:pPr>
        <w:pStyle w:val="Nadpis3"/>
        <w:spacing w:line="360" w:lineRule="auto"/>
        <w:contextualSpacing/>
      </w:pPr>
      <w:bookmarkStart w:id="32" w:name="_Toc36031958"/>
      <w:proofErr w:type="spellStart"/>
      <w:r w:rsidRPr="00DA196C">
        <w:t>Legisakční</w:t>
      </w:r>
      <w:proofErr w:type="spellEnd"/>
      <w:r w:rsidRPr="00DA196C">
        <w:t xml:space="preserve"> </w:t>
      </w:r>
      <w:r w:rsidR="00A4160F" w:rsidRPr="00DA196C">
        <w:t xml:space="preserve">a formulový </w:t>
      </w:r>
      <w:r w:rsidRPr="00DA196C">
        <w:t>proces</w:t>
      </w:r>
      <w:bookmarkEnd w:id="32"/>
    </w:p>
    <w:p w:rsidR="001D2F44" w:rsidRPr="00DA196C" w:rsidRDefault="00CE29C1"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Za dob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procesu se mohl žalobce domoci svého nároku skrze </w:t>
      </w:r>
      <w:proofErr w:type="spellStart"/>
      <w:r w:rsidRPr="00471106">
        <w:rPr>
          <w:rFonts w:ascii="Garamond" w:hAnsi="Garamond"/>
          <w:i/>
          <w:sz w:val="24"/>
          <w:szCs w:val="24"/>
        </w:rPr>
        <w:t>legis</w:t>
      </w:r>
      <w:proofErr w:type="spellEnd"/>
      <w:r w:rsidRPr="00471106">
        <w:rPr>
          <w:rFonts w:ascii="Garamond" w:hAnsi="Garamond"/>
          <w:i/>
          <w:sz w:val="24"/>
          <w:szCs w:val="24"/>
        </w:rPr>
        <w:t xml:space="preserve"> </w:t>
      </w:r>
      <w:proofErr w:type="spellStart"/>
      <w:r w:rsidRPr="00471106">
        <w:rPr>
          <w:rFonts w:ascii="Garamond" w:hAnsi="Garamond"/>
          <w:i/>
          <w:sz w:val="24"/>
          <w:szCs w:val="24"/>
        </w:rPr>
        <w:t>actio</w:t>
      </w:r>
      <w:proofErr w:type="spellEnd"/>
      <w:r w:rsidRPr="00471106">
        <w:rPr>
          <w:rFonts w:ascii="Garamond" w:hAnsi="Garamond"/>
          <w:i/>
          <w:sz w:val="24"/>
          <w:szCs w:val="24"/>
        </w:rPr>
        <w:t xml:space="preserve"> per </w:t>
      </w:r>
      <w:proofErr w:type="spellStart"/>
      <w:r w:rsidRPr="00471106">
        <w:rPr>
          <w:rFonts w:ascii="Garamond" w:hAnsi="Garamond"/>
          <w:i/>
          <w:sz w:val="24"/>
          <w:szCs w:val="24"/>
        </w:rPr>
        <w:t>manus</w:t>
      </w:r>
      <w:proofErr w:type="spellEnd"/>
      <w:r w:rsidRPr="00471106">
        <w:rPr>
          <w:rFonts w:ascii="Garamond" w:hAnsi="Garamond"/>
          <w:i/>
          <w:sz w:val="24"/>
          <w:szCs w:val="24"/>
        </w:rPr>
        <w:t xml:space="preserve"> </w:t>
      </w:r>
      <w:proofErr w:type="spellStart"/>
      <w:r w:rsidRPr="00471106">
        <w:rPr>
          <w:rFonts w:ascii="Garamond" w:hAnsi="Garamond"/>
          <w:i/>
          <w:sz w:val="24"/>
          <w:szCs w:val="24"/>
        </w:rPr>
        <w:t>iniectionem</w:t>
      </w:r>
      <w:proofErr w:type="spellEnd"/>
      <w:r w:rsidRPr="00DA196C">
        <w:rPr>
          <w:rFonts w:ascii="Garamond" w:hAnsi="Garamond"/>
          <w:sz w:val="24"/>
          <w:szCs w:val="24"/>
        </w:rPr>
        <w:t>. Žalobce vyzval žalovaného, který ve lhůtě nesplnil svou povinnost,</w:t>
      </w:r>
      <w:r w:rsidR="00471106">
        <w:rPr>
          <w:rFonts w:ascii="Garamond" w:hAnsi="Garamond"/>
          <w:sz w:val="24"/>
          <w:szCs w:val="24"/>
        </w:rPr>
        <w:t xml:space="preserve"> aby se s ním dostavil před pré</w:t>
      </w:r>
      <w:r w:rsidRPr="00DA196C">
        <w:rPr>
          <w:rFonts w:ascii="Garamond" w:hAnsi="Garamond"/>
          <w:sz w:val="24"/>
          <w:szCs w:val="24"/>
        </w:rPr>
        <w:t>tora (</w:t>
      </w:r>
      <w:r w:rsidRPr="00F96EC6">
        <w:rPr>
          <w:rFonts w:ascii="Garamond" w:hAnsi="Garamond"/>
          <w:i/>
          <w:sz w:val="24"/>
          <w:szCs w:val="24"/>
        </w:rPr>
        <w:t xml:space="preserve">in </w:t>
      </w:r>
      <w:proofErr w:type="spellStart"/>
      <w:r w:rsidRPr="00F96EC6">
        <w:rPr>
          <w:rFonts w:ascii="Garamond" w:hAnsi="Garamond"/>
          <w:i/>
          <w:sz w:val="24"/>
          <w:szCs w:val="24"/>
        </w:rPr>
        <w:t>ius</w:t>
      </w:r>
      <w:proofErr w:type="spellEnd"/>
      <w:r w:rsidRPr="00F96EC6">
        <w:rPr>
          <w:rFonts w:ascii="Garamond" w:hAnsi="Garamond"/>
          <w:i/>
          <w:sz w:val="24"/>
          <w:szCs w:val="24"/>
        </w:rPr>
        <w:t xml:space="preserve"> </w:t>
      </w:r>
      <w:proofErr w:type="spellStart"/>
      <w:r w:rsidR="00F96EC6">
        <w:rPr>
          <w:rFonts w:ascii="Garamond" w:hAnsi="Garamond"/>
          <w:i/>
          <w:sz w:val="24"/>
          <w:szCs w:val="24"/>
        </w:rPr>
        <w:t>ducito</w:t>
      </w:r>
      <w:proofErr w:type="spellEnd"/>
      <w:r w:rsidR="00F96EC6">
        <w:rPr>
          <w:rFonts w:ascii="Garamond" w:hAnsi="Garamond"/>
          <w:sz w:val="24"/>
          <w:szCs w:val="24"/>
        </w:rPr>
        <w:t>). Před pré</w:t>
      </w:r>
      <w:r w:rsidRPr="00DA196C">
        <w:rPr>
          <w:rFonts w:ascii="Garamond" w:hAnsi="Garamond"/>
          <w:sz w:val="24"/>
          <w:szCs w:val="24"/>
        </w:rPr>
        <w:t>torem žalobce přednesl svůj nárok a konstatoval nesplnění povinnosti žalovaného, která tomuto nároku žalobce odpovídala.</w:t>
      </w:r>
      <w:r w:rsidR="00F96EC6">
        <w:rPr>
          <w:rStyle w:val="Znakapoznpodarou"/>
          <w:rFonts w:ascii="Garamond" w:hAnsi="Garamond"/>
          <w:sz w:val="24"/>
          <w:szCs w:val="24"/>
        </w:rPr>
        <w:footnoteReference w:id="126"/>
      </w:r>
      <w:r w:rsidRPr="00DA196C">
        <w:rPr>
          <w:rFonts w:ascii="Garamond" w:hAnsi="Garamond"/>
          <w:sz w:val="24"/>
          <w:szCs w:val="24"/>
        </w:rPr>
        <w:t xml:space="preserve"> </w:t>
      </w:r>
    </w:p>
    <w:p w:rsidR="00CE29C1" w:rsidRPr="00DA196C" w:rsidRDefault="00CE29C1" w:rsidP="00FA1FF7">
      <w:pPr>
        <w:spacing w:after="0" w:line="360" w:lineRule="auto"/>
        <w:contextualSpacing/>
        <w:jc w:val="both"/>
        <w:rPr>
          <w:rFonts w:ascii="Garamond" w:hAnsi="Garamond"/>
          <w:sz w:val="24"/>
          <w:szCs w:val="24"/>
        </w:rPr>
      </w:pPr>
      <w:r w:rsidRPr="00DA196C">
        <w:rPr>
          <w:rFonts w:ascii="Garamond" w:hAnsi="Garamond"/>
          <w:sz w:val="24"/>
          <w:szCs w:val="24"/>
        </w:rPr>
        <w:t xml:space="preserve">Žalovaný neměl možnost odporovat, nicméně mohl zakročit tzv. </w:t>
      </w:r>
      <w:proofErr w:type="spellStart"/>
      <w:r w:rsidRPr="00701D40">
        <w:rPr>
          <w:rFonts w:ascii="Garamond" w:hAnsi="Garamond"/>
          <w:i/>
          <w:sz w:val="24"/>
          <w:szCs w:val="24"/>
        </w:rPr>
        <w:t>vindex</w:t>
      </w:r>
      <w:proofErr w:type="spellEnd"/>
      <w:r w:rsidR="007D7C5D" w:rsidRPr="00DA196C">
        <w:rPr>
          <w:rFonts w:ascii="Garamond" w:hAnsi="Garamond"/>
          <w:sz w:val="24"/>
          <w:szCs w:val="24"/>
        </w:rPr>
        <w:t>. Jednalo se v podstatě o třetí osobu, která se za žalovaného zaručila</w:t>
      </w:r>
      <w:r w:rsidR="00411AAC" w:rsidRPr="00DA196C">
        <w:rPr>
          <w:rFonts w:ascii="Garamond" w:hAnsi="Garamond"/>
          <w:sz w:val="24"/>
          <w:szCs w:val="24"/>
        </w:rPr>
        <w:t>, přičemž za bohatého se mohl zaručit bohatý, za chudého kdokoli</w:t>
      </w:r>
      <w:r w:rsidR="00701D40">
        <w:rPr>
          <w:rFonts w:ascii="Garamond" w:hAnsi="Garamond"/>
          <w:sz w:val="24"/>
          <w:szCs w:val="24"/>
        </w:rPr>
        <w:t>.</w:t>
      </w:r>
      <w:r w:rsidR="00411AAC" w:rsidRPr="00DA196C">
        <w:rPr>
          <w:rFonts w:ascii="Garamond" w:hAnsi="Garamond"/>
          <w:sz w:val="24"/>
          <w:szCs w:val="24"/>
          <w:vertAlign w:val="superscript"/>
        </w:rPr>
        <w:footnoteReference w:id="127"/>
      </w:r>
      <w:r w:rsidR="00411AAC" w:rsidRPr="00DA196C">
        <w:rPr>
          <w:rFonts w:ascii="Garamond" w:hAnsi="Garamond"/>
          <w:sz w:val="24"/>
          <w:szCs w:val="24"/>
        </w:rPr>
        <w:t xml:space="preserve"> </w:t>
      </w:r>
      <w:r w:rsidR="001D2F44" w:rsidRPr="00DA196C">
        <w:rPr>
          <w:rFonts w:ascii="Garamond" w:hAnsi="Garamond"/>
          <w:sz w:val="24"/>
          <w:szCs w:val="24"/>
        </w:rPr>
        <w:t xml:space="preserve">V takovém případě byl ustaven spor mezi vymáhajícím žalobcem a </w:t>
      </w:r>
      <w:proofErr w:type="spellStart"/>
      <w:r w:rsidR="001D2F44" w:rsidRPr="00DA196C">
        <w:rPr>
          <w:rFonts w:ascii="Garamond" w:hAnsi="Garamond"/>
          <w:sz w:val="24"/>
          <w:szCs w:val="24"/>
        </w:rPr>
        <w:t>vindikem</w:t>
      </w:r>
      <w:proofErr w:type="spellEnd"/>
      <w:r w:rsidR="001D2F44" w:rsidRPr="00DA196C">
        <w:rPr>
          <w:rFonts w:ascii="Garamond" w:hAnsi="Garamond"/>
          <w:sz w:val="24"/>
          <w:szCs w:val="24"/>
        </w:rPr>
        <w:t xml:space="preserve"> </w:t>
      </w:r>
      <w:r w:rsidR="001D2F44" w:rsidRPr="00DA196C">
        <w:rPr>
          <w:rFonts w:ascii="Garamond" w:hAnsi="Garamond"/>
          <w:sz w:val="24"/>
          <w:szCs w:val="24"/>
        </w:rPr>
        <w:lastRenderedPageBreak/>
        <w:t>namísto původního ž</w:t>
      </w:r>
      <w:r w:rsidR="00701D40">
        <w:rPr>
          <w:rFonts w:ascii="Garamond" w:hAnsi="Garamond"/>
          <w:sz w:val="24"/>
          <w:szCs w:val="24"/>
        </w:rPr>
        <w:t>a</w:t>
      </w:r>
      <w:r w:rsidR="001D2F44" w:rsidRPr="00DA196C">
        <w:rPr>
          <w:rFonts w:ascii="Garamond" w:hAnsi="Garamond"/>
          <w:sz w:val="24"/>
          <w:szCs w:val="24"/>
        </w:rPr>
        <w:t>lovaného, kdy tento byl v případě prohry odsouzen na dvojnásobek původní peněžité částky.</w:t>
      </w:r>
      <w:r w:rsidR="0095375D" w:rsidRPr="00DA196C">
        <w:rPr>
          <w:rFonts w:ascii="Garamond" w:hAnsi="Garamond"/>
          <w:sz w:val="24"/>
          <w:szCs w:val="24"/>
          <w:vertAlign w:val="superscript"/>
        </w:rPr>
        <w:footnoteReference w:id="128"/>
      </w:r>
    </w:p>
    <w:p w:rsidR="0095375D" w:rsidRPr="00DA196C" w:rsidRDefault="0095375D"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Jestliže nebylo třetí osobou zakročeno na obranu žalovaného, jak je popsáno výše, byl </w:t>
      </w:r>
      <w:r w:rsidR="007C6D77" w:rsidRPr="00DA196C">
        <w:rPr>
          <w:rFonts w:ascii="Garamond" w:hAnsi="Garamond"/>
          <w:sz w:val="24"/>
          <w:szCs w:val="24"/>
        </w:rPr>
        <w:t>věřitel</w:t>
      </w:r>
      <w:r w:rsidRPr="00DA196C">
        <w:rPr>
          <w:rFonts w:ascii="Garamond" w:hAnsi="Garamond"/>
          <w:sz w:val="24"/>
          <w:szCs w:val="24"/>
        </w:rPr>
        <w:t xml:space="preserve"> oprávněn </w:t>
      </w:r>
      <w:r w:rsidR="007C6D77" w:rsidRPr="00DA196C">
        <w:rPr>
          <w:rFonts w:ascii="Garamond" w:hAnsi="Garamond"/>
          <w:sz w:val="24"/>
          <w:szCs w:val="24"/>
        </w:rPr>
        <w:t>dlužníka</w:t>
      </w:r>
      <w:r w:rsidRPr="00DA196C">
        <w:rPr>
          <w:rFonts w:ascii="Garamond" w:hAnsi="Garamond"/>
          <w:sz w:val="24"/>
          <w:szCs w:val="24"/>
        </w:rPr>
        <w:t xml:space="preserve"> vzít do domácí vazby a spoutat.</w:t>
      </w:r>
      <w:r w:rsidR="000C5215" w:rsidRPr="00DA196C">
        <w:rPr>
          <w:rFonts w:ascii="Garamond" w:hAnsi="Garamond"/>
          <w:sz w:val="24"/>
          <w:szCs w:val="24"/>
          <w:vertAlign w:val="superscript"/>
        </w:rPr>
        <w:footnoteReference w:id="129"/>
      </w:r>
      <w:r w:rsidRPr="00DA196C">
        <w:rPr>
          <w:rFonts w:ascii="Garamond" w:hAnsi="Garamond"/>
          <w:sz w:val="24"/>
          <w:szCs w:val="24"/>
        </w:rPr>
        <w:t xml:space="preserve"> Takto mohl být </w:t>
      </w:r>
      <w:r w:rsidR="007C6D77" w:rsidRPr="00DA196C">
        <w:rPr>
          <w:rFonts w:ascii="Garamond" w:hAnsi="Garamond"/>
          <w:sz w:val="24"/>
          <w:szCs w:val="24"/>
        </w:rPr>
        <w:t>dlužník</w:t>
      </w:r>
      <w:r w:rsidRPr="00DA196C">
        <w:rPr>
          <w:rFonts w:ascii="Garamond" w:hAnsi="Garamond"/>
          <w:sz w:val="24"/>
          <w:szCs w:val="24"/>
        </w:rPr>
        <w:t xml:space="preserve"> držen po dobu 60 dnů, kdy během této doby měl být třikrát předveden na </w:t>
      </w:r>
      <w:proofErr w:type="spellStart"/>
      <w:r w:rsidRPr="00DA196C">
        <w:rPr>
          <w:rFonts w:ascii="Garamond" w:hAnsi="Garamond"/>
          <w:sz w:val="24"/>
          <w:szCs w:val="24"/>
        </w:rPr>
        <w:t>forum</w:t>
      </w:r>
      <w:proofErr w:type="spellEnd"/>
      <w:r w:rsidRPr="00DA196C">
        <w:rPr>
          <w:rFonts w:ascii="Garamond" w:hAnsi="Garamond"/>
          <w:sz w:val="24"/>
          <w:szCs w:val="24"/>
        </w:rPr>
        <w:t xml:space="preserve">, kde </w:t>
      </w:r>
      <w:r w:rsidR="000C5215" w:rsidRPr="00DA196C">
        <w:rPr>
          <w:rFonts w:ascii="Garamond" w:hAnsi="Garamond"/>
          <w:sz w:val="24"/>
          <w:szCs w:val="24"/>
        </w:rPr>
        <w:t xml:space="preserve">měla být veřejně vyhlášena částka, kterou je žalovaný dlužen. Za tuto částku mohl být </w:t>
      </w:r>
      <w:r w:rsidR="007C6D77" w:rsidRPr="00DA196C">
        <w:rPr>
          <w:rFonts w:ascii="Garamond" w:hAnsi="Garamond"/>
          <w:sz w:val="24"/>
          <w:szCs w:val="24"/>
        </w:rPr>
        <w:t>dlužník</w:t>
      </w:r>
      <w:r w:rsidR="000C5215" w:rsidRPr="00DA196C">
        <w:rPr>
          <w:rFonts w:ascii="Garamond" w:hAnsi="Garamond"/>
          <w:sz w:val="24"/>
          <w:szCs w:val="24"/>
        </w:rPr>
        <w:t xml:space="preserve"> vykoupen, jinak mohl být </w:t>
      </w:r>
      <w:r w:rsidR="007C6D77" w:rsidRPr="00DA196C">
        <w:rPr>
          <w:rFonts w:ascii="Garamond" w:hAnsi="Garamond"/>
          <w:sz w:val="24"/>
          <w:szCs w:val="24"/>
        </w:rPr>
        <w:t>věřitelem</w:t>
      </w:r>
      <w:r w:rsidR="000C5215" w:rsidRPr="00DA196C">
        <w:rPr>
          <w:rFonts w:ascii="Garamond" w:hAnsi="Garamond"/>
          <w:sz w:val="24"/>
          <w:szCs w:val="24"/>
        </w:rPr>
        <w:t xml:space="preserve"> usmrcen nebo prodán do otroctví </w:t>
      </w:r>
      <w:r w:rsidR="000C5215" w:rsidRPr="00701D40">
        <w:rPr>
          <w:rFonts w:ascii="Garamond" w:hAnsi="Garamond"/>
          <w:i/>
          <w:sz w:val="24"/>
          <w:szCs w:val="24"/>
        </w:rPr>
        <w:t xml:space="preserve">trans </w:t>
      </w:r>
      <w:proofErr w:type="spellStart"/>
      <w:r w:rsidR="000C5215" w:rsidRPr="00701D40">
        <w:rPr>
          <w:rFonts w:ascii="Garamond" w:hAnsi="Garamond"/>
          <w:i/>
          <w:sz w:val="24"/>
          <w:szCs w:val="24"/>
        </w:rPr>
        <w:t>Tiberim</w:t>
      </w:r>
      <w:proofErr w:type="spellEnd"/>
      <w:r w:rsidR="000C5215" w:rsidRPr="00DA196C">
        <w:rPr>
          <w:rFonts w:ascii="Garamond" w:hAnsi="Garamond"/>
          <w:sz w:val="24"/>
          <w:szCs w:val="24"/>
        </w:rPr>
        <w:t>.</w:t>
      </w:r>
      <w:r w:rsidR="000C5215" w:rsidRPr="00DA196C">
        <w:rPr>
          <w:rFonts w:ascii="Garamond" w:hAnsi="Garamond"/>
          <w:sz w:val="24"/>
          <w:szCs w:val="24"/>
          <w:vertAlign w:val="superscript"/>
        </w:rPr>
        <w:footnoteReference w:id="130"/>
      </w:r>
    </w:p>
    <w:p w:rsidR="009D7E70" w:rsidRPr="00DA196C" w:rsidRDefault="007C6D77"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Tento způsob exekuce byl z</w:t>
      </w:r>
      <w:r w:rsidR="00701D40">
        <w:rPr>
          <w:rFonts w:ascii="Garamond" w:hAnsi="Garamond"/>
          <w:sz w:val="24"/>
          <w:szCs w:val="24"/>
        </w:rPr>
        <w:t>mírněn, když byl roku 326 př. n</w:t>
      </w:r>
      <w:r w:rsidRPr="00DA196C">
        <w:rPr>
          <w:rFonts w:ascii="Garamond" w:hAnsi="Garamond"/>
          <w:sz w:val="24"/>
          <w:szCs w:val="24"/>
        </w:rPr>
        <w:t>.</w:t>
      </w:r>
      <w:r w:rsidR="00701D40">
        <w:rPr>
          <w:rFonts w:ascii="Garamond" w:hAnsi="Garamond"/>
          <w:sz w:val="24"/>
          <w:szCs w:val="24"/>
        </w:rPr>
        <w:t xml:space="preserve"> l.</w:t>
      </w:r>
      <w:r w:rsidRPr="00DA196C">
        <w:rPr>
          <w:rFonts w:ascii="Garamond" w:hAnsi="Garamond"/>
          <w:sz w:val="24"/>
          <w:szCs w:val="24"/>
        </w:rPr>
        <w:t xml:space="preserve"> vydán </w:t>
      </w:r>
      <w:proofErr w:type="spellStart"/>
      <w:r w:rsidRPr="00701D40">
        <w:rPr>
          <w:rFonts w:ascii="Garamond" w:hAnsi="Garamond"/>
          <w:i/>
          <w:sz w:val="24"/>
          <w:szCs w:val="24"/>
        </w:rPr>
        <w:t>lex</w:t>
      </w:r>
      <w:proofErr w:type="spellEnd"/>
      <w:r w:rsidRPr="00701D40">
        <w:rPr>
          <w:rFonts w:ascii="Garamond" w:hAnsi="Garamond"/>
          <w:i/>
          <w:sz w:val="24"/>
          <w:szCs w:val="24"/>
        </w:rPr>
        <w:t xml:space="preserve"> </w:t>
      </w:r>
      <w:proofErr w:type="spellStart"/>
      <w:r w:rsidRPr="00701D40">
        <w:rPr>
          <w:rFonts w:ascii="Garamond" w:hAnsi="Garamond"/>
          <w:i/>
          <w:sz w:val="24"/>
          <w:szCs w:val="24"/>
        </w:rPr>
        <w:t>Poetelia</w:t>
      </w:r>
      <w:proofErr w:type="spellEnd"/>
      <w:r w:rsidRPr="00DA196C">
        <w:rPr>
          <w:rFonts w:ascii="Garamond" w:hAnsi="Garamond"/>
          <w:sz w:val="24"/>
          <w:szCs w:val="24"/>
        </w:rPr>
        <w:t>, který stanovil, že dlužník již dále neruč</w:t>
      </w:r>
      <w:r w:rsidR="002271FA" w:rsidRPr="00DA196C">
        <w:rPr>
          <w:rFonts w:ascii="Garamond" w:hAnsi="Garamond"/>
          <w:sz w:val="24"/>
          <w:szCs w:val="24"/>
        </w:rPr>
        <w:t>il za splnění dluhu svou osobou</w:t>
      </w:r>
      <w:r w:rsidRPr="00DA196C">
        <w:rPr>
          <w:rFonts w:ascii="Garamond" w:hAnsi="Garamond"/>
          <w:sz w:val="24"/>
          <w:szCs w:val="24"/>
        </w:rPr>
        <w:t xml:space="preserve">. </w:t>
      </w:r>
      <w:r w:rsidR="002271FA" w:rsidRPr="00DA196C">
        <w:rPr>
          <w:rFonts w:ascii="Garamond" w:hAnsi="Garamond"/>
          <w:sz w:val="24"/>
          <w:szCs w:val="24"/>
        </w:rPr>
        <w:t>Dlužník tak nemohl být usmrcen nebo prodán do otroctví a b</w:t>
      </w:r>
      <w:r w:rsidRPr="00DA196C">
        <w:rPr>
          <w:rFonts w:ascii="Garamond" w:hAnsi="Garamond"/>
          <w:sz w:val="24"/>
          <w:szCs w:val="24"/>
        </w:rPr>
        <w:t>ylo také zakázáno, aby byl dlužník držen v</w:t>
      </w:r>
      <w:r w:rsidR="002271FA" w:rsidRPr="00DA196C">
        <w:rPr>
          <w:rFonts w:ascii="Garamond" w:hAnsi="Garamond"/>
          <w:sz w:val="24"/>
          <w:szCs w:val="24"/>
        </w:rPr>
        <w:t> </w:t>
      </w:r>
      <w:r w:rsidRPr="00DA196C">
        <w:rPr>
          <w:rFonts w:ascii="Garamond" w:hAnsi="Garamond"/>
          <w:sz w:val="24"/>
          <w:szCs w:val="24"/>
        </w:rPr>
        <w:t>poutech</w:t>
      </w:r>
      <w:r w:rsidR="002271FA" w:rsidRPr="00DA196C">
        <w:rPr>
          <w:rFonts w:ascii="Garamond" w:hAnsi="Garamond"/>
          <w:sz w:val="24"/>
          <w:szCs w:val="24"/>
        </w:rPr>
        <w:t>, do doby než odpracuje svůj dluh</w:t>
      </w:r>
      <w:r w:rsidRPr="00DA196C">
        <w:rPr>
          <w:rFonts w:ascii="Garamond" w:hAnsi="Garamond"/>
          <w:sz w:val="24"/>
          <w:szCs w:val="24"/>
        </w:rPr>
        <w:t>.</w:t>
      </w:r>
      <w:r w:rsidR="002271FA" w:rsidRPr="00DA196C">
        <w:rPr>
          <w:rStyle w:val="Znakapoznpodarou"/>
          <w:rFonts w:ascii="Garamond" w:hAnsi="Garamond"/>
          <w:sz w:val="24"/>
          <w:szCs w:val="24"/>
        </w:rPr>
        <w:footnoteReference w:id="131"/>
      </w:r>
    </w:p>
    <w:p w:rsidR="00EA4558" w:rsidRPr="00DA196C" w:rsidRDefault="002271F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Za dob formulového procesu měl věřitel na výběr ze dvou možností – buď mohl užít výše popsané exekuce osobní ve zmírněné podobě po vydání </w:t>
      </w:r>
      <w:proofErr w:type="spellStart"/>
      <w:r w:rsidRPr="00701D40">
        <w:rPr>
          <w:rFonts w:ascii="Garamond" w:hAnsi="Garamond"/>
          <w:i/>
          <w:sz w:val="24"/>
          <w:szCs w:val="24"/>
        </w:rPr>
        <w:t>lex</w:t>
      </w:r>
      <w:proofErr w:type="spellEnd"/>
      <w:r w:rsidRPr="00701D40">
        <w:rPr>
          <w:rFonts w:ascii="Garamond" w:hAnsi="Garamond"/>
          <w:i/>
          <w:sz w:val="24"/>
          <w:szCs w:val="24"/>
        </w:rPr>
        <w:t xml:space="preserve"> </w:t>
      </w:r>
      <w:proofErr w:type="spellStart"/>
      <w:r w:rsidRPr="00701D40">
        <w:rPr>
          <w:rFonts w:ascii="Garamond" w:hAnsi="Garamond"/>
          <w:i/>
          <w:sz w:val="24"/>
          <w:szCs w:val="24"/>
        </w:rPr>
        <w:t>Poetelia</w:t>
      </w:r>
      <w:proofErr w:type="spellEnd"/>
      <w:r w:rsidRPr="00DA196C">
        <w:rPr>
          <w:rFonts w:ascii="Garamond" w:hAnsi="Garamond"/>
          <w:sz w:val="24"/>
          <w:szCs w:val="24"/>
        </w:rPr>
        <w:t xml:space="preserve">, nebo se nabízela exekuce majetková, která byla zavedena </w:t>
      </w:r>
      <w:r w:rsidR="00701D40">
        <w:rPr>
          <w:rFonts w:ascii="Garamond" w:hAnsi="Garamond"/>
          <w:sz w:val="24"/>
          <w:szCs w:val="24"/>
        </w:rPr>
        <w:t>pré</w:t>
      </w:r>
      <w:r w:rsidRPr="00DA196C">
        <w:rPr>
          <w:rFonts w:ascii="Garamond" w:hAnsi="Garamond"/>
          <w:sz w:val="24"/>
          <w:szCs w:val="24"/>
        </w:rPr>
        <w:t xml:space="preserve">torským ediktem. </w:t>
      </w:r>
    </w:p>
    <w:p w:rsidR="00F40983" w:rsidRPr="00DA196C" w:rsidRDefault="002271FA"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majetkové exekuce týče, jednalo se univerzální </w:t>
      </w:r>
      <w:proofErr w:type="gramStart"/>
      <w:r w:rsidRPr="00DA196C">
        <w:rPr>
          <w:rFonts w:ascii="Garamond" w:hAnsi="Garamond"/>
          <w:sz w:val="24"/>
          <w:szCs w:val="24"/>
        </w:rPr>
        <w:t>majetkovou</w:t>
      </w:r>
      <w:proofErr w:type="gramEnd"/>
      <w:r w:rsidR="00F40983" w:rsidRPr="00DA196C">
        <w:rPr>
          <w:rFonts w:ascii="Garamond" w:hAnsi="Garamond"/>
          <w:sz w:val="24"/>
          <w:szCs w:val="24"/>
        </w:rPr>
        <w:t xml:space="preserve"> </w:t>
      </w:r>
      <w:r w:rsidRPr="00DA196C">
        <w:rPr>
          <w:rFonts w:ascii="Garamond" w:hAnsi="Garamond"/>
          <w:sz w:val="24"/>
          <w:szCs w:val="24"/>
        </w:rPr>
        <w:t xml:space="preserve">exekuci, kdy dlužníkovi vylo </w:t>
      </w:r>
      <w:r w:rsidR="00F40983" w:rsidRPr="00DA196C">
        <w:rPr>
          <w:rFonts w:ascii="Garamond" w:hAnsi="Garamond"/>
          <w:sz w:val="24"/>
          <w:szCs w:val="24"/>
        </w:rPr>
        <w:t xml:space="preserve">odnímáno celé jmění. </w:t>
      </w:r>
      <w:r w:rsidR="008B1627" w:rsidRPr="00DA196C">
        <w:rPr>
          <w:rFonts w:ascii="Garamond" w:hAnsi="Garamond"/>
          <w:sz w:val="24"/>
          <w:szCs w:val="24"/>
        </w:rPr>
        <w:t xml:space="preserve">Věřitel, respektive žalobce, mohl svůj nárok vymoci skrze </w:t>
      </w:r>
      <w:proofErr w:type="spellStart"/>
      <w:r w:rsidR="008B1627" w:rsidRPr="00701D40">
        <w:rPr>
          <w:rFonts w:ascii="Garamond" w:hAnsi="Garamond"/>
          <w:i/>
          <w:sz w:val="24"/>
          <w:szCs w:val="24"/>
        </w:rPr>
        <w:t>actio</w:t>
      </w:r>
      <w:proofErr w:type="spellEnd"/>
      <w:r w:rsidR="008B1627" w:rsidRPr="00701D40">
        <w:rPr>
          <w:rFonts w:ascii="Garamond" w:hAnsi="Garamond"/>
          <w:i/>
          <w:sz w:val="24"/>
          <w:szCs w:val="24"/>
        </w:rPr>
        <w:t xml:space="preserve"> </w:t>
      </w:r>
      <w:proofErr w:type="spellStart"/>
      <w:r w:rsidR="008B1627" w:rsidRPr="00701D40">
        <w:rPr>
          <w:rFonts w:ascii="Garamond" w:hAnsi="Garamond"/>
          <w:i/>
          <w:sz w:val="24"/>
          <w:szCs w:val="24"/>
        </w:rPr>
        <w:t>iudicati</w:t>
      </w:r>
      <w:proofErr w:type="spellEnd"/>
      <w:r w:rsidR="008B1627" w:rsidRPr="00DA196C">
        <w:rPr>
          <w:rFonts w:ascii="Garamond" w:hAnsi="Garamond"/>
          <w:sz w:val="24"/>
          <w:szCs w:val="24"/>
        </w:rPr>
        <w:t>. Žalobce musel nejprve obeslat žalovaného</w:t>
      </w:r>
      <w:r w:rsidR="00701D40">
        <w:rPr>
          <w:rFonts w:ascii="Garamond" w:hAnsi="Garamond"/>
          <w:sz w:val="24"/>
          <w:szCs w:val="24"/>
        </w:rPr>
        <w:t xml:space="preserve"> a s tímto se dostavit před pré</w:t>
      </w:r>
      <w:r w:rsidR="008B1627" w:rsidRPr="00DA196C">
        <w:rPr>
          <w:rFonts w:ascii="Garamond" w:hAnsi="Garamond"/>
          <w:sz w:val="24"/>
          <w:szCs w:val="24"/>
        </w:rPr>
        <w:t>tora. Zde žalobce přednesl svůj nárok a konstatoval, že žalovaný nesplnil ve lhůtě svou povinnost. Následně byl dotázán žalovaný</w:t>
      </w:r>
      <w:r w:rsidR="00701D40">
        <w:rPr>
          <w:rFonts w:ascii="Garamond" w:hAnsi="Garamond"/>
          <w:sz w:val="24"/>
          <w:szCs w:val="24"/>
        </w:rPr>
        <w:t xml:space="preserve">. </w:t>
      </w:r>
      <w:r w:rsidR="00695333" w:rsidRPr="00DA196C">
        <w:rPr>
          <w:rFonts w:ascii="Garamond" w:hAnsi="Garamond"/>
          <w:sz w:val="24"/>
          <w:szCs w:val="24"/>
        </w:rPr>
        <w:t>U</w:t>
      </w:r>
      <w:r w:rsidR="008B1627" w:rsidRPr="00DA196C">
        <w:rPr>
          <w:rFonts w:ascii="Garamond" w:hAnsi="Garamond"/>
          <w:sz w:val="24"/>
          <w:szCs w:val="24"/>
        </w:rPr>
        <w:t xml:space="preserve">znal-li svou povinnost, případně se nijak nebránil, </w:t>
      </w:r>
      <w:r w:rsidR="00701D40">
        <w:rPr>
          <w:rFonts w:ascii="Garamond" w:hAnsi="Garamond"/>
          <w:sz w:val="24"/>
          <w:szCs w:val="24"/>
        </w:rPr>
        <w:t>povolil pré</w:t>
      </w:r>
      <w:r w:rsidR="008B1627" w:rsidRPr="00DA196C">
        <w:rPr>
          <w:rFonts w:ascii="Garamond" w:hAnsi="Garamond"/>
          <w:sz w:val="24"/>
          <w:szCs w:val="24"/>
        </w:rPr>
        <w:t xml:space="preserve">tor </w:t>
      </w:r>
      <w:r w:rsidR="00D83536" w:rsidRPr="00DA196C">
        <w:rPr>
          <w:rFonts w:ascii="Garamond" w:hAnsi="Garamond"/>
          <w:sz w:val="24"/>
          <w:szCs w:val="24"/>
        </w:rPr>
        <w:t xml:space="preserve">dekretem </w:t>
      </w:r>
      <w:proofErr w:type="spellStart"/>
      <w:r w:rsidR="008B1627" w:rsidRPr="00701D40">
        <w:rPr>
          <w:rFonts w:ascii="Garamond" w:hAnsi="Garamond"/>
          <w:i/>
          <w:sz w:val="24"/>
          <w:szCs w:val="24"/>
        </w:rPr>
        <w:t>missio</w:t>
      </w:r>
      <w:proofErr w:type="spellEnd"/>
      <w:r w:rsidR="008B1627" w:rsidRPr="00701D40">
        <w:rPr>
          <w:rFonts w:ascii="Garamond" w:hAnsi="Garamond"/>
          <w:i/>
          <w:sz w:val="24"/>
          <w:szCs w:val="24"/>
        </w:rPr>
        <w:t xml:space="preserve"> in bona</w:t>
      </w:r>
      <w:r w:rsidR="00695333" w:rsidRPr="00DA196C">
        <w:rPr>
          <w:rFonts w:ascii="Garamond" w:hAnsi="Garamond"/>
          <w:sz w:val="24"/>
          <w:szCs w:val="24"/>
        </w:rPr>
        <w:t xml:space="preserve">, tedy </w:t>
      </w:r>
      <w:r w:rsidR="00D83536" w:rsidRPr="00DA196C">
        <w:rPr>
          <w:rFonts w:ascii="Garamond" w:hAnsi="Garamond"/>
          <w:sz w:val="24"/>
          <w:szCs w:val="24"/>
        </w:rPr>
        <w:t>věřitel byl oprávněn k detenci dlužníkova majetku. Dlužník musel veřejně oznámit, že došlo k </w:t>
      </w:r>
      <w:proofErr w:type="spellStart"/>
      <w:r w:rsidR="00D83536" w:rsidRPr="00701D40">
        <w:rPr>
          <w:rFonts w:ascii="Garamond" w:hAnsi="Garamond"/>
          <w:i/>
          <w:sz w:val="24"/>
          <w:szCs w:val="24"/>
        </w:rPr>
        <w:t>missio</w:t>
      </w:r>
      <w:proofErr w:type="spellEnd"/>
      <w:r w:rsidR="00D83536" w:rsidRPr="00701D40">
        <w:rPr>
          <w:rFonts w:ascii="Garamond" w:hAnsi="Garamond"/>
          <w:i/>
          <w:sz w:val="24"/>
          <w:szCs w:val="24"/>
        </w:rPr>
        <w:t xml:space="preserve"> in bona</w:t>
      </w:r>
      <w:r w:rsidR="00D83536" w:rsidRPr="00DA196C">
        <w:rPr>
          <w:rFonts w:ascii="Garamond" w:hAnsi="Garamond"/>
          <w:sz w:val="24"/>
          <w:szCs w:val="24"/>
        </w:rPr>
        <w:t xml:space="preserve">. Tímto bylo zajištěno informování všech případných dalších věřitelů, kteří mohli k detenci dlužníkova majetku přistoupit. </w:t>
      </w:r>
      <w:r w:rsidR="005E4B80" w:rsidRPr="00DA196C">
        <w:rPr>
          <w:rFonts w:ascii="Garamond" w:hAnsi="Garamond"/>
          <w:sz w:val="24"/>
          <w:szCs w:val="24"/>
        </w:rPr>
        <w:t xml:space="preserve">Do 30 dnů od </w:t>
      </w:r>
      <w:proofErr w:type="spellStart"/>
      <w:r w:rsidR="005E4B80" w:rsidRPr="00701D40">
        <w:rPr>
          <w:rFonts w:ascii="Garamond" w:hAnsi="Garamond"/>
          <w:i/>
          <w:sz w:val="24"/>
          <w:szCs w:val="24"/>
        </w:rPr>
        <w:t>missio</w:t>
      </w:r>
      <w:proofErr w:type="spellEnd"/>
      <w:r w:rsidR="005E4B80" w:rsidRPr="00701D40">
        <w:rPr>
          <w:rFonts w:ascii="Garamond" w:hAnsi="Garamond"/>
          <w:i/>
          <w:sz w:val="24"/>
          <w:szCs w:val="24"/>
        </w:rPr>
        <w:t xml:space="preserve"> in bona</w:t>
      </w:r>
      <w:r w:rsidR="005E4B80" w:rsidRPr="00DA196C">
        <w:rPr>
          <w:rFonts w:ascii="Garamond" w:hAnsi="Garamond"/>
          <w:sz w:val="24"/>
          <w:szCs w:val="24"/>
        </w:rPr>
        <w:t xml:space="preserve"> měl dlužník stále ještě splnit svou povinnost. Jestliže tak dlužník neučinil, stával se </w:t>
      </w:r>
      <w:proofErr w:type="spellStart"/>
      <w:r w:rsidR="005E4B80" w:rsidRPr="00701D40">
        <w:rPr>
          <w:rFonts w:ascii="Garamond" w:hAnsi="Garamond"/>
          <w:i/>
          <w:sz w:val="24"/>
          <w:szCs w:val="24"/>
        </w:rPr>
        <w:t>infamis</w:t>
      </w:r>
      <w:proofErr w:type="spellEnd"/>
      <w:r w:rsidR="005E4B80" w:rsidRPr="00DA196C">
        <w:rPr>
          <w:rFonts w:ascii="Garamond" w:hAnsi="Garamond"/>
          <w:sz w:val="24"/>
          <w:szCs w:val="24"/>
        </w:rPr>
        <w:t xml:space="preserve"> (což pro něj znamenalo určité právní újmy, zejména co se soudního řízení týče</w:t>
      </w:r>
      <w:r w:rsidR="005E4B80" w:rsidRPr="00DA196C">
        <w:rPr>
          <w:rFonts w:ascii="Garamond" w:hAnsi="Garamond"/>
          <w:sz w:val="24"/>
          <w:szCs w:val="24"/>
          <w:vertAlign w:val="superscript"/>
        </w:rPr>
        <w:footnoteReference w:id="132"/>
      </w:r>
      <w:r w:rsidR="005E4B80" w:rsidRPr="00DA196C">
        <w:rPr>
          <w:rFonts w:ascii="Garamond" w:hAnsi="Garamond"/>
          <w:sz w:val="24"/>
          <w:szCs w:val="24"/>
        </w:rPr>
        <w:t>) a n</w:t>
      </w:r>
      <w:r w:rsidR="00D83536" w:rsidRPr="00DA196C">
        <w:rPr>
          <w:rFonts w:ascii="Garamond" w:hAnsi="Garamond"/>
          <w:sz w:val="24"/>
          <w:szCs w:val="24"/>
        </w:rPr>
        <w:t xml:space="preserve">ásledoval </w:t>
      </w:r>
      <w:r w:rsidR="005E4B80" w:rsidRPr="00DA196C">
        <w:rPr>
          <w:rFonts w:ascii="Garamond" w:hAnsi="Garamond"/>
          <w:sz w:val="24"/>
          <w:szCs w:val="24"/>
        </w:rPr>
        <w:t xml:space="preserve">též </w:t>
      </w:r>
      <w:r w:rsidR="00D83536" w:rsidRPr="00DA196C">
        <w:rPr>
          <w:rFonts w:ascii="Garamond" w:hAnsi="Garamond"/>
          <w:sz w:val="24"/>
          <w:szCs w:val="24"/>
        </w:rPr>
        <w:t xml:space="preserve">prodej </w:t>
      </w:r>
      <w:r w:rsidR="005E4B80" w:rsidRPr="00DA196C">
        <w:rPr>
          <w:rFonts w:ascii="Garamond" w:hAnsi="Garamond"/>
          <w:sz w:val="24"/>
          <w:szCs w:val="24"/>
        </w:rPr>
        <w:t>jeho maj</w:t>
      </w:r>
      <w:r w:rsidR="00701D40">
        <w:rPr>
          <w:rFonts w:ascii="Garamond" w:hAnsi="Garamond"/>
          <w:sz w:val="24"/>
          <w:szCs w:val="24"/>
        </w:rPr>
        <w:t xml:space="preserve">etku </w:t>
      </w:r>
      <w:r w:rsidR="005E4B80" w:rsidRPr="00DA196C">
        <w:rPr>
          <w:rFonts w:ascii="Garamond" w:hAnsi="Garamond"/>
          <w:sz w:val="24"/>
          <w:szCs w:val="24"/>
        </w:rPr>
        <w:t>(</w:t>
      </w:r>
      <w:proofErr w:type="spellStart"/>
      <w:r w:rsidR="005E4B80" w:rsidRPr="00701D40">
        <w:rPr>
          <w:rFonts w:ascii="Garamond" w:hAnsi="Garamond"/>
          <w:i/>
          <w:sz w:val="24"/>
          <w:szCs w:val="24"/>
        </w:rPr>
        <w:t>venditio</w:t>
      </w:r>
      <w:proofErr w:type="spellEnd"/>
      <w:r w:rsidR="005E4B80" w:rsidRPr="00701D40">
        <w:rPr>
          <w:rFonts w:ascii="Garamond" w:hAnsi="Garamond"/>
          <w:i/>
          <w:sz w:val="24"/>
          <w:szCs w:val="24"/>
        </w:rPr>
        <w:t xml:space="preserve"> </w:t>
      </w:r>
      <w:proofErr w:type="spellStart"/>
      <w:r w:rsidR="005E4B80" w:rsidRPr="00701D40">
        <w:rPr>
          <w:rFonts w:ascii="Garamond" w:hAnsi="Garamond"/>
          <w:i/>
          <w:sz w:val="24"/>
          <w:szCs w:val="24"/>
        </w:rPr>
        <w:t>bonorum</w:t>
      </w:r>
      <w:proofErr w:type="spellEnd"/>
      <w:r w:rsidR="005E4B80" w:rsidRPr="00DA196C">
        <w:rPr>
          <w:rFonts w:ascii="Garamond" w:hAnsi="Garamond"/>
          <w:sz w:val="24"/>
          <w:szCs w:val="24"/>
        </w:rPr>
        <w:t>)</w:t>
      </w:r>
      <w:r w:rsidR="00D83536" w:rsidRPr="00DA196C">
        <w:rPr>
          <w:rFonts w:ascii="Garamond" w:hAnsi="Garamond"/>
          <w:sz w:val="24"/>
          <w:szCs w:val="24"/>
        </w:rPr>
        <w:t>.</w:t>
      </w:r>
      <w:r w:rsidR="005E4B80" w:rsidRPr="00DA196C">
        <w:rPr>
          <w:rFonts w:ascii="Garamond" w:hAnsi="Garamond"/>
          <w:sz w:val="24"/>
          <w:szCs w:val="24"/>
        </w:rPr>
        <w:t xml:space="preserve"> </w:t>
      </w:r>
      <w:r w:rsidR="00EA4558" w:rsidRPr="00DA196C">
        <w:rPr>
          <w:rFonts w:ascii="Garamond" w:hAnsi="Garamond"/>
          <w:sz w:val="24"/>
          <w:szCs w:val="24"/>
        </w:rPr>
        <w:t>Ten probíhal tak, že věřitelé nejprve mezi sebou ustanovili vykonavatele prodeje (</w:t>
      </w:r>
      <w:r w:rsidR="00EA4558" w:rsidRPr="00701D40">
        <w:rPr>
          <w:rFonts w:ascii="Garamond" w:hAnsi="Garamond"/>
          <w:i/>
          <w:sz w:val="24"/>
          <w:szCs w:val="24"/>
        </w:rPr>
        <w:t xml:space="preserve">magister </w:t>
      </w:r>
      <w:proofErr w:type="spellStart"/>
      <w:r w:rsidR="00EA4558" w:rsidRPr="00701D40">
        <w:rPr>
          <w:rFonts w:ascii="Garamond" w:hAnsi="Garamond"/>
          <w:i/>
          <w:sz w:val="24"/>
          <w:szCs w:val="24"/>
        </w:rPr>
        <w:t>bonorum</w:t>
      </w:r>
      <w:proofErr w:type="spellEnd"/>
      <w:r w:rsidR="00EA4558" w:rsidRPr="00701D40">
        <w:rPr>
          <w:rFonts w:ascii="Garamond" w:hAnsi="Garamond"/>
          <w:i/>
          <w:sz w:val="24"/>
          <w:szCs w:val="24"/>
        </w:rPr>
        <w:t xml:space="preserve"> </w:t>
      </w:r>
      <w:proofErr w:type="spellStart"/>
      <w:r w:rsidR="00EA4558" w:rsidRPr="00701D40">
        <w:rPr>
          <w:rFonts w:ascii="Garamond" w:hAnsi="Garamond"/>
          <w:i/>
          <w:sz w:val="24"/>
          <w:szCs w:val="24"/>
        </w:rPr>
        <w:t>vendetorum</w:t>
      </w:r>
      <w:proofErr w:type="spellEnd"/>
      <w:r w:rsidR="00EA4558" w:rsidRPr="00DA196C">
        <w:rPr>
          <w:rFonts w:ascii="Garamond" w:hAnsi="Garamond"/>
          <w:sz w:val="24"/>
          <w:szCs w:val="24"/>
        </w:rPr>
        <w:t xml:space="preserve">), který po uplynutí 10 dnů majetek dlužníka prodal tomu, kdo nabídl nejvyšší částku. Tím došlo podle prétorského práva k univerzální sukcesi dlužníkova majetku na nabyvatele, tzv. </w:t>
      </w:r>
      <w:proofErr w:type="spellStart"/>
      <w:r w:rsidR="00EA4558" w:rsidRPr="00701D40">
        <w:rPr>
          <w:rFonts w:ascii="Garamond" w:hAnsi="Garamond"/>
          <w:i/>
          <w:sz w:val="24"/>
          <w:szCs w:val="24"/>
        </w:rPr>
        <w:t>bonorum</w:t>
      </w:r>
      <w:proofErr w:type="spellEnd"/>
      <w:r w:rsidR="00EA4558" w:rsidRPr="00701D40">
        <w:rPr>
          <w:rFonts w:ascii="Garamond" w:hAnsi="Garamond"/>
          <w:i/>
          <w:sz w:val="24"/>
          <w:szCs w:val="24"/>
        </w:rPr>
        <w:t xml:space="preserve"> </w:t>
      </w:r>
      <w:proofErr w:type="spellStart"/>
      <w:r w:rsidR="00EA4558" w:rsidRPr="00701D40">
        <w:rPr>
          <w:rFonts w:ascii="Garamond" w:hAnsi="Garamond"/>
          <w:i/>
          <w:sz w:val="24"/>
          <w:szCs w:val="24"/>
        </w:rPr>
        <w:t>emptor</w:t>
      </w:r>
      <w:proofErr w:type="spellEnd"/>
      <w:r w:rsidR="00EA4558" w:rsidRPr="00DA196C">
        <w:rPr>
          <w:rFonts w:ascii="Garamond" w:hAnsi="Garamond"/>
          <w:sz w:val="24"/>
          <w:szCs w:val="24"/>
        </w:rPr>
        <w:t>.</w:t>
      </w:r>
      <w:r w:rsidR="001D56D2" w:rsidRPr="00DA196C">
        <w:rPr>
          <w:rFonts w:ascii="Garamond" w:hAnsi="Garamond"/>
          <w:sz w:val="24"/>
          <w:szCs w:val="24"/>
          <w:vertAlign w:val="superscript"/>
        </w:rPr>
        <w:footnoteReference w:id="133"/>
      </w:r>
    </w:p>
    <w:p w:rsidR="00EA4558" w:rsidRPr="00DA196C" w:rsidRDefault="00EA455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lastRenderedPageBreak/>
        <w:t xml:space="preserve">Osobní exekuci a tomu, aby se stal </w:t>
      </w:r>
      <w:proofErr w:type="spellStart"/>
      <w:r w:rsidRPr="00701D40">
        <w:rPr>
          <w:rFonts w:ascii="Garamond" w:hAnsi="Garamond"/>
          <w:i/>
          <w:sz w:val="24"/>
          <w:szCs w:val="24"/>
        </w:rPr>
        <w:t>infamis</w:t>
      </w:r>
      <w:proofErr w:type="spellEnd"/>
      <w:r w:rsidRPr="00DA196C">
        <w:rPr>
          <w:rFonts w:ascii="Garamond" w:hAnsi="Garamond"/>
          <w:sz w:val="24"/>
          <w:szCs w:val="24"/>
        </w:rPr>
        <w:t>, měl dlužník možnost vyhnout se tím, že postoupil dobrovolně svůj majetek věřitelům</w:t>
      </w:r>
      <w:r w:rsidR="00A017B2" w:rsidRPr="00DA196C">
        <w:rPr>
          <w:rFonts w:ascii="Garamond" w:hAnsi="Garamond"/>
          <w:sz w:val="24"/>
          <w:szCs w:val="24"/>
        </w:rPr>
        <w:t xml:space="preserve"> (</w:t>
      </w:r>
      <w:proofErr w:type="spellStart"/>
      <w:r w:rsidR="00A017B2" w:rsidRPr="00701D40">
        <w:rPr>
          <w:rFonts w:ascii="Garamond" w:hAnsi="Garamond"/>
          <w:i/>
          <w:sz w:val="24"/>
          <w:szCs w:val="24"/>
        </w:rPr>
        <w:t>cessio</w:t>
      </w:r>
      <w:proofErr w:type="spellEnd"/>
      <w:r w:rsidR="00A017B2" w:rsidRPr="00701D40">
        <w:rPr>
          <w:rFonts w:ascii="Garamond" w:hAnsi="Garamond"/>
          <w:i/>
          <w:sz w:val="24"/>
          <w:szCs w:val="24"/>
        </w:rPr>
        <w:t xml:space="preserve"> </w:t>
      </w:r>
      <w:proofErr w:type="spellStart"/>
      <w:r w:rsidR="00A017B2" w:rsidRPr="00701D40">
        <w:rPr>
          <w:rFonts w:ascii="Garamond" w:hAnsi="Garamond"/>
          <w:i/>
          <w:sz w:val="24"/>
          <w:szCs w:val="24"/>
        </w:rPr>
        <w:t>bonorum</w:t>
      </w:r>
      <w:proofErr w:type="spellEnd"/>
      <w:r w:rsidR="00A017B2" w:rsidRPr="00DA196C">
        <w:rPr>
          <w:rFonts w:ascii="Garamond" w:hAnsi="Garamond"/>
          <w:sz w:val="24"/>
          <w:szCs w:val="24"/>
        </w:rPr>
        <w:t>)</w:t>
      </w:r>
      <w:r w:rsidRPr="00DA196C">
        <w:rPr>
          <w:rFonts w:ascii="Garamond" w:hAnsi="Garamond"/>
          <w:sz w:val="24"/>
          <w:szCs w:val="24"/>
        </w:rPr>
        <w:t>.</w:t>
      </w:r>
      <w:r w:rsidR="00A017B2" w:rsidRPr="00DA196C">
        <w:rPr>
          <w:rFonts w:ascii="Garamond" w:hAnsi="Garamond"/>
          <w:sz w:val="24"/>
          <w:szCs w:val="24"/>
        </w:rPr>
        <w:t xml:space="preserve"> Poté opět následoval prodej majetku, jak je popsáno výše.</w:t>
      </w:r>
      <w:r w:rsidR="001D56D2" w:rsidRPr="00DA196C">
        <w:rPr>
          <w:rFonts w:ascii="Garamond" w:hAnsi="Garamond"/>
          <w:sz w:val="24"/>
          <w:szCs w:val="24"/>
          <w:vertAlign w:val="superscript"/>
        </w:rPr>
        <w:footnoteReference w:id="134"/>
      </w:r>
    </w:p>
    <w:p w:rsidR="00A017B2" w:rsidRPr="00DA196C" w:rsidRDefault="00A017B2"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Postupem času začalo být užíváno singulární exekuce, kdy již nedocházelo k prodeji celého majetku dlužníka, ale pouze </w:t>
      </w:r>
      <w:r w:rsidR="00FD1108" w:rsidRPr="00DA196C">
        <w:rPr>
          <w:rFonts w:ascii="Garamond" w:hAnsi="Garamond"/>
          <w:sz w:val="24"/>
          <w:szCs w:val="24"/>
        </w:rPr>
        <w:t xml:space="preserve">k prodeji jednotlivých kusů majetku v rozsahu, v jakém to bylo třeba pro uspokojení pohledávky věřitele. Nejdříve byl tento způsob exekuce zaveden jako výjimka z exekuce univerzální, přičemž tuto výjimku měli prvně senátoři a poté i nedospělci a </w:t>
      </w:r>
      <w:proofErr w:type="spellStart"/>
      <w:r w:rsidR="00FD1108" w:rsidRPr="00DA196C">
        <w:rPr>
          <w:rFonts w:ascii="Garamond" w:hAnsi="Garamond"/>
          <w:sz w:val="24"/>
          <w:szCs w:val="24"/>
        </w:rPr>
        <w:t>chorobomyslní</w:t>
      </w:r>
      <w:proofErr w:type="spellEnd"/>
      <w:r w:rsidR="00FD1108" w:rsidRPr="00DA196C">
        <w:rPr>
          <w:rFonts w:ascii="Garamond" w:hAnsi="Garamond"/>
          <w:sz w:val="24"/>
          <w:szCs w:val="24"/>
        </w:rPr>
        <w:t>.</w:t>
      </w:r>
      <w:r w:rsidR="005E4399" w:rsidRPr="00DA196C">
        <w:rPr>
          <w:rStyle w:val="Znakapoznpodarou"/>
          <w:rFonts w:ascii="Garamond" w:hAnsi="Garamond"/>
          <w:sz w:val="24"/>
          <w:szCs w:val="24"/>
        </w:rPr>
        <w:footnoteReference w:id="135"/>
      </w:r>
    </w:p>
    <w:p w:rsidR="00A4160F" w:rsidRPr="00DA196C" w:rsidRDefault="00A4160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Jak tedy plyne již z povahy rozsudku za dob </w:t>
      </w:r>
      <w:proofErr w:type="spellStart"/>
      <w:r w:rsidRPr="00DA196C">
        <w:rPr>
          <w:rFonts w:ascii="Garamond" w:hAnsi="Garamond"/>
          <w:sz w:val="24"/>
          <w:szCs w:val="24"/>
        </w:rPr>
        <w:t>legisakčního</w:t>
      </w:r>
      <w:proofErr w:type="spellEnd"/>
      <w:r w:rsidRPr="00DA196C">
        <w:rPr>
          <w:rFonts w:ascii="Garamond" w:hAnsi="Garamond"/>
          <w:sz w:val="24"/>
          <w:szCs w:val="24"/>
        </w:rPr>
        <w:t xml:space="preserve"> a formulového procesu, kdy tímto mohla být v souladu se zásadou pekuniární kondemnace uložena žalovanému pouze povinnost k peněžitému plnění, tak i exekuce za těchto dob vedla k vymožení peněžitého plnění na dlužníkovi. Jak bylo tedy již několikrát zmíněno, ačkoli měl zpravidla žalobce v případě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žaloby zájem především na skutečném navrácení věci, nemohl se domoci ničeho jiného, než peněžité náhrady.</w:t>
      </w:r>
    </w:p>
    <w:p w:rsidR="00A4160F" w:rsidRPr="00DA196C" w:rsidRDefault="00911EEC" w:rsidP="00FA1FF7">
      <w:pPr>
        <w:pStyle w:val="Nadpis3"/>
        <w:spacing w:line="360" w:lineRule="auto"/>
        <w:contextualSpacing/>
      </w:pPr>
      <w:bookmarkStart w:id="33" w:name="_Toc36031959"/>
      <w:r w:rsidRPr="00DA196C">
        <w:t>Úřednický proces</w:t>
      </w:r>
      <w:bookmarkEnd w:id="33"/>
    </w:p>
    <w:p w:rsidR="00A4160F" w:rsidRPr="00DA196C" w:rsidRDefault="00A4160F"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S ohledem na odlišné znění povinnosti stanovené odsuzujícím rozsudkem, se za dob úřednického lišil též způsob provedení exeku</w:t>
      </w:r>
      <w:r w:rsidR="002C199A" w:rsidRPr="00DA196C">
        <w:rPr>
          <w:rFonts w:ascii="Garamond" w:hAnsi="Garamond"/>
          <w:sz w:val="24"/>
          <w:szCs w:val="24"/>
        </w:rPr>
        <w:t xml:space="preserve">ce, šlo-li o </w:t>
      </w:r>
      <w:proofErr w:type="spellStart"/>
      <w:r w:rsidR="002C199A" w:rsidRPr="00DA196C">
        <w:rPr>
          <w:rFonts w:ascii="Garamond" w:hAnsi="Garamond"/>
          <w:sz w:val="24"/>
          <w:szCs w:val="24"/>
        </w:rPr>
        <w:t>reivindikační</w:t>
      </w:r>
      <w:proofErr w:type="spellEnd"/>
      <w:r w:rsidR="002C199A" w:rsidRPr="00DA196C">
        <w:rPr>
          <w:rFonts w:ascii="Garamond" w:hAnsi="Garamond"/>
          <w:sz w:val="24"/>
          <w:szCs w:val="24"/>
        </w:rPr>
        <w:t xml:space="preserve"> žalobu. Jak již bylo zmíněno, posunem v chápání vlastnického práva a upuštěním od zásady pekuniární kondemnace došlo k tomu, že odsuzující rozsudek zněl na vydání věci. </w:t>
      </w:r>
      <w:r w:rsidR="008007A1" w:rsidRPr="00DA196C">
        <w:rPr>
          <w:rFonts w:ascii="Garamond" w:hAnsi="Garamond"/>
          <w:sz w:val="24"/>
          <w:szCs w:val="24"/>
        </w:rPr>
        <w:t>V tomto případě se exekuce prováděla tak, že předmětná věc byla násilně odňata dlužníkovi</w:t>
      </w:r>
      <w:r w:rsidR="00701D40">
        <w:rPr>
          <w:rFonts w:ascii="Garamond" w:hAnsi="Garamond"/>
          <w:sz w:val="24"/>
          <w:szCs w:val="24"/>
        </w:rPr>
        <w:t>.</w:t>
      </w:r>
      <w:r w:rsidR="008007A1" w:rsidRPr="00DA196C">
        <w:rPr>
          <w:rFonts w:ascii="Garamond" w:hAnsi="Garamond"/>
          <w:sz w:val="24"/>
          <w:szCs w:val="24"/>
          <w:vertAlign w:val="superscript"/>
        </w:rPr>
        <w:footnoteReference w:id="136"/>
      </w:r>
      <w:r w:rsidR="008007A1" w:rsidRPr="00DA196C">
        <w:rPr>
          <w:rFonts w:ascii="Garamond" w:hAnsi="Garamond"/>
          <w:sz w:val="24"/>
          <w:szCs w:val="24"/>
        </w:rPr>
        <w:t xml:space="preserve"> Odnětí věci prováděli vojáci, kteří byli pro tyto účely uvolněni ze služby</w:t>
      </w:r>
      <w:r w:rsidR="00701D40">
        <w:rPr>
          <w:rFonts w:ascii="Garamond" w:hAnsi="Garamond"/>
          <w:sz w:val="24"/>
          <w:szCs w:val="24"/>
        </w:rPr>
        <w:t>.</w:t>
      </w:r>
      <w:r w:rsidR="008007A1" w:rsidRPr="00DA196C">
        <w:rPr>
          <w:rFonts w:ascii="Garamond" w:hAnsi="Garamond"/>
          <w:sz w:val="24"/>
          <w:szCs w:val="24"/>
          <w:vertAlign w:val="superscript"/>
        </w:rPr>
        <w:footnoteReference w:id="137"/>
      </w:r>
    </w:p>
    <w:p w:rsidR="006B17D9" w:rsidRPr="00DA196C" w:rsidRDefault="006B17D9"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Jestliže žalovaný věc vydat nemohl, přičemž úmyslně toto vydání znemožnil, byl povinen nahradit žalobci hodnotu věci v penězích na základě oceňovací přísahy žalobce, pro kterou nebyly stanoveny žádné limity. Jestliže vydání věci nebylo možné z jiného důvodu, byl žalovaný povinen zaplatit žalobci skutečnou peněžní hodnotu dané věci.</w:t>
      </w:r>
      <w:r w:rsidRPr="00DA196C">
        <w:rPr>
          <w:rStyle w:val="Znakapoznpodarou"/>
          <w:rFonts w:ascii="Garamond" w:hAnsi="Garamond"/>
          <w:sz w:val="24"/>
          <w:szCs w:val="24"/>
        </w:rPr>
        <w:footnoteReference w:id="138"/>
      </w:r>
    </w:p>
    <w:p w:rsidR="006B17D9" w:rsidRPr="00DA196C" w:rsidRDefault="006B17D9"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Vymožení peněžité částky se pak dělo singulární exekucí pomocí </w:t>
      </w:r>
      <w:proofErr w:type="spellStart"/>
      <w:r w:rsidRPr="00701D40">
        <w:rPr>
          <w:rFonts w:ascii="Garamond" w:hAnsi="Garamond"/>
          <w:i/>
          <w:sz w:val="24"/>
          <w:szCs w:val="24"/>
        </w:rPr>
        <w:t>p</w:t>
      </w:r>
      <w:r w:rsidR="00701D40">
        <w:rPr>
          <w:rFonts w:ascii="Garamond" w:hAnsi="Garamond"/>
          <w:i/>
          <w:sz w:val="24"/>
          <w:szCs w:val="24"/>
        </w:rPr>
        <w:t>ignus</w:t>
      </w:r>
      <w:proofErr w:type="spellEnd"/>
      <w:r w:rsidR="00701D40">
        <w:rPr>
          <w:rFonts w:ascii="Garamond" w:hAnsi="Garamond"/>
          <w:i/>
          <w:sz w:val="24"/>
          <w:szCs w:val="24"/>
        </w:rPr>
        <w:t xml:space="preserve"> i</w:t>
      </w:r>
      <w:r w:rsidRPr="00701D40">
        <w:rPr>
          <w:rFonts w:ascii="Garamond" w:hAnsi="Garamond"/>
          <w:i/>
          <w:sz w:val="24"/>
          <w:szCs w:val="24"/>
        </w:rPr>
        <w:t xml:space="preserve">n causa </w:t>
      </w:r>
      <w:proofErr w:type="spellStart"/>
      <w:r w:rsidRPr="00701D40">
        <w:rPr>
          <w:rFonts w:ascii="Garamond" w:hAnsi="Garamond"/>
          <w:i/>
          <w:sz w:val="24"/>
          <w:szCs w:val="24"/>
        </w:rPr>
        <w:t>iudicati</w:t>
      </w:r>
      <w:proofErr w:type="spellEnd"/>
      <w:r w:rsidRPr="00701D40">
        <w:rPr>
          <w:rFonts w:ascii="Garamond" w:hAnsi="Garamond"/>
          <w:i/>
          <w:sz w:val="24"/>
          <w:szCs w:val="24"/>
        </w:rPr>
        <w:t xml:space="preserve"> </w:t>
      </w:r>
      <w:proofErr w:type="spellStart"/>
      <w:r w:rsidRPr="00701D40">
        <w:rPr>
          <w:rFonts w:ascii="Garamond" w:hAnsi="Garamond"/>
          <w:i/>
          <w:sz w:val="24"/>
          <w:szCs w:val="24"/>
        </w:rPr>
        <w:t>captum</w:t>
      </w:r>
      <w:proofErr w:type="spellEnd"/>
      <w:r w:rsidRPr="00DA196C">
        <w:rPr>
          <w:rFonts w:ascii="Garamond" w:hAnsi="Garamond"/>
          <w:sz w:val="24"/>
          <w:szCs w:val="24"/>
        </w:rPr>
        <w:t>.</w:t>
      </w:r>
      <w:r w:rsidR="00EF3DD0" w:rsidRPr="00DA196C">
        <w:rPr>
          <w:rFonts w:ascii="Garamond" w:hAnsi="Garamond"/>
          <w:sz w:val="24"/>
          <w:szCs w:val="24"/>
        </w:rPr>
        <w:t xml:space="preserve"> Jednotlivé kusy majetku (včetně dlužníkových pohledávek) byly zabaveny soudním orgánem. Tím nabyl věřitel k těmto kusům majetku soudcovského zástavního práva. Dlužník měl možnost ve lhůtě 2 měsíců zabavené věci vykoupit. Jestliže se tak nestalo, bylo přistoupeno </w:t>
      </w:r>
      <w:r w:rsidR="00EF3DD0" w:rsidRPr="00DA196C">
        <w:rPr>
          <w:rFonts w:ascii="Garamond" w:hAnsi="Garamond"/>
          <w:sz w:val="24"/>
          <w:szCs w:val="24"/>
        </w:rPr>
        <w:lastRenderedPageBreak/>
        <w:t xml:space="preserve">k prodeji majetku, kdy tento prodej měl na starost tzv. </w:t>
      </w:r>
      <w:proofErr w:type="spellStart"/>
      <w:r w:rsidR="00EF3DD0" w:rsidRPr="00701D40">
        <w:rPr>
          <w:rFonts w:ascii="Garamond" w:hAnsi="Garamond"/>
          <w:i/>
          <w:sz w:val="24"/>
          <w:szCs w:val="24"/>
        </w:rPr>
        <w:t>curator</w:t>
      </w:r>
      <w:proofErr w:type="spellEnd"/>
      <w:r w:rsidR="00EF3DD0" w:rsidRPr="00DA196C">
        <w:rPr>
          <w:rFonts w:ascii="Garamond" w:hAnsi="Garamond"/>
          <w:sz w:val="24"/>
          <w:szCs w:val="24"/>
        </w:rPr>
        <w:t>. Z výtěžku prodeje byla pohledávka věřitele uspokojena, bylo-li věřitelů více, byly uspokojeny jejich pohledávky poměrně.</w:t>
      </w:r>
      <w:r w:rsidR="00EF3DD0" w:rsidRPr="00DA196C">
        <w:rPr>
          <w:rStyle w:val="Znakapoznpodarou"/>
          <w:rFonts w:ascii="Garamond" w:hAnsi="Garamond"/>
          <w:sz w:val="24"/>
          <w:szCs w:val="24"/>
        </w:rPr>
        <w:footnoteReference w:id="139"/>
      </w:r>
    </w:p>
    <w:p w:rsidR="00783672" w:rsidRPr="00DA196C" w:rsidRDefault="00783672" w:rsidP="00FA1FF7">
      <w:pPr>
        <w:pStyle w:val="Nadpis2"/>
        <w:contextualSpacing/>
      </w:pPr>
      <w:bookmarkStart w:id="34" w:name="_Toc36031960"/>
      <w:r w:rsidRPr="00DA196C">
        <w:t>Současná právní úprava výkonu rozhodnutí</w:t>
      </w:r>
      <w:bookmarkEnd w:id="34"/>
    </w:p>
    <w:p w:rsidR="00055995" w:rsidRPr="00DA196C" w:rsidRDefault="00055995"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Současnou právní úpravu výkonu rozhodnutí, jde-li o povinnost vydat věc, nalezneme v ustanovení § 345 a </w:t>
      </w:r>
      <w:proofErr w:type="spellStart"/>
      <w:r w:rsidRPr="00DA196C">
        <w:rPr>
          <w:rFonts w:ascii="Garamond" w:hAnsi="Garamond"/>
          <w:sz w:val="24"/>
          <w:szCs w:val="24"/>
        </w:rPr>
        <w:t>násl</w:t>
      </w:r>
      <w:proofErr w:type="spellEnd"/>
      <w:r w:rsidRPr="00DA196C">
        <w:rPr>
          <w:rFonts w:ascii="Garamond" w:hAnsi="Garamond"/>
          <w:sz w:val="24"/>
          <w:szCs w:val="24"/>
        </w:rPr>
        <w:t>. občanského soudního řádu</w:t>
      </w:r>
      <w:r w:rsidR="00CA6CF1" w:rsidRPr="00DA196C">
        <w:rPr>
          <w:rFonts w:ascii="Garamond" w:hAnsi="Garamond"/>
          <w:sz w:val="24"/>
          <w:szCs w:val="24"/>
        </w:rPr>
        <w:t xml:space="preserve"> ve spojení s ustanovením § 73 exekučního řádu</w:t>
      </w:r>
      <w:r w:rsidR="00CA6CF1" w:rsidRPr="00DA196C">
        <w:rPr>
          <w:rStyle w:val="Znakapoznpodarou"/>
          <w:rFonts w:ascii="Garamond" w:hAnsi="Garamond"/>
          <w:sz w:val="24"/>
          <w:szCs w:val="24"/>
        </w:rPr>
        <w:footnoteReference w:id="140"/>
      </w:r>
      <w:r w:rsidR="00CF5AD6" w:rsidRPr="00DA196C">
        <w:rPr>
          <w:rFonts w:ascii="Garamond" w:hAnsi="Garamond"/>
          <w:sz w:val="24"/>
          <w:szCs w:val="24"/>
        </w:rPr>
        <w:t>, ze kterého plyne, že i na exekuci se v tomto případě užijí ustanovení občanského soudního řádu o výkonu rozhodnutí</w:t>
      </w:r>
      <w:r w:rsidRPr="00DA196C">
        <w:rPr>
          <w:rFonts w:ascii="Garamond" w:hAnsi="Garamond"/>
          <w:sz w:val="24"/>
          <w:szCs w:val="24"/>
        </w:rPr>
        <w:t>.</w:t>
      </w:r>
      <w:r w:rsidR="00CA6CF1" w:rsidRPr="00DA196C">
        <w:rPr>
          <w:rFonts w:ascii="Garamond" w:hAnsi="Garamond"/>
          <w:sz w:val="24"/>
          <w:szCs w:val="24"/>
        </w:rPr>
        <w:t xml:space="preserve"> </w:t>
      </w:r>
      <w:r w:rsidR="00CF5AD6" w:rsidRPr="00DA196C">
        <w:rPr>
          <w:rFonts w:ascii="Garamond" w:hAnsi="Garamond"/>
          <w:sz w:val="24"/>
          <w:szCs w:val="24"/>
        </w:rPr>
        <w:t xml:space="preserve">Dle ustanovení § 345 odst. 1 občanského soudního řádu </w:t>
      </w:r>
      <w:r w:rsidR="00CF5AD6" w:rsidRPr="00DA196C">
        <w:rPr>
          <w:rFonts w:ascii="Garamond" w:hAnsi="Garamond"/>
          <w:i/>
          <w:sz w:val="24"/>
          <w:szCs w:val="24"/>
        </w:rPr>
        <w:t>„Ukládá-li rozhodnutí, jehož výkon se navrhuje, aby povinný vydal nebo dodal oprávněnému věc, postará se soud o výkon rozhodnutí tím, že dá odebrat věc se vším, co k ní patří, povinnému a odevzdá ji oprávněnému.“</w:t>
      </w:r>
      <w:r w:rsidR="00CF5AD6" w:rsidRPr="00DA196C">
        <w:rPr>
          <w:rFonts w:ascii="Garamond" w:hAnsi="Garamond"/>
          <w:sz w:val="24"/>
          <w:szCs w:val="24"/>
        </w:rPr>
        <w:t xml:space="preserve"> </w:t>
      </w:r>
      <w:r w:rsidR="002D52F0" w:rsidRPr="00DA196C">
        <w:rPr>
          <w:rFonts w:ascii="Garamond" w:hAnsi="Garamond"/>
          <w:sz w:val="24"/>
          <w:szCs w:val="24"/>
        </w:rPr>
        <w:t xml:space="preserve">Odst. 2 tohoto ustanovení pak říká, že společně s věcí je v případě potřeby odebrána také listina, která je třeba k užívání dané věci. Dle odst. 3 </w:t>
      </w:r>
      <w:proofErr w:type="gramStart"/>
      <w:r w:rsidR="002D52F0" w:rsidRPr="00DA196C">
        <w:rPr>
          <w:rFonts w:ascii="Garamond" w:hAnsi="Garamond"/>
          <w:sz w:val="24"/>
          <w:szCs w:val="24"/>
        </w:rPr>
        <w:t>předmětného</w:t>
      </w:r>
      <w:proofErr w:type="gramEnd"/>
      <w:r w:rsidR="002D52F0" w:rsidRPr="00DA196C">
        <w:rPr>
          <w:rFonts w:ascii="Garamond" w:hAnsi="Garamond"/>
          <w:sz w:val="24"/>
          <w:szCs w:val="24"/>
        </w:rPr>
        <w:t xml:space="preserve"> ustanovení občanského soudního řádu probíhá odebrání věci zásadně za přítomnosti oprávněného nebo jeho zástupce, přičemž oprávněný je o době výkonu rozhodnutí informován předem. Povinnému je nařízení výkonu rozhodnutí doručeno vykonavatelem při odebrání věci. </w:t>
      </w:r>
      <w:r w:rsidR="001F7FF2" w:rsidRPr="00DA196C">
        <w:rPr>
          <w:rFonts w:ascii="Garamond" w:hAnsi="Garamond"/>
          <w:sz w:val="24"/>
          <w:szCs w:val="24"/>
        </w:rPr>
        <w:t xml:space="preserve">Odst. 4 pak stanovuje, že vykonavatel je oprávněn </w:t>
      </w:r>
      <w:r w:rsidR="001F7FF2" w:rsidRPr="00DA196C">
        <w:rPr>
          <w:rFonts w:ascii="Garamond" w:hAnsi="Garamond"/>
          <w:i/>
          <w:sz w:val="24"/>
          <w:szCs w:val="24"/>
        </w:rPr>
        <w:t>„učinit osobní prohlídku povinného a prohlídku bytu (sídla) a jiných místností povinného, jakož i jeho skříní nebo jiných schránek v nich umístěných, kde je podle důvodného předpokladu věc, kterou má povinný vydat nebo dodat oprávněnému; za tím účelem je oprávněn zjednat si do bytu povinného nebo do jiné místnosti povinného přístup, popřípadě uzavřené skříně nebo jiné schránky otevřít.“</w:t>
      </w:r>
    </w:p>
    <w:p w:rsidR="001F7FF2" w:rsidRPr="00DA196C" w:rsidRDefault="003F1484"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Situaci, kdy povinný u sebe nemá věc, kterou je mu rozsudkem uloženo vydat oprávněnému, ale nachází se tato věc u třetí osoby, řeší ustanovení § 346 občanského soudního řádu. </w:t>
      </w:r>
      <w:r w:rsidR="00ED234E" w:rsidRPr="00DA196C">
        <w:rPr>
          <w:rFonts w:ascii="Garamond" w:hAnsi="Garamond"/>
          <w:sz w:val="24"/>
          <w:szCs w:val="24"/>
        </w:rPr>
        <w:t xml:space="preserve">Toto ustanovení zní: </w:t>
      </w:r>
      <w:r w:rsidR="00ED234E" w:rsidRPr="00DA196C">
        <w:rPr>
          <w:rFonts w:ascii="Garamond" w:hAnsi="Garamond"/>
          <w:i/>
          <w:sz w:val="24"/>
          <w:szCs w:val="24"/>
        </w:rPr>
        <w:t>„Má-li věc, kterou je třeba povinnému odebrat, u sebe někdo jiný, vyzve jej soud, aby ji oprávněnému vydal. Nebude-li věc vydána dobrovolně, použije se na návrh oprávněného přiměřeně ustanovení o výkonu rozhodnutí přikázáním pohledávky.“</w:t>
      </w:r>
      <w:r w:rsidR="00ED234E" w:rsidRPr="00DA196C">
        <w:rPr>
          <w:rFonts w:ascii="Garamond" w:hAnsi="Garamond"/>
          <w:sz w:val="24"/>
          <w:szCs w:val="24"/>
        </w:rPr>
        <w:t xml:space="preserve"> Osoba odlišná od povinného, u níž se věc nachází, nemůže být k vydání donucena některým ze způsobů uvedených ve výše citovaném ustanovení § 345 odst. 4 občanského soudního řádu, musí jít o dobrovolné vyd</w:t>
      </w:r>
      <w:r w:rsidR="00895C88" w:rsidRPr="00DA196C">
        <w:rPr>
          <w:rFonts w:ascii="Garamond" w:hAnsi="Garamond"/>
          <w:sz w:val="24"/>
          <w:szCs w:val="24"/>
        </w:rPr>
        <w:t>á</w:t>
      </w:r>
      <w:r w:rsidR="00ED234E" w:rsidRPr="00DA196C">
        <w:rPr>
          <w:rFonts w:ascii="Garamond" w:hAnsi="Garamond"/>
          <w:sz w:val="24"/>
          <w:szCs w:val="24"/>
        </w:rPr>
        <w:t xml:space="preserve">ní věci. Jestliže tato osoba </w:t>
      </w:r>
      <w:r w:rsidR="00895C88" w:rsidRPr="00DA196C">
        <w:rPr>
          <w:rFonts w:ascii="Garamond" w:hAnsi="Garamond"/>
          <w:sz w:val="24"/>
          <w:szCs w:val="24"/>
        </w:rPr>
        <w:t xml:space="preserve">odmítne věc vydat, může soud na návrh oprávněného usnesením přenést na oprávněného právo povinného na vydání věci, které má povinný vůči této třetí osobě. </w:t>
      </w:r>
      <w:r w:rsidR="00EF76C9" w:rsidRPr="00DA196C">
        <w:rPr>
          <w:rFonts w:ascii="Garamond" w:hAnsi="Garamond"/>
          <w:sz w:val="24"/>
          <w:szCs w:val="24"/>
        </w:rPr>
        <w:t xml:space="preserve">Jestliže ani na základě takovéhoto usnesení třetí osoba věc nevydá, postupuje se dále podle ustanovení § 315 odst. 1 občanského soudního řádu. Ten zní: </w:t>
      </w:r>
      <w:r w:rsidR="00EF76C9" w:rsidRPr="00DA196C">
        <w:rPr>
          <w:rFonts w:ascii="Garamond" w:hAnsi="Garamond"/>
          <w:i/>
          <w:sz w:val="24"/>
          <w:szCs w:val="24"/>
        </w:rPr>
        <w:t xml:space="preserve">„Nevyplatí-li dlužník povinného oprávněnému pohledávku podle § 314a odst. 2, popřípadě podle § 314c odst. 1 a 3, může oprávněný proti dlužníku povinného vlastním jménem podat návrh na výkon rozhodnutí, jestliže jej mohl podat povinný, jinak se domáhat vyplacení pohledávky v řízení podle části třetí, popřípadě v řízení podle zvláštního zákona. Nesmí však s dlužníkem povinného stran </w:t>
      </w:r>
      <w:r w:rsidR="00EF76C9" w:rsidRPr="00DA196C">
        <w:rPr>
          <w:rFonts w:ascii="Garamond" w:hAnsi="Garamond"/>
          <w:i/>
          <w:sz w:val="24"/>
          <w:szCs w:val="24"/>
        </w:rPr>
        <w:lastRenderedPageBreak/>
        <w:t>této pohledávky uzavřít na úkor povinného smír, ani prominout její zaplacení. Dlužník povinného si v takovém případě také nemůže započíst svou vlastní pohledávku, kterou má vůči oprávněnému.“</w:t>
      </w:r>
    </w:p>
    <w:p w:rsidR="00755E81" w:rsidRPr="00DA196C" w:rsidRDefault="00EF76C9"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V případě, že se nepodaří odebrat věc způsobem výše popsaným, připadá v úvahu náhradní opatření věci. Ustanovení § 347 stanoví, že </w:t>
      </w:r>
      <w:r w:rsidRPr="00DA196C">
        <w:rPr>
          <w:rFonts w:ascii="Garamond" w:hAnsi="Garamond"/>
          <w:i/>
          <w:sz w:val="24"/>
          <w:szCs w:val="24"/>
        </w:rPr>
        <w:t xml:space="preserve">„(1) </w:t>
      </w:r>
      <w:r w:rsidR="00ED234E" w:rsidRPr="00DA196C">
        <w:rPr>
          <w:rFonts w:ascii="Garamond" w:hAnsi="Garamond"/>
          <w:i/>
          <w:sz w:val="24"/>
          <w:szCs w:val="24"/>
        </w:rPr>
        <w:t>Nepodaří-li se odebrat věc určenou v nařízení výkonu rozhodnutí a lze-li si věc stejného druhu a stejné jakosti opatřit jinak, vyzve soud oprávněného, aby si ji opatřil na náklad a nebezpečí povinného.</w:t>
      </w:r>
      <w:r w:rsidRPr="00DA196C">
        <w:rPr>
          <w:rFonts w:ascii="Garamond" w:hAnsi="Garamond"/>
          <w:i/>
          <w:sz w:val="24"/>
          <w:szCs w:val="24"/>
        </w:rPr>
        <w:t xml:space="preserve"> (2) </w:t>
      </w:r>
      <w:r w:rsidR="00ED234E" w:rsidRPr="00DA196C">
        <w:rPr>
          <w:rFonts w:ascii="Garamond" w:hAnsi="Garamond"/>
          <w:i/>
          <w:sz w:val="24"/>
          <w:szCs w:val="24"/>
        </w:rPr>
        <w:t>Povinnému může soud uložit, aby potřebný náklad zaplatil oprávněnému předem. Výkon tohoto rozhodnutí provede se pak na návrh oprávněného některým ze způsobů uvedených v § 258 odst. 1.</w:t>
      </w:r>
      <w:r w:rsidRPr="00DA196C">
        <w:rPr>
          <w:rFonts w:ascii="Garamond" w:hAnsi="Garamond"/>
          <w:i/>
          <w:sz w:val="24"/>
          <w:szCs w:val="24"/>
        </w:rPr>
        <w:t>“</w:t>
      </w:r>
      <w:r w:rsidR="00755E81" w:rsidRPr="00DA196C">
        <w:rPr>
          <w:rFonts w:ascii="Garamond" w:hAnsi="Garamond"/>
          <w:sz w:val="24"/>
          <w:szCs w:val="24"/>
        </w:rPr>
        <w:t xml:space="preserve"> Komplikace nastává v případě, že se jedná o individuálně určenou, nezastupitelnou věc a tedy nelze postupovat podle tohoto ustanovení. Judikatura Nejvyššího soudu</w:t>
      </w:r>
      <w:r w:rsidR="000B6924" w:rsidRPr="00DA196C">
        <w:rPr>
          <w:rStyle w:val="Znakapoznpodarou"/>
          <w:rFonts w:ascii="Garamond" w:hAnsi="Garamond"/>
          <w:sz w:val="24"/>
          <w:szCs w:val="24"/>
        </w:rPr>
        <w:footnoteReference w:id="141"/>
      </w:r>
      <w:r w:rsidR="00755E81" w:rsidRPr="00DA196C">
        <w:rPr>
          <w:rFonts w:ascii="Garamond" w:hAnsi="Garamond"/>
          <w:sz w:val="24"/>
          <w:szCs w:val="24"/>
        </w:rPr>
        <w:t xml:space="preserve"> zní tak, že toto ustanovení </w:t>
      </w:r>
      <w:r w:rsidR="00755E81" w:rsidRPr="00DA196C">
        <w:rPr>
          <w:rFonts w:ascii="Garamond" w:hAnsi="Garamond"/>
          <w:i/>
          <w:sz w:val="24"/>
          <w:szCs w:val="24"/>
        </w:rPr>
        <w:t>„</w:t>
      </w:r>
      <w:r w:rsidR="000B6924" w:rsidRPr="00DA196C">
        <w:rPr>
          <w:rFonts w:ascii="Garamond" w:hAnsi="Garamond"/>
          <w:i/>
          <w:sz w:val="24"/>
          <w:szCs w:val="24"/>
        </w:rPr>
        <w:t xml:space="preserve">nelze vykládat tak (jak naznačuje </w:t>
      </w:r>
      <w:proofErr w:type="spellStart"/>
      <w:r w:rsidR="000B6924" w:rsidRPr="00DA196C">
        <w:rPr>
          <w:rFonts w:ascii="Garamond" w:hAnsi="Garamond"/>
          <w:i/>
          <w:sz w:val="24"/>
          <w:szCs w:val="24"/>
        </w:rPr>
        <w:t>dovolatelka</w:t>
      </w:r>
      <w:proofErr w:type="spellEnd"/>
      <w:r w:rsidR="000B6924" w:rsidRPr="00DA196C">
        <w:rPr>
          <w:rFonts w:ascii="Garamond" w:hAnsi="Garamond"/>
          <w:i/>
          <w:sz w:val="24"/>
          <w:szCs w:val="24"/>
        </w:rPr>
        <w:t xml:space="preserve"> v dovolání), že umožňuje oprávněnému z titulu znějícího na vydání (dodání) věci navrhnout úspěšně nařízení výkonu rozhodnutí přímo pro peněžitou částku, odpovídající hodnotě (ceně) věci, a to i kdyby zde byl reálný předpoklad, že povinný věc nemá, resp. není objektivně způsobilý ji dodat, a lze tudíž i očekávat, že se ji „odebrat“ nepodaří. Nejde zde totiž o nic jiného, než o způsob náhradního uspokojení ve výkonu rozhodnutí nikoliv pro peněžité plnění, nýbrž pro plnění nepeněžité, a ten může být nařízen jen způsobem, který odpovídá povaze titulem uložené povinnosti.“</w:t>
      </w:r>
      <w:r w:rsidR="000B6924" w:rsidRPr="00DA196C">
        <w:rPr>
          <w:rFonts w:ascii="Garamond" w:hAnsi="Garamond"/>
          <w:sz w:val="24"/>
          <w:szCs w:val="24"/>
        </w:rPr>
        <w:t xml:space="preserve"> </w:t>
      </w:r>
      <w:r w:rsidR="00755E81" w:rsidRPr="00DA196C">
        <w:rPr>
          <w:rFonts w:ascii="Garamond" w:hAnsi="Garamond"/>
          <w:sz w:val="24"/>
          <w:szCs w:val="24"/>
        </w:rPr>
        <w:t xml:space="preserve">Jestliže se tedy </w:t>
      </w:r>
      <w:proofErr w:type="gramStart"/>
      <w:r w:rsidR="00755E81" w:rsidRPr="00DA196C">
        <w:rPr>
          <w:rFonts w:ascii="Garamond" w:hAnsi="Garamond"/>
          <w:sz w:val="24"/>
          <w:szCs w:val="24"/>
        </w:rPr>
        <w:t>nepodaří</w:t>
      </w:r>
      <w:proofErr w:type="gramEnd"/>
      <w:r w:rsidR="00755E81" w:rsidRPr="00DA196C">
        <w:rPr>
          <w:rFonts w:ascii="Garamond" w:hAnsi="Garamond"/>
          <w:sz w:val="24"/>
          <w:szCs w:val="24"/>
        </w:rPr>
        <w:t xml:space="preserve"> odebrat takovouto individuálně určenou věc</w:t>
      </w:r>
      <w:r w:rsidR="00862DE5" w:rsidRPr="00DA196C">
        <w:rPr>
          <w:rFonts w:ascii="Garamond" w:hAnsi="Garamond"/>
          <w:sz w:val="24"/>
          <w:szCs w:val="24"/>
        </w:rPr>
        <w:t xml:space="preserve"> výkon rozhodnutí tím </w:t>
      </w:r>
      <w:proofErr w:type="gramStart"/>
      <w:r w:rsidR="00862DE5" w:rsidRPr="00DA196C">
        <w:rPr>
          <w:rFonts w:ascii="Garamond" w:hAnsi="Garamond"/>
          <w:sz w:val="24"/>
          <w:szCs w:val="24"/>
        </w:rPr>
        <w:t>končí</w:t>
      </w:r>
      <w:proofErr w:type="gramEnd"/>
      <w:r w:rsidR="00862DE5" w:rsidRPr="00DA196C">
        <w:rPr>
          <w:rFonts w:ascii="Garamond" w:hAnsi="Garamond"/>
          <w:sz w:val="24"/>
          <w:szCs w:val="24"/>
        </w:rPr>
        <w:t xml:space="preserve"> a oprávněný se může dále domáhat pouze náhrady škody.</w:t>
      </w:r>
    </w:p>
    <w:p w:rsidR="00701D40" w:rsidRDefault="00CF5AD6" w:rsidP="00FA1FF7">
      <w:pPr>
        <w:spacing w:after="0" w:line="360" w:lineRule="auto"/>
        <w:contextualSpacing/>
        <w:jc w:val="both"/>
        <w:rPr>
          <w:rFonts w:ascii="Garamond" w:hAnsi="Garamond"/>
          <w:sz w:val="24"/>
          <w:szCs w:val="24"/>
        </w:rPr>
      </w:pPr>
      <w:r w:rsidRPr="00DA196C">
        <w:rPr>
          <w:rFonts w:ascii="Garamond" w:hAnsi="Garamond"/>
          <w:sz w:val="24"/>
          <w:szCs w:val="24"/>
        </w:rPr>
        <w:t>V současné právní úpravě lze tedy shledat určitou podobnost s</w:t>
      </w:r>
      <w:r w:rsidR="002D52F0" w:rsidRPr="00DA196C">
        <w:rPr>
          <w:rFonts w:ascii="Garamond" w:hAnsi="Garamond"/>
          <w:sz w:val="24"/>
          <w:szCs w:val="24"/>
        </w:rPr>
        <w:t> římskoprávní úpravou rozhodnutí za dob úřednického procesu.</w:t>
      </w:r>
    </w:p>
    <w:p w:rsidR="00CF5AD6" w:rsidRPr="00DA196C" w:rsidRDefault="00701D40" w:rsidP="00FA1FF7">
      <w:pPr>
        <w:spacing w:line="360" w:lineRule="auto"/>
        <w:contextualSpacing/>
        <w:jc w:val="both"/>
        <w:rPr>
          <w:rFonts w:ascii="Garamond" w:hAnsi="Garamond"/>
          <w:sz w:val="24"/>
          <w:szCs w:val="24"/>
        </w:rPr>
      </w:pPr>
      <w:r>
        <w:rPr>
          <w:rFonts w:ascii="Garamond" w:hAnsi="Garamond"/>
          <w:sz w:val="24"/>
          <w:szCs w:val="24"/>
        </w:rPr>
        <w:br w:type="page"/>
      </w:r>
    </w:p>
    <w:p w:rsidR="00783672" w:rsidRPr="00DA196C" w:rsidRDefault="00783672" w:rsidP="00FA1FF7">
      <w:pPr>
        <w:pStyle w:val="Nadpis1"/>
        <w:contextualSpacing/>
      </w:pPr>
      <w:bookmarkStart w:id="35" w:name="_Toc36031961"/>
      <w:r w:rsidRPr="00DA196C">
        <w:lastRenderedPageBreak/>
        <w:t>Konkurence s jinými žalobami</w:t>
      </w:r>
      <w:bookmarkEnd w:id="35"/>
    </w:p>
    <w:p w:rsidR="00D463A3" w:rsidRPr="00DA196C" w:rsidRDefault="00D463A3"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Konkurence žalob nastává v případě, že </w:t>
      </w:r>
      <w:r w:rsidR="00142390" w:rsidRPr="00DA196C">
        <w:rPr>
          <w:rFonts w:ascii="Garamond" w:hAnsi="Garamond"/>
          <w:sz w:val="24"/>
          <w:szCs w:val="24"/>
        </w:rPr>
        <w:t>dosažení jednoho a téhož právního účelu je možné skrze více žalob</w:t>
      </w:r>
      <w:r w:rsidR="00EE4121" w:rsidRPr="00DA196C">
        <w:rPr>
          <w:rFonts w:ascii="Garamond" w:hAnsi="Garamond"/>
          <w:sz w:val="24"/>
          <w:szCs w:val="24"/>
        </w:rPr>
        <w:t xml:space="preserve"> (</w:t>
      </w:r>
      <w:proofErr w:type="spellStart"/>
      <w:r w:rsidR="00EE4121" w:rsidRPr="00701D40">
        <w:rPr>
          <w:rFonts w:ascii="Garamond" w:hAnsi="Garamond"/>
          <w:i/>
          <w:sz w:val="24"/>
          <w:szCs w:val="24"/>
        </w:rPr>
        <w:t>actiones</w:t>
      </w:r>
      <w:proofErr w:type="spellEnd"/>
      <w:r w:rsidR="00EE4121" w:rsidRPr="00701D40">
        <w:rPr>
          <w:rFonts w:ascii="Garamond" w:hAnsi="Garamond"/>
          <w:i/>
          <w:sz w:val="24"/>
          <w:szCs w:val="24"/>
        </w:rPr>
        <w:t xml:space="preserve"> </w:t>
      </w:r>
      <w:proofErr w:type="spellStart"/>
      <w:r w:rsidR="00EE4121" w:rsidRPr="00701D40">
        <w:rPr>
          <w:rFonts w:ascii="Garamond" w:hAnsi="Garamond"/>
          <w:i/>
          <w:sz w:val="24"/>
          <w:szCs w:val="24"/>
        </w:rPr>
        <w:t>concurrentes</w:t>
      </w:r>
      <w:proofErr w:type="spellEnd"/>
      <w:r w:rsidR="00EE4121" w:rsidRPr="00DA196C">
        <w:rPr>
          <w:rFonts w:ascii="Garamond" w:hAnsi="Garamond"/>
          <w:sz w:val="24"/>
          <w:szCs w:val="24"/>
        </w:rPr>
        <w:t>)</w:t>
      </w:r>
      <w:r w:rsidR="00142390" w:rsidRPr="00DA196C">
        <w:rPr>
          <w:rFonts w:ascii="Garamond" w:hAnsi="Garamond"/>
          <w:sz w:val="24"/>
          <w:szCs w:val="24"/>
        </w:rPr>
        <w:t xml:space="preserve">. Jestliže je k dosažení určitého právního účelu užita jedna takováto žaloba, zaniká tím částečně či úplně možnost užít ostatních žalob. </w:t>
      </w:r>
      <w:r w:rsidR="00EE4121" w:rsidRPr="00DA196C">
        <w:rPr>
          <w:rFonts w:ascii="Garamond" w:hAnsi="Garamond"/>
          <w:sz w:val="24"/>
          <w:szCs w:val="24"/>
        </w:rPr>
        <w:t>Jestliže šlo o žaloby směřující z totožného důvodu k totožnému cíli (</w:t>
      </w:r>
      <w:proofErr w:type="spellStart"/>
      <w:r w:rsidR="00EE4121" w:rsidRPr="006C5EDD">
        <w:rPr>
          <w:rFonts w:ascii="Garamond" w:hAnsi="Garamond"/>
          <w:i/>
          <w:sz w:val="24"/>
          <w:szCs w:val="24"/>
        </w:rPr>
        <w:t>actiones</w:t>
      </w:r>
      <w:proofErr w:type="spellEnd"/>
      <w:r w:rsidR="00EE4121" w:rsidRPr="006C5EDD">
        <w:rPr>
          <w:rFonts w:ascii="Garamond" w:hAnsi="Garamond"/>
          <w:i/>
          <w:sz w:val="24"/>
          <w:szCs w:val="24"/>
        </w:rPr>
        <w:t xml:space="preserve"> de </w:t>
      </w:r>
      <w:proofErr w:type="spellStart"/>
      <w:r w:rsidR="00EE4121" w:rsidRPr="006C5EDD">
        <w:rPr>
          <w:rFonts w:ascii="Garamond" w:hAnsi="Garamond"/>
          <w:i/>
          <w:sz w:val="24"/>
          <w:szCs w:val="24"/>
        </w:rPr>
        <w:t>eadem</w:t>
      </w:r>
      <w:proofErr w:type="spellEnd"/>
      <w:r w:rsidR="00EE4121" w:rsidRPr="006C5EDD">
        <w:rPr>
          <w:rFonts w:ascii="Garamond" w:hAnsi="Garamond"/>
          <w:i/>
          <w:sz w:val="24"/>
          <w:szCs w:val="24"/>
        </w:rPr>
        <w:t xml:space="preserve"> re</w:t>
      </w:r>
      <w:r w:rsidR="00EE4121" w:rsidRPr="00DA196C">
        <w:rPr>
          <w:rFonts w:ascii="Garamond" w:hAnsi="Garamond"/>
          <w:sz w:val="24"/>
          <w:szCs w:val="24"/>
        </w:rPr>
        <w:t>)</w:t>
      </w:r>
      <w:r w:rsidR="006C5EDD">
        <w:rPr>
          <w:rFonts w:ascii="Garamond" w:hAnsi="Garamond"/>
          <w:sz w:val="24"/>
          <w:szCs w:val="24"/>
        </w:rPr>
        <w:t>,</w:t>
      </w:r>
      <w:r w:rsidR="009E5F60" w:rsidRPr="00DA196C">
        <w:rPr>
          <w:rStyle w:val="Znakapoznpodarou"/>
          <w:rFonts w:ascii="Garamond" w:hAnsi="Garamond"/>
          <w:sz w:val="24"/>
          <w:szCs w:val="24"/>
        </w:rPr>
        <w:footnoteReference w:id="142"/>
      </w:r>
      <w:r w:rsidR="00EE4121" w:rsidRPr="00DA196C">
        <w:rPr>
          <w:rFonts w:ascii="Garamond" w:hAnsi="Garamond"/>
          <w:sz w:val="24"/>
          <w:szCs w:val="24"/>
        </w:rPr>
        <w:t xml:space="preserve"> uplatnilo se pravidlo </w:t>
      </w:r>
      <w:r w:rsidR="00EE4121" w:rsidRPr="006C5EDD">
        <w:rPr>
          <w:rFonts w:ascii="Garamond" w:hAnsi="Garamond"/>
          <w:i/>
          <w:sz w:val="24"/>
          <w:szCs w:val="24"/>
        </w:rPr>
        <w:t xml:space="preserve">bis de </w:t>
      </w:r>
      <w:proofErr w:type="spellStart"/>
      <w:r w:rsidR="00EE4121" w:rsidRPr="006C5EDD">
        <w:rPr>
          <w:rFonts w:ascii="Garamond" w:hAnsi="Garamond"/>
          <w:i/>
          <w:sz w:val="24"/>
          <w:szCs w:val="24"/>
        </w:rPr>
        <w:t>eadem</w:t>
      </w:r>
      <w:proofErr w:type="spellEnd"/>
      <w:r w:rsidR="00EE4121" w:rsidRPr="006C5EDD">
        <w:rPr>
          <w:rFonts w:ascii="Garamond" w:hAnsi="Garamond"/>
          <w:i/>
          <w:sz w:val="24"/>
          <w:szCs w:val="24"/>
        </w:rPr>
        <w:t xml:space="preserve"> re ne </w:t>
      </w:r>
      <w:proofErr w:type="spellStart"/>
      <w:r w:rsidR="00EE4121" w:rsidRPr="006C5EDD">
        <w:rPr>
          <w:rFonts w:ascii="Garamond" w:hAnsi="Garamond"/>
          <w:i/>
          <w:sz w:val="24"/>
          <w:szCs w:val="24"/>
        </w:rPr>
        <w:t>sit</w:t>
      </w:r>
      <w:proofErr w:type="spellEnd"/>
      <w:r w:rsidR="00EE4121" w:rsidRPr="006C5EDD">
        <w:rPr>
          <w:rFonts w:ascii="Garamond" w:hAnsi="Garamond"/>
          <w:i/>
          <w:sz w:val="24"/>
          <w:szCs w:val="24"/>
        </w:rPr>
        <w:t xml:space="preserve"> </w:t>
      </w:r>
      <w:proofErr w:type="spellStart"/>
      <w:r w:rsidR="00EE4121" w:rsidRPr="006C5EDD">
        <w:rPr>
          <w:rFonts w:ascii="Garamond" w:hAnsi="Garamond"/>
          <w:i/>
          <w:sz w:val="24"/>
          <w:szCs w:val="24"/>
        </w:rPr>
        <w:t>actio</w:t>
      </w:r>
      <w:proofErr w:type="spellEnd"/>
      <w:r w:rsidR="006C5EDD">
        <w:rPr>
          <w:rFonts w:ascii="Garamond" w:hAnsi="Garamond"/>
          <w:i/>
          <w:sz w:val="24"/>
          <w:szCs w:val="24"/>
        </w:rPr>
        <w:t>.</w:t>
      </w:r>
      <w:r w:rsidR="00981E72" w:rsidRPr="00DA196C">
        <w:rPr>
          <w:rStyle w:val="Znakapoznpodarou"/>
          <w:rFonts w:ascii="Garamond" w:hAnsi="Garamond"/>
          <w:sz w:val="24"/>
          <w:szCs w:val="24"/>
        </w:rPr>
        <w:footnoteReference w:id="143"/>
      </w:r>
      <w:r w:rsidR="006C5EDD">
        <w:rPr>
          <w:rFonts w:ascii="Garamond" w:hAnsi="Garamond"/>
          <w:sz w:val="24"/>
          <w:szCs w:val="24"/>
        </w:rPr>
        <w:t xml:space="preserve"> </w:t>
      </w:r>
      <w:proofErr w:type="spellStart"/>
      <w:r w:rsidR="006C5EDD">
        <w:rPr>
          <w:rFonts w:ascii="Garamond" w:hAnsi="Garamond"/>
          <w:sz w:val="24"/>
          <w:szCs w:val="24"/>
        </w:rPr>
        <w:t>L</w:t>
      </w:r>
      <w:r w:rsidR="00EE4121" w:rsidRPr="00DA196C">
        <w:rPr>
          <w:rFonts w:ascii="Garamond" w:hAnsi="Garamond"/>
          <w:sz w:val="24"/>
          <w:szCs w:val="24"/>
        </w:rPr>
        <w:t>itiskonte</w:t>
      </w:r>
      <w:r w:rsidR="006C5EDD">
        <w:rPr>
          <w:rFonts w:ascii="Garamond" w:hAnsi="Garamond"/>
          <w:sz w:val="24"/>
          <w:szCs w:val="24"/>
        </w:rPr>
        <w:t>stací</w:t>
      </w:r>
      <w:proofErr w:type="spellEnd"/>
      <w:r w:rsidR="006C5EDD">
        <w:rPr>
          <w:rFonts w:ascii="Garamond" w:hAnsi="Garamond"/>
          <w:sz w:val="24"/>
          <w:szCs w:val="24"/>
        </w:rPr>
        <w:t>, v </w:t>
      </w:r>
      <w:proofErr w:type="spellStart"/>
      <w:r w:rsidR="006C5EDD">
        <w:rPr>
          <w:rFonts w:ascii="Garamond" w:hAnsi="Garamond"/>
          <w:sz w:val="24"/>
          <w:szCs w:val="24"/>
        </w:rPr>
        <w:t>justiniánském</w:t>
      </w:r>
      <w:proofErr w:type="spellEnd"/>
      <w:r w:rsidR="006C5EDD">
        <w:rPr>
          <w:rFonts w:ascii="Garamond" w:hAnsi="Garamond"/>
          <w:sz w:val="24"/>
          <w:szCs w:val="24"/>
        </w:rPr>
        <w:t xml:space="preserve"> právu</w:t>
      </w:r>
      <w:r w:rsidR="00EE4121" w:rsidRPr="00DA196C">
        <w:rPr>
          <w:rFonts w:ascii="Garamond" w:hAnsi="Garamond"/>
          <w:sz w:val="24"/>
          <w:szCs w:val="24"/>
        </w:rPr>
        <w:t xml:space="preserve"> uplatněním dané žaloby před soudem, v řízení o jedné žalobě nastával v plném rozsahu vylučující účinek vůči ostatním žalobám</w:t>
      </w:r>
      <w:r w:rsidR="009E5F60" w:rsidRPr="00DA196C">
        <w:rPr>
          <w:rFonts w:ascii="Garamond" w:hAnsi="Garamond"/>
          <w:sz w:val="24"/>
          <w:szCs w:val="24"/>
        </w:rPr>
        <w:t>.</w:t>
      </w:r>
      <w:r w:rsidR="009E5F60" w:rsidRPr="00DA196C">
        <w:rPr>
          <w:rFonts w:ascii="Garamond" w:hAnsi="Garamond"/>
          <w:sz w:val="24"/>
        </w:rPr>
        <w:t xml:space="preserve"> </w:t>
      </w:r>
      <w:r w:rsidR="009E5F60" w:rsidRPr="00DA196C">
        <w:rPr>
          <w:rFonts w:ascii="Garamond" w:hAnsi="Garamond"/>
          <w:sz w:val="24"/>
          <w:szCs w:val="24"/>
        </w:rPr>
        <w:t xml:space="preserve">Za dob </w:t>
      </w:r>
      <w:proofErr w:type="spellStart"/>
      <w:r w:rsidR="009E5F60" w:rsidRPr="00DA196C">
        <w:rPr>
          <w:rFonts w:ascii="Garamond" w:hAnsi="Garamond"/>
          <w:sz w:val="24"/>
          <w:szCs w:val="24"/>
        </w:rPr>
        <w:t>justiniánského</w:t>
      </w:r>
      <w:proofErr w:type="spellEnd"/>
      <w:r w:rsidR="009E5F60" w:rsidRPr="00DA196C">
        <w:rPr>
          <w:rFonts w:ascii="Garamond" w:hAnsi="Garamond"/>
          <w:sz w:val="24"/>
          <w:szCs w:val="24"/>
        </w:rPr>
        <w:t xml:space="preserve"> práva nedocházelo zcela k vyloučení ostatních žalob, ale bylo možno se domáhat pomocí konkurenční žaloby, která by byla obsáhlejší, přebytku.</w:t>
      </w:r>
      <w:r w:rsidR="009E5F60" w:rsidRPr="00DA196C">
        <w:rPr>
          <w:rStyle w:val="Znakapoznpodarou"/>
          <w:rFonts w:ascii="Garamond" w:hAnsi="Garamond"/>
          <w:sz w:val="24"/>
          <w:szCs w:val="24"/>
        </w:rPr>
        <w:footnoteReference w:id="144"/>
      </w:r>
      <w:r w:rsidR="00EE4121" w:rsidRPr="00DA196C">
        <w:rPr>
          <w:rFonts w:ascii="Garamond" w:hAnsi="Garamond"/>
          <w:sz w:val="24"/>
          <w:szCs w:val="24"/>
        </w:rPr>
        <w:t xml:space="preserve"> </w:t>
      </w:r>
      <w:r w:rsidR="00356393" w:rsidRPr="00DA196C">
        <w:rPr>
          <w:rFonts w:ascii="Garamond" w:hAnsi="Garamond"/>
          <w:sz w:val="24"/>
          <w:szCs w:val="24"/>
        </w:rPr>
        <w:t>Jestliže ale žaloby směřovaly ke stejnému právnímu účelu z rozdílných důvodů, jedn</w:t>
      </w:r>
      <w:r w:rsidR="0035130B" w:rsidRPr="00DA196C">
        <w:rPr>
          <w:rFonts w:ascii="Garamond" w:hAnsi="Garamond"/>
          <w:sz w:val="24"/>
          <w:szCs w:val="24"/>
        </w:rPr>
        <w:t>alo</w:t>
      </w:r>
      <w:r w:rsidR="00356393" w:rsidRPr="00DA196C">
        <w:rPr>
          <w:rFonts w:ascii="Garamond" w:hAnsi="Garamond"/>
          <w:sz w:val="24"/>
          <w:szCs w:val="24"/>
        </w:rPr>
        <w:t xml:space="preserve"> se o konkurenci soluční a </w:t>
      </w:r>
      <w:r w:rsidR="0035130B" w:rsidRPr="00DA196C">
        <w:rPr>
          <w:rFonts w:ascii="Garamond" w:hAnsi="Garamond"/>
          <w:sz w:val="24"/>
          <w:szCs w:val="24"/>
        </w:rPr>
        <w:t>bylo možno užít i více žalob, avšak pouze do té míry, aby byl uspokojen celý nárok žalobce. Plným uspokojením nároku konkurenční žaloby zanikaly.</w:t>
      </w:r>
      <w:r w:rsidR="0000079F" w:rsidRPr="00DA196C">
        <w:rPr>
          <w:rFonts w:ascii="Garamond" w:hAnsi="Garamond"/>
          <w:sz w:val="24"/>
          <w:szCs w:val="24"/>
        </w:rPr>
        <w:t xml:space="preserve"> Jak však uvádí Bartošek: </w:t>
      </w:r>
      <w:r w:rsidR="0000079F" w:rsidRPr="00DA196C">
        <w:rPr>
          <w:rFonts w:ascii="Garamond" w:hAnsi="Garamond"/>
          <w:i/>
          <w:sz w:val="24"/>
          <w:szCs w:val="24"/>
        </w:rPr>
        <w:t xml:space="preserve">„Při </w:t>
      </w:r>
      <w:proofErr w:type="spellStart"/>
      <w:r w:rsidR="0000079F" w:rsidRPr="00DA196C">
        <w:rPr>
          <w:rFonts w:ascii="Garamond" w:hAnsi="Garamond"/>
          <w:i/>
          <w:sz w:val="24"/>
          <w:szCs w:val="24"/>
        </w:rPr>
        <w:t>actiones</w:t>
      </w:r>
      <w:proofErr w:type="spellEnd"/>
      <w:r w:rsidR="0000079F" w:rsidRPr="00DA196C">
        <w:rPr>
          <w:rFonts w:ascii="Garamond" w:hAnsi="Garamond"/>
          <w:i/>
          <w:sz w:val="24"/>
          <w:szCs w:val="24"/>
        </w:rPr>
        <w:t xml:space="preserve"> in </w:t>
      </w:r>
      <w:proofErr w:type="spellStart"/>
      <w:r w:rsidR="0000079F" w:rsidRPr="00DA196C">
        <w:rPr>
          <w:rFonts w:ascii="Garamond" w:hAnsi="Garamond"/>
          <w:i/>
          <w:sz w:val="24"/>
          <w:szCs w:val="24"/>
        </w:rPr>
        <w:t>rem</w:t>
      </w:r>
      <w:proofErr w:type="spellEnd"/>
      <w:r w:rsidR="0000079F" w:rsidRPr="00DA196C">
        <w:rPr>
          <w:rFonts w:ascii="Garamond" w:hAnsi="Garamond"/>
          <w:i/>
          <w:sz w:val="24"/>
          <w:szCs w:val="24"/>
        </w:rPr>
        <w:t xml:space="preserve"> na kauze zpravidla nezáleželo a proto žádná další žaloba nemohla úspěšně proniknout; omezil-li však žalobce spor na určitý nabývací důvod</w:t>
      </w:r>
      <w:r w:rsidR="0000079F" w:rsidRPr="00DA196C">
        <w:rPr>
          <w:rFonts w:ascii="Garamond" w:hAnsi="Garamond"/>
          <w:i/>
          <w:sz w:val="24"/>
          <w:szCs w:val="24"/>
          <w:lang w:val="en-US"/>
        </w:rPr>
        <w:t xml:space="preserve"> [agree </w:t>
      </w:r>
      <w:proofErr w:type="spellStart"/>
      <w:r w:rsidR="0000079F" w:rsidRPr="00DA196C">
        <w:rPr>
          <w:rFonts w:ascii="Garamond" w:hAnsi="Garamond"/>
          <w:i/>
          <w:sz w:val="24"/>
          <w:szCs w:val="24"/>
          <w:lang w:val="en-US"/>
        </w:rPr>
        <w:t>expressa</w:t>
      </w:r>
      <w:proofErr w:type="spellEnd"/>
      <w:r w:rsidR="0000079F" w:rsidRPr="00DA196C">
        <w:rPr>
          <w:rFonts w:ascii="Garamond" w:hAnsi="Garamond"/>
          <w:i/>
          <w:sz w:val="24"/>
          <w:szCs w:val="24"/>
          <w:lang w:val="en-US"/>
        </w:rPr>
        <w:t xml:space="preserve"> [</w:t>
      </w:r>
      <w:proofErr w:type="spellStart"/>
      <w:r w:rsidR="0000079F" w:rsidRPr="00DA196C">
        <w:rPr>
          <w:rFonts w:ascii="Garamond" w:hAnsi="Garamond"/>
          <w:i/>
          <w:sz w:val="24"/>
          <w:szCs w:val="24"/>
          <w:lang w:val="en-US"/>
        </w:rPr>
        <w:t>adiecta</w:t>
      </w:r>
      <w:proofErr w:type="spellEnd"/>
      <w:r w:rsidR="0000079F" w:rsidRPr="00DA196C">
        <w:rPr>
          <w:rFonts w:ascii="Garamond" w:hAnsi="Garamond"/>
          <w:i/>
          <w:sz w:val="24"/>
          <w:szCs w:val="24"/>
          <w:lang w:val="en-US"/>
        </w:rPr>
        <w:t xml:space="preserve">] </w:t>
      </w:r>
      <w:proofErr w:type="spellStart"/>
      <w:r w:rsidR="0000079F" w:rsidRPr="00DA196C">
        <w:rPr>
          <w:rFonts w:ascii="Garamond" w:hAnsi="Garamond"/>
          <w:i/>
          <w:sz w:val="24"/>
          <w:szCs w:val="24"/>
          <w:lang w:val="en-US"/>
        </w:rPr>
        <w:t>causa</w:t>
      </w:r>
      <w:proofErr w:type="spellEnd"/>
      <w:r w:rsidR="0000079F" w:rsidRPr="00DA196C">
        <w:rPr>
          <w:rFonts w:ascii="Garamond" w:hAnsi="Garamond"/>
          <w:i/>
          <w:sz w:val="24"/>
          <w:szCs w:val="24"/>
          <w:lang w:val="en-US"/>
        </w:rPr>
        <w:t xml:space="preserve">], </w:t>
      </w:r>
      <w:proofErr w:type="spellStart"/>
      <w:r w:rsidR="0000079F" w:rsidRPr="00DA196C">
        <w:rPr>
          <w:rFonts w:ascii="Garamond" w:hAnsi="Garamond"/>
          <w:i/>
          <w:sz w:val="24"/>
          <w:szCs w:val="24"/>
          <w:lang w:val="en-US"/>
        </w:rPr>
        <w:t>další</w:t>
      </w:r>
      <w:proofErr w:type="spellEnd"/>
      <w:r w:rsidR="0000079F" w:rsidRPr="00DA196C">
        <w:rPr>
          <w:rFonts w:ascii="Garamond" w:hAnsi="Garamond"/>
          <w:i/>
          <w:sz w:val="24"/>
          <w:szCs w:val="24"/>
          <w:lang w:val="en-US"/>
        </w:rPr>
        <w:t xml:space="preserve"> </w:t>
      </w:r>
      <w:proofErr w:type="spellStart"/>
      <w:r w:rsidR="0000079F" w:rsidRPr="00DA196C">
        <w:rPr>
          <w:rFonts w:ascii="Garamond" w:hAnsi="Garamond"/>
          <w:i/>
          <w:sz w:val="24"/>
          <w:szCs w:val="24"/>
          <w:lang w:val="en-US"/>
        </w:rPr>
        <w:t>žaloba</w:t>
      </w:r>
      <w:proofErr w:type="spellEnd"/>
      <w:r w:rsidR="0000079F" w:rsidRPr="00DA196C">
        <w:rPr>
          <w:rFonts w:ascii="Garamond" w:hAnsi="Garamond"/>
          <w:i/>
          <w:sz w:val="24"/>
          <w:szCs w:val="24"/>
          <w:lang w:val="en-US"/>
        </w:rPr>
        <w:t xml:space="preserve"> </w:t>
      </w:r>
      <w:proofErr w:type="spellStart"/>
      <w:r w:rsidR="0000079F" w:rsidRPr="00DA196C">
        <w:rPr>
          <w:rFonts w:ascii="Garamond" w:hAnsi="Garamond"/>
          <w:i/>
          <w:sz w:val="24"/>
          <w:szCs w:val="24"/>
          <w:lang w:val="en-US"/>
        </w:rPr>
        <w:t>opřená</w:t>
      </w:r>
      <w:proofErr w:type="spellEnd"/>
      <w:r w:rsidR="0000079F" w:rsidRPr="00DA196C">
        <w:rPr>
          <w:rFonts w:ascii="Garamond" w:hAnsi="Garamond"/>
          <w:i/>
          <w:sz w:val="24"/>
          <w:szCs w:val="24"/>
          <w:lang w:val="en-US"/>
        </w:rPr>
        <w:t xml:space="preserve"> </w:t>
      </w:r>
      <w:r w:rsidR="00D05483" w:rsidRPr="00DA196C">
        <w:rPr>
          <w:rFonts w:ascii="Garamond" w:hAnsi="Garamond"/>
          <w:i/>
          <w:sz w:val="24"/>
          <w:szCs w:val="24"/>
        </w:rPr>
        <w:t xml:space="preserve">o jinou kauzu nebyla </w:t>
      </w:r>
      <w:proofErr w:type="spellStart"/>
      <w:r w:rsidR="00D05483" w:rsidRPr="00DA196C">
        <w:rPr>
          <w:rFonts w:ascii="Garamond" w:hAnsi="Garamond"/>
          <w:i/>
          <w:sz w:val="24"/>
          <w:szCs w:val="24"/>
        </w:rPr>
        <w:t>eadem</w:t>
      </w:r>
      <w:proofErr w:type="spellEnd"/>
      <w:r w:rsidR="00D05483" w:rsidRPr="00DA196C">
        <w:rPr>
          <w:rFonts w:ascii="Garamond" w:hAnsi="Garamond"/>
          <w:i/>
          <w:sz w:val="24"/>
          <w:szCs w:val="24"/>
        </w:rPr>
        <w:t xml:space="preserve"> res.“</w:t>
      </w:r>
      <w:r w:rsidR="00D05483" w:rsidRPr="00DA196C">
        <w:rPr>
          <w:rStyle w:val="Znakapoznpodarou"/>
          <w:rFonts w:ascii="Garamond" w:hAnsi="Garamond"/>
          <w:i/>
          <w:sz w:val="24"/>
          <w:szCs w:val="24"/>
        </w:rPr>
        <w:footnoteReference w:id="145"/>
      </w:r>
    </w:p>
    <w:p w:rsidR="0035130B" w:rsidRPr="00DA196C" w:rsidRDefault="00C06D2B"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Co se </w:t>
      </w:r>
      <w:proofErr w:type="spellStart"/>
      <w:r w:rsidRPr="00DA196C">
        <w:rPr>
          <w:rFonts w:ascii="Garamond" w:hAnsi="Garamond"/>
          <w:sz w:val="24"/>
          <w:szCs w:val="24"/>
        </w:rPr>
        <w:t>reivindikační</w:t>
      </w:r>
      <w:proofErr w:type="spellEnd"/>
      <w:r w:rsidRPr="00DA196C">
        <w:rPr>
          <w:rFonts w:ascii="Garamond" w:hAnsi="Garamond"/>
          <w:sz w:val="24"/>
          <w:szCs w:val="24"/>
        </w:rPr>
        <w:t xml:space="preserve"> žaloby týče, je třeba rozebrat konkurenci s žalobou </w:t>
      </w:r>
      <w:proofErr w:type="spellStart"/>
      <w:r w:rsidR="00402AEE" w:rsidRPr="00DA196C">
        <w:rPr>
          <w:rFonts w:ascii="Garamond" w:hAnsi="Garamond"/>
          <w:sz w:val="24"/>
          <w:szCs w:val="24"/>
        </w:rPr>
        <w:t>A</w:t>
      </w:r>
      <w:r w:rsidRPr="00DA196C">
        <w:rPr>
          <w:rFonts w:ascii="Garamond" w:hAnsi="Garamond"/>
          <w:sz w:val="24"/>
          <w:szCs w:val="24"/>
        </w:rPr>
        <w:t>kvilskou</w:t>
      </w:r>
      <w:proofErr w:type="spellEnd"/>
      <w:r w:rsidRPr="00DA196C">
        <w:rPr>
          <w:rFonts w:ascii="Garamond" w:hAnsi="Garamond"/>
          <w:sz w:val="24"/>
          <w:szCs w:val="24"/>
        </w:rPr>
        <w:t>, žalo</w:t>
      </w:r>
      <w:r w:rsidR="00402AEE" w:rsidRPr="00DA196C">
        <w:rPr>
          <w:rFonts w:ascii="Garamond" w:hAnsi="Garamond"/>
          <w:sz w:val="24"/>
          <w:szCs w:val="24"/>
        </w:rPr>
        <w:t>b</w:t>
      </w:r>
      <w:r w:rsidRPr="00DA196C">
        <w:rPr>
          <w:rFonts w:ascii="Garamond" w:hAnsi="Garamond"/>
          <w:sz w:val="24"/>
          <w:szCs w:val="24"/>
        </w:rPr>
        <w:t>ou z krádeže, žalobou z urážky a též s žalobou na rozdělení spoluvlastnictví.</w:t>
      </w:r>
    </w:p>
    <w:p w:rsidR="00783672" w:rsidRPr="00DA196C" w:rsidRDefault="00783672" w:rsidP="00FA1FF7">
      <w:pPr>
        <w:pStyle w:val="Nadpis2"/>
        <w:contextualSpacing/>
      </w:pPr>
      <w:bookmarkStart w:id="36" w:name="_Toc36031962"/>
      <w:proofErr w:type="spellStart"/>
      <w:r w:rsidRPr="00DA196C">
        <w:t>Akvilská</w:t>
      </w:r>
      <w:proofErr w:type="spellEnd"/>
      <w:r w:rsidRPr="00DA196C">
        <w:t xml:space="preserve"> žaloba</w:t>
      </w:r>
      <w:bookmarkEnd w:id="36"/>
    </w:p>
    <w:p w:rsidR="009356C8" w:rsidRPr="00DA196C" w:rsidRDefault="00402AEE" w:rsidP="00FA1FF7">
      <w:pPr>
        <w:spacing w:after="0" w:line="360" w:lineRule="auto"/>
        <w:ind w:firstLine="708"/>
        <w:contextualSpacing/>
        <w:jc w:val="both"/>
        <w:rPr>
          <w:rFonts w:ascii="Garamond" w:hAnsi="Garamond"/>
          <w:sz w:val="24"/>
          <w:szCs w:val="24"/>
        </w:rPr>
      </w:pPr>
      <w:proofErr w:type="spellStart"/>
      <w:r w:rsidRPr="006C5EDD">
        <w:rPr>
          <w:rFonts w:ascii="Garamond" w:hAnsi="Garamond"/>
          <w:i/>
          <w:sz w:val="24"/>
          <w:szCs w:val="24"/>
        </w:rPr>
        <w:t>Actio</w:t>
      </w:r>
      <w:proofErr w:type="spellEnd"/>
      <w:r w:rsidRPr="006C5EDD">
        <w:rPr>
          <w:rFonts w:ascii="Garamond" w:hAnsi="Garamond"/>
          <w:i/>
          <w:sz w:val="24"/>
          <w:szCs w:val="24"/>
        </w:rPr>
        <w:t xml:space="preserve"> </w:t>
      </w:r>
      <w:proofErr w:type="spellStart"/>
      <w:r w:rsidRPr="006C5EDD">
        <w:rPr>
          <w:rFonts w:ascii="Garamond" w:hAnsi="Garamond"/>
          <w:i/>
          <w:sz w:val="24"/>
          <w:szCs w:val="24"/>
        </w:rPr>
        <w:t>legis</w:t>
      </w:r>
      <w:proofErr w:type="spellEnd"/>
      <w:r w:rsidRPr="006C5EDD">
        <w:rPr>
          <w:rFonts w:ascii="Garamond" w:hAnsi="Garamond"/>
          <w:i/>
          <w:sz w:val="24"/>
          <w:szCs w:val="24"/>
        </w:rPr>
        <w:t xml:space="preserve"> </w:t>
      </w:r>
      <w:proofErr w:type="spellStart"/>
      <w:r w:rsidR="009356C8" w:rsidRPr="006C5EDD">
        <w:rPr>
          <w:rFonts w:ascii="Garamond" w:hAnsi="Garamond"/>
          <w:i/>
          <w:sz w:val="24"/>
          <w:szCs w:val="24"/>
        </w:rPr>
        <w:t>A</w:t>
      </w:r>
      <w:r w:rsidRPr="006C5EDD">
        <w:rPr>
          <w:rFonts w:ascii="Garamond" w:hAnsi="Garamond"/>
          <w:i/>
          <w:sz w:val="24"/>
          <w:szCs w:val="24"/>
        </w:rPr>
        <w:t>quiliae</w:t>
      </w:r>
      <w:proofErr w:type="spellEnd"/>
      <w:r w:rsidR="00981E72" w:rsidRPr="00DA196C">
        <w:rPr>
          <w:rFonts w:ascii="Garamond" w:hAnsi="Garamond"/>
          <w:sz w:val="24"/>
          <w:szCs w:val="24"/>
        </w:rPr>
        <w:t>, neboli žaloba z </w:t>
      </w:r>
      <w:proofErr w:type="spellStart"/>
      <w:r w:rsidR="00981E72" w:rsidRPr="00DA196C">
        <w:rPr>
          <w:rFonts w:ascii="Garamond" w:hAnsi="Garamond"/>
          <w:sz w:val="24"/>
          <w:szCs w:val="24"/>
        </w:rPr>
        <w:t>Akviliova</w:t>
      </w:r>
      <w:proofErr w:type="spellEnd"/>
      <w:r w:rsidR="00981E72" w:rsidRPr="00DA196C">
        <w:rPr>
          <w:rFonts w:ascii="Garamond" w:hAnsi="Garamond"/>
          <w:sz w:val="24"/>
          <w:szCs w:val="24"/>
        </w:rPr>
        <w:t xml:space="preserve"> zákona, byla žalobou z protiprávního způsobení škody. </w:t>
      </w:r>
      <w:r w:rsidR="009356C8" w:rsidRPr="00DA196C">
        <w:rPr>
          <w:rFonts w:ascii="Garamond" w:hAnsi="Garamond"/>
          <w:sz w:val="24"/>
          <w:szCs w:val="24"/>
        </w:rPr>
        <w:t xml:space="preserve">Tato žaloba se opírala o ustanovení </w:t>
      </w:r>
      <w:proofErr w:type="spellStart"/>
      <w:r w:rsidR="009356C8" w:rsidRPr="006C5EDD">
        <w:rPr>
          <w:rFonts w:ascii="Garamond" w:hAnsi="Garamond"/>
          <w:i/>
          <w:sz w:val="24"/>
          <w:szCs w:val="24"/>
        </w:rPr>
        <w:t>lex</w:t>
      </w:r>
      <w:proofErr w:type="spellEnd"/>
      <w:r w:rsidR="009356C8" w:rsidRPr="006C5EDD">
        <w:rPr>
          <w:rFonts w:ascii="Garamond" w:hAnsi="Garamond"/>
          <w:i/>
          <w:sz w:val="24"/>
          <w:szCs w:val="24"/>
        </w:rPr>
        <w:t xml:space="preserve"> </w:t>
      </w:r>
      <w:proofErr w:type="spellStart"/>
      <w:r w:rsidR="009356C8" w:rsidRPr="006C5EDD">
        <w:rPr>
          <w:rFonts w:ascii="Garamond" w:hAnsi="Garamond"/>
          <w:i/>
          <w:sz w:val="24"/>
          <w:szCs w:val="24"/>
        </w:rPr>
        <w:t>Aquilia</w:t>
      </w:r>
      <w:proofErr w:type="spellEnd"/>
      <w:r w:rsidR="006C5EDD">
        <w:rPr>
          <w:rFonts w:ascii="Garamond" w:hAnsi="Garamond"/>
          <w:sz w:val="24"/>
          <w:szCs w:val="24"/>
        </w:rPr>
        <w:t>, vydaného roku 286 př. n</w:t>
      </w:r>
      <w:r w:rsidR="009356C8" w:rsidRPr="00DA196C">
        <w:rPr>
          <w:rFonts w:ascii="Garamond" w:hAnsi="Garamond"/>
          <w:sz w:val="24"/>
          <w:szCs w:val="24"/>
        </w:rPr>
        <w:t xml:space="preserve">. </w:t>
      </w:r>
      <w:r w:rsidR="006C5EDD">
        <w:rPr>
          <w:rFonts w:ascii="Garamond" w:hAnsi="Garamond"/>
          <w:sz w:val="24"/>
          <w:szCs w:val="24"/>
        </w:rPr>
        <w:t xml:space="preserve">l. </w:t>
      </w:r>
      <w:proofErr w:type="gramStart"/>
      <w:r w:rsidR="009356C8" w:rsidRPr="00DA196C">
        <w:rPr>
          <w:rFonts w:ascii="Garamond" w:hAnsi="Garamond"/>
          <w:sz w:val="24"/>
          <w:szCs w:val="24"/>
        </w:rPr>
        <w:t>Na</w:t>
      </w:r>
      <w:proofErr w:type="gramEnd"/>
      <w:r w:rsidR="009356C8" w:rsidRPr="00DA196C">
        <w:rPr>
          <w:rFonts w:ascii="Garamond" w:hAnsi="Garamond"/>
          <w:sz w:val="24"/>
          <w:szCs w:val="24"/>
        </w:rPr>
        <w:t xml:space="preserve"> základě tohoto zákona byl pokutován ten, kdo ze zlého úmyslu protiprávně zabil či poškodil cizího otroka nebo dobytče, nebo kdo zničil či poškodil jinou cizí věc. Pokuta za zabití otroka nebo dobytčete byla stanovena jako nejvyšší jejich cena v posledním roce, v ostatních případech byla po</w:t>
      </w:r>
      <w:r w:rsidR="00E06B6D" w:rsidRPr="00DA196C">
        <w:rPr>
          <w:rFonts w:ascii="Garamond" w:hAnsi="Garamond"/>
          <w:sz w:val="24"/>
          <w:szCs w:val="24"/>
        </w:rPr>
        <w:t>kuta rovna výši nejvyšší ceny vě</w:t>
      </w:r>
      <w:r w:rsidR="009356C8" w:rsidRPr="00DA196C">
        <w:rPr>
          <w:rFonts w:ascii="Garamond" w:hAnsi="Garamond"/>
          <w:sz w:val="24"/>
          <w:szCs w:val="24"/>
        </w:rPr>
        <w:t>ci v posledních 3</w:t>
      </w:r>
      <w:r w:rsidR="00E06B6D" w:rsidRPr="00DA196C">
        <w:rPr>
          <w:rFonts w:ascii="Garamond" w:hAnsi="Garamond"/>
          <w:sz w:val="24"/>
          <w:szCs w:val="24"/>
        </w:rPr>
        <w:t>0 dnech.</w:t>
      </w:r>
      <w:r w:rsidR="009356C8" w:rsidRPr="00DA196C">
        <w:rPr>
          <w:rFonts w:ascii="Garamond" w:hAnsi="Garamond"/>
          <w:sz w:val="24"/>
          <w:szCs w:val="24"/>
          <w:vertAlign w:val="superscript"/>
        </w:rPr>
        <w:footnoteReference w:id="146"/>
      </w:r>
    </w:p>
    <w:p w:rsidR="00AC02E1" w:rsidRPr="00DA196C" w:rsidRDefault="009356C8" w:rsidP="00FA1FF7">
      <w:pPr>
        <w:spacing w:after="0" w:line="360" w:lineRule="auto"/>
        <w:ind w:firstLine="708"/>
        <w:contextualSpacing/>
        <w:jc w:val="both"/>
        <w:rPr>
          <w:rFonts w:ascii="Garamond" w:hAnsi="Garamond"/>
          <w:sz w:val="24"/>
          <w:szCs w:val="24"/>
        </w:rPr>
      </w:pPr>
      <w:r w:rsidRPr="00DA196C">
        <w:rPr>
          <w:rFonts w:ascii="Garamond" w:hAnsi="Garamond"/>
          <w:sz w:val="24"/>
          <w:szCs w:val="24"/>
        </w:rPr>
        <w:t xml:space="preserve">Aktivně legitimovaným k podání </w:t>
      </w:r>
      <w:proofErr w:type="spellStart"/>
      <w:r w:rsidRPr="002C5AFF">
        <w:rPr>
          <w:rFonts w:ascii="Garamond" w:hAnsi="Garamond"/>
          <w:i/>
          <w:sz w:val="24"/>
          <w:szCs w:val="24"/>
        </w:rPr>
        <w:t>actio</w:t>
      </w:r>
      <w:proofErr w:type="spellEnd"/>
      <w:r w:rsidRPr="002C5AFF">
        <w:rPr>
          <w:rFonts w:ascii="Garamond" w:hAnsi="Garamond"/>
          <w:i/>
          <w:sz w:val="24"/>
          <w:szCs w:val="24"/>
        </w:rPr>
        <w:t xml:space="preserve"> </w:t>
      </w:r>
      <w:proofErr w:type="spellStart"/>
      <w:r w:rsidRPr="002C5AFF">
        <w:rPr>
          <w:rFonts w:ascii="Garamond" w:hAnsi="Garamond"/>
          <w:i/>
          <w:sz w:val="24"/>
          <w:szCs w:val="24"/>
        </w:rPr>
        <w:t>legis</w:t>
      </w:r>
      <w:proofErr w:type="spellEnd"/>
      <w:r w:rsidRPr="002C5AFF">
        <w:rPr>
          <w:rFonts w:ascii="Garamond" w:hAnsi="Garamond"/>
          <w:i/>
          <w:sz w:val="24"/>
          <w:szCs w:val="24"/>
        </w:rPr>
        <w:t xml:space="preserve"> </w:t>
      </w:r>
      <w:proofErr w:type="spellStart"/>
      <w:r w:rsidRPr="002C5AFF">
        <w:rPr>
          <w:rFonts w:ascii="Garamond" w:hAnsi="Garamond"/>
          <w:i/>
          <w:sz w:val="24"/>
          <w:szCs w:val="24"/>
        </w:rPr>
        <w:t>Aquiliae</w:t>
      </w:r>
      <w:proofErr w:type="spellEnd"/>
      <w:r w:rsidRPr="00DA196C">
        <w:rPr>
          <w:rFonts w:ascii="Garamond" w:hAnsi="Garamond"/>
          <w:sz w:val="24"/>
          <w:szCs w:val="24"/>
        </w:rPr>
        <w:t xml:space="preserve"> byl vlastník poškozené věci</w:t>
      </w:r>
      <w:r w:rsidRPr="00DA196C">
        <w:rPr>
          <w:rFonts w:ascii="Garamond" w:hAnsi="Garamond"/>
          <w:sz w:val="24"/>
          <w:szCs w:val="24"/>
          <w:vertAlign w:val="superscript"/>
        </w:rPr>
        <w:footnoteReference w:id="147"/>
      </w:r>
      <w:r w:rsidR="00432F18" w:rsidRPr="00DA196C">
        <w:rPr>
          <w:rFonts w:ascii="Garamond" w:hAnsi="Garamond"/>
          <w:sz w:val="24"/>
          <w:szCs w:val="24"/>
        </w:rPr>
        <w:t xml:space="preserve"> a škoda na věci musela být původně </w:t>
      </w:r>
      <w:proofErr w:type="spellStart"/>
      <w:r w:rsidR="00432F18" w:rsidRPr="002C5AFF">
        <w:rPr>
          <w:rFonts w:ascii="Garamond" w:hAnsi="Garamond"/>
          <w:i/>
          <w:sz w:val="24"/>
          <w:szCs w:val="24"/>
        </w:rPr>
        <w:t>damnum</w:t>
      </w:r>
      <w:proofErr w:type="spellEnd"/>
      <w:r w:rsidR="00432F18" w:rsidRPr="002C5AFF">
        <w:rPr>
          <w:rFonts w:ascii="Garamond" w:hAnsi="Garamond"/>
          <w:i/>
          <w:sz w:val="24"/>
          <w:szCs w:val="24"/>
        </w:rPr>
        <w:t xml:space="preserve"> </w:t>
      </w:r>
      <w:proofErr w:type="spellStart"/>
      <w:r w:rsidR="00432F18" w:rsidRPr="002C5AFF">
        <w:rPr>
          <w:rFonts w:ascii="Garamond" w:hAnsi="Garamond"/>
          <w:i/>
          <w:sz w:val="24"/>
          <w:szCs w:val="24"/>
        </w:rPr>
        <w:t>corpore</w:t>
      </w:r>
      <w:proofErr w:type="spellEnd"/>
      <w:r w:rsidR="00432F18" w:rsidRPr="002C5AFF">
        <w:rPr>
          <w:rFonts w:ascii="Garamond" w:hAnsi="Garamond"/>
          <w:i/>
          <w:sz w:val="24"/>
          <w:szCs w:val="24"/>
        </w:rPr>
        <w:t xml:space="preserve"> </w:t>
      </w:r>
      <w:proofErr w:type="spellStart"/>
      <w:r w:rsidR="00432F18" w:rsidRPr="002C5AFF">
        <w:rPr>
          <w:rFonts w:ascii="Garamond" w:hAnsi="Garamond"/>
          <w:i/>
          <w:sz w:val="24"/>
          <w:szCs w:val="24"/>
        </w:rPr>
        <w:t>corpori</w:t>
      </w:r>
      <w:proofErr w:type="spellEnd"/>
      <w:r w:rsidR="00432F18" w:rsidRPr="002C5AFF">
        <w:rPr>
          <w:rFonts w:ascii="Garamond" w:hAnsi="Garamond"/>
          <w:i/>
          <w:sz w:val="24"/>
          <w:szCs w:val="24"/>
        </w:rPr>
        <w:t xml:space="preserve"> datum</w:t>
      </w:r>
      <w:r w:rsidR="00432F18" w:rsidRPr="00DA196C">
        <w:rPr>
          <w:rFonts w:ascii="Garamond" w:hAnsi="Garamond"/>
          <w:sz w:val="24"/>
          <w:szCs w:val="24"/>
        </w:rPr>
        <w:t xml:space="preserve">, tedy přímým tělesným působením na věc. Později mohlo jít i o škodu způsobenou </w:t>
      </w:r>
      <w:proofErr w:type="spellStart"/>
      <w:r w:rsidR="001D610A" w:rsidRPr="002C5AFF">
        <w:rPr>
          <w:rFonts w:ascii="Garamond" w:hAnsi="Garamond"/>
          <w:i/>
          <w:sz w:val="24"/>
          <w:szCs w:val="24"/>
        </w:rPr>
        <w:t>damnum</w:t>
      </w:r>
      <w:proofErr w:type="spellEnd"/>
      <w:r w:rsidR="001D610A" w:rsidRPr="002C5AFF">
        <w:rPr>
          <w:rFonts w:ascii="Garamond" w:hAnsi="Garamond"/>
          <w:i/>
          <w:sz w:val="24"/>
          <w:szCs w:val="24"/>
        </w:rPr>
        <w:t xml:space="preserve"> </w:t>
      </w:r>
      <w:proofErr w:type="spellStart"/>
      <w:r w:rsidR="001D610A" w:rsidRPr="002C5AFF">
        <w:rPr>
          <w:rFonts w:ascii="Garamond" w:hAnsi="Garamond"/>
          <w:i/>
          <w:sz w:val="24"/>
          <w:szCs w:val="24"/>
        </w:rPr>
        <w:t>corpori</w:t>
      </w:r>
      <w:proofErr w:type="spellEnd"/>
      <w:r w:rsidR="001D610A" w:rsidRPr="002C5AFF">
        <w:rPr>
          <w:rFonts w:ascii="Garamond" w:hAnsi="Garamond"/>
          <w:i/>
          <w:sz w:val="24"/>
          <w:szCs w:val="24"/>
        </w:rPr>
        <w:t xml:space="preserve"> non </w:t>
      </w:r>
      <w:proofErr w:type="spellStart"/>
      <w:r w:rsidR="001D610A" w:rsidRPr="002C5AFF">
        <w:rPr>
          <w:rFonts w:ascii="Garamond" w:hAnsi="Garamond"/>
          <w:i/>
          <w:sz w:val="24"/>
          <w:szCs w:val="24"/>
        </w:rPr>
        <w:t>corpore</w:t>
      </w:r>
      <w:proofErr w:type="spellEnd"/>
      <w:r w:rsidR="001D610A" w:rsidRPr="00DA196C">
        <w:rPr>
          <w:rFonts w:ascii="Garamond" w:hAnsi="Garamond"/>
          <w:sz w:val="24"/>
          <w:szCs w:val="24"/>
        </w:rPr>
        <w:t xml:space="preserve">, tedy bez přímého </w:t>
      </w:r>
      <w:r w:rsidR="001D610A" w:rsidRPr="00DA196C">
        <w:rPr>
          <w:rFonts w:ascii="Garamond" w:hAnsi="Garamond"/>
          <w:sz w:val="24"/>
          <w:szCs w:val="24"/>
        </w:rPr>
        <w:lastRenderedPageBreak/>
        <w:t xml:space="preserve">působení na věc, nebo dokonce i </w:t>
      </w:r>
      <w:proofErr w:type="spellStart"/>
      <w:r w:rsidR="001D610A" w:rsidRPr="002C5AFF">
        <w:rPr>
          <w:rFonts w:ascii="Garamond" w:hAnsi="Garamond"/>
          <w:i/>
          <w:sz w:val="24"/>
          <w:szCs w:val="24"/>
        </w:rPr>
        <w:t>damnum</w:t>
      </w:r>
      <w:proofErr w:type="spellEnd"/>
      <w:r w:rsidR="001D610A" w:rsidRPr="002C5AFF">
        <w:rPr>
          <w:rFonts w:ascii="Garamond" w:hAnsi="Garamond"/>
          <w:i/>
          <w:sz w:val="24"/>
          <w:szCs w:val="24"/>
        </w:rPr>
        <w:t xml:space="preserve"> non </w:t>
      </w:r>
      <w:proofErr w:type="spellStart"/>
      <w:r w:rsidR="001D610A" w:rsidRPr="002C5AFF">
        <w:rPr>
          <w:rFonts w:ascii="Garamond" w:hAnsi="Garamond"/>
          <w:i/>
          <w:sz w:val="24"/>
          <w:szCs w:val="24"/>
        </w:rPr>
        <w:t>corpore</w:t>
      </w:r>
      <w:proofErr w:type="spellEnd"/>
      <w:r w:rsidR="001D610A" w:rsidRPr="002C5AFF">
        <w:rPr>
          <w:rFonts w:ascii="Garamond" w:hAnsi="Garamond"/>
          <w:i/>
          <w:sz w:val="24"/>
          <w:szCs w:val="24"/>
        </w:rPr>
        <w:t xml:space="preserve"> </w:t>
      </w:r>
      <w:proofErr w:type="spellStart"/>
      <w:r w:rsidR="001D610A" w:rsidRPr="002C5AFF">
        <w:rPr>
          <w:rFonts w:ascii="Garamond" w:hAnsi="Garamond"/>
          <w:i/>
          <w:sz w:val="24"/>
          <w:szCs w:val="24"/>
        </w:rPr>
        <w:t>nec</w:t>
      </w:r>
      <w:proofErr w:type="spellEnd"/>
      <w:r w:rsidR="001D610A" w:rsidRPr="002C5AFF">
        <w:rPr>
          <w:rFonts w:ascii="Garamond" w:hAnsi="Garamond"/>
          <w:i/>
          <w:sz w:val="24"/>
          <w:szCs w:val="24"/>
        </w:rPr>
        <w:t xml:space="preserve"> </w:t>
      </w:r>
      <w:proofErr w:type="spellStart"/>
      <w:r w:rsidR="001D610A" w:rsidRPr="002C5AFF">
        <w:rPr>
          <w:rFonts w:ascii="Garamond" w:hAnsi="Garamond"/>
          <w:i/>
          <w:sz w:val="24"/>
          <w:szCs w:val="24"/>
        </w:rPr>
        <w:t>corpori</w:t>
      </w:r>
      <w:proofErr w:type="spellEnd"/>
      <w:r w:rsidR="001D610A" w:rsidRPr="002C5AFF">
        <w:rPr>
          <w:rFonts w:ascii="Garamond" w:hAnsi="Garamond"/>
          <w:i/>
          <w:sz w:val="24"/>
          <w:szCs w:val="24"/>
        </w:rPr>
        <w:t xml:space="preserve"> datum</w:t>
      </w:r>
      <w:r w:rsidR="001D610A" w:rsidRPr="00DA196C">
        <w:rPr>
          <w:rFonts w:ascii="Garamond" w:hAnsi="Garamond"/>
          <w:sz w:val="24"/>
          <w:szCs w:val="24"/>
        </w:rPr>
        <w:t>, tedy bez přímého působení na věc i bez zničení či poškození věci (např. vypuštěním zvířete drženého v zajetí).</w:t>
      </w:r>
      <w:r w:rsidR="001D610A" w:rsidRPr="00DA196C">
        <w:rPr>
          <w:rFonts w:ascii="Garamond" w:hAnsi="Garamond"/>
          <w:sz w:val="24"/>
          <w:szCs w:val="24"/>
          <w:vertAlign w:val="superscript"/>
        </w:rPr>
        <w:footnoteReference w:id="148"/>
      </w:r>
    </w:p>
    <w:p w:rsidR="00783672" w:rsidRPr="00DA196C" w:rsidRDefault="00783672" w:rsidP="00FA1FF7">
      <w:pPr>
        <w:pStyle w:val="Nadpis2"/>
        <w:contextualSpacing/>
      </w:pPr>
      <w:bookmarkStart w:id="37" w:name="_Toc36031963"/>
      <w:r w:rsidRPr="00DA196C">
        <w:t>Žaloba z</w:t>
      </w:r>
      <w:r w:rsidR="009E1383" w:rsidRPr="00DA196C">
        <w:t> </w:t>
      </w:r>
      <w:r w:rsidRPr="00DA196C">
        <w:t>krádeže</w:t>
      </w:r>
      <w:bookmarkEnd w:id="37"/>
    </w:p>
    <w:p w:rsidR="00792576" w:rsidRPr="00DA196C" w:rsidRDefault="009E1383" w:rsidP="00FA1FF7">
      <w:pPr>
        <w:spacing w:after="0" w:line="360" w:lineRule="auto"/>
        <w:ind w:firstLine="708"/>
        <w:contextualSpacing/>
        <w:jc w:val="both"/>
        <w:rPr>
          <w:rFonts w:ascii="Garamond" w:hAnsi="Garamond"/>
          <w:sz w:val="24"/>
        </w:rPr>
      </w:pPr>
      <w:r w:rsidRPr="00DA196C">
        <w:rPr>
          <w:rFonts w:ascii="Garamond" w:hAnsi="Garamond"/>
          <w:sz w:val="24"/>
        </w:rPr>
        <w:t xml:space="preserve">V prvé řadě je zde třeba uvést, že žaloby z krádeže byly v římském právu dvě. Jednak to byla </w:t>
      </w:r>
      <w:proofErr w:type="spellStart"/>
      <w:r w:rsidRPr="002C5AFF">
        <w:rPr>
          <w:rFonts w:ascii="Garamond" w:hAnsi="Garamond"/>
          <w:i/>
          <w:sz w:val="24"/>
        </w:rPr>
        <w:t>actio</w:t>
      </w:r>
      <w:proofErr w:type="spellEnd"/>
      <w:r w:rsidRPr="002C5AFF">
        <w:rPr>
          <w:rFonts w:ascii="Garamond" w:hAnsi="Garamond"/>
          <w:i/>
          <w:sz w:val="24"/>
        </w:rPr>
        <w:t xml:space="preserve"> </w:t>
      </w:r>
      <w:proofErr w:type="spellStart"/>
      <w:r w:rsidRPr="002C5AFF">
        <w:rPr>
          <w:rFonts w:ascii="Garamond" w:hAnsi="Garamond"/>
          <w:i/>
          <w:sz w:val="24"/>
        </w:rPr>
        <w:t>furti</w:t>
      </w:r>
      <w:proofErr w:type="spellEnd"/>
      <w:r w:rsidRPr="00DA196C">
        <w:rPr>
          <w:rFonts w:ascii="Garamond" w:hAnsi="Garamond"/>
          <w:sz w:val="24"/>
        </w:rPr>
        <w:t xml:space="preserve">, což byla žaloba </w:t>
      </w:r>
      <w:proofErr w:type="spellStart"/>
      <w:r w:rsidRPr="00DA196C">
        <w:rPr>
          <w:rFonts w:ascii="Garamond" w:hAnsi="Garamond"/>
          <w:sz w:val="24"/>
        </w:rPr>
        <w:t>poenálního</w:t>
      </w:r>
      <w:proofErr w:type="spellEnd"/>
      <w:r w:rsidRPr="00DA196C">
        <w:rPr>
          <w:rFonts w:ascii="Garamond" w:hAnsi="Garamond"/>
          <w:sz w:val="24"/>
        </w:rPr>
        <w:t xml:space="preserve"> charakteru a měla za následek </w:t>
      </w:r>
      <w:proofErr w:type="spellStart"/>
      <w:r w:rsidRPr="00DA196C">
        <w:rPr>
          <w:rFonts w:ascii="Garamond" w:hAnsi="Garamond"/>
          <w:sz w:val="24"/>
        </w:rPr>
        <w:t>infamii</w:t>
      </w:r>
      <w:proofErr w:type="spellEnd"/>
      <w:r w:rsidRPr="00DA196C">
        <w:rPr>
          <w:rFonts w:ascii="Garamond" w:hAnsi="Garamond"/>
          <w:sz w:val="24"/>
        </w:rPr>
        <w:t xml:space="preserve">. Jestliže byl zloděj přistižen při činu, zněla </w:t>
      </w:r>
      <w:proofErr w:type="spellStart"/>
      <w:r w:rsidRPr="002C5AFF">
        <w:rPr>
          <w:rFonts w:ascii="Garamond" w:hAnsi="Garamond"/>
          <w:i/>
          <w:sz w:val="24"/>
        </w:rPr>
        <w:t>quadruplum</w:t>
      </w:r>
      <w:proofErr w:type="spellEnd"/>
      <w:r w:rsidRPr="00DA196C">
        <w:rPr>
          <w:rFonts w:ascii="Garamond" w:hAnsi="Garamond"/>
          <w:sz w:val="24"/>
        </w:rPr>
        <w:t xml:space="preserve">, v opačném případě na </w:t>
      </w:r>
      <w:proofErr w:type="spellStart"/>
      <w:r w:rsidRPr="002C5AFF">
        <w:rPr>
          <w:rFonts w:ascii="Garamond" w:hAnsi="Garamond"/>
          <w:i/>
          <w:sz w:val="24"/>
        </w:rPr>
        <w:t>duplum</w:t>
      </w:r>
      <w:proofErr w:type="spellEnd"/>
      <w:r w:rsidRPr="00DA196C">
        <w:rPr>
          <w:rFonts w:ascii="Garamond" w:hAnsi="Garamond"/>
          <w:sz w:val="24"/>
        </w:rPr>
        <w:t xml:space="preserve">. Druhou žalobou byla </w:t>
      </w:r>
      <w:proofErr w:type="spellStart"/>
      <w:r w:rsidRPr="002C5AFF">
        <w:rPr>
          <w:rFonts w:ascii="Garamond" w:hAnsi="Garamond"/>
          <w:i/>
          <w:sz w:val="24"/>
        </w:rPr>
        <w:t>condictio</w:t>
      </w:r>
      <w:proofErr w:type="spellEnd"/>
      <w:r w:rsidRPr="002C5AFF">
        <w:rPr>
          <w:rFonts w:ascii="Garamond" w:hAnsi="Garamond"/>
          <w:i/>
          <w:sz w:val="24"/>
        </w:rPr>
        <w:t xml:space="preserve"> </w:t>
      </w:r>
      <w:proofErr w:type="spellStart"/>
      <w:r w:rsidRPr="002C5AFF">
        <w:rPr>
          <w:rFonts w:ascii="Garamond" w:hAnsi="Garamond"/>
          <w:i/>
          <w:sz w:val="24"/>
        </w:rPr>
        <w:t>furtiva</w:t>
      </w:r>
      <w:proofErr w:type="spellEnd"/>
      <w:r w:rsidRPr="00DA196C">
        <w:rPr>
          <w:rFonts w:ascii="Garamond" w:hAnsi="Garamond"/>
          <w:sz w:val="24"/>
        </w:rPr>
        <w:t xml:space="preserve">, kdy právě tato žaloba z krádeže byla ve vztahu konkurence k žalobě </w:t>
      </w:r>
      <w:proofErr w:type="spellStart"/>
      <w:r w:rsidRPr="00DA196C">
        <w:rPr>
          <w:rFonts w:ascii="Garamond" w:hAnsi="Garamond"/>
          <w:sz w:val="24"/>
        </w:rPr>
        <w:t>reivindikační</w:t>
      </w:r>
      <w:proofErr w:type="spellEnd"/>
      <w:r w:rsidRPr="00DA196C">
        <w:rPr>
          <w:rFonts w:ascii="Garamond" w:hAnsi="Garamond"/>
          <w:sz w:val="24"/>
        </w:rPr>
        <w:t xml:space="preserve">. </w:t>
      </w:r>
    </w:p>
    <w:p w:rsidR="009E1383" w:rsidRPr="00DA196C" w:rsidRDefault="00792576" w:rsidP="00FA1FF7">
      <w:pPr>
        <w:spacing w:after="0" w:line="360" w:lineRule="auto"/>
        <w:ind w:firstLine="708"/>
        <w:contextualSpacing/>
        <w:jc w:val="both"/>
        <w:rPr>
          <w:rFonts w:ascii="Garamond" w:hAnsi="Garamond"/>
          <w:sz w:val="24"/>
        </w:rPr>
      </w:pPr>
      <w:proofErr w:type="spellStart"/>
      <w:r w:rsidRPr="002C5AFF">
        <w:rPr>
          <w:rFonts w:ascii="Garamond" w:hAnsi="Garamond"/>
          <w:i/>
          <w:sz w:val="24"/>
        </w:rPr>
        <w:t>Condictio</w:t>
      </w:r>
      <w:proofErr w:type="spellEnd"/>
      <w:r w:rsidRPr="002C5AFF">
        <w:rPr>
          <w:rFonts w:ascii="Garamond" w:hAnsi="Garamond"/>
          <w:i/>
          <w:sz w:val="24"/>
        </w:rPr>
        <w:t xml:space="preserve"> </w:t>
      </w:r>
      <w:proofErr w:type="spellStart"/>
      <w:r w:rsidRPr="002C5AFF">
        <w:rPr>
          <w:rFonts w:ascii="Garamond" w:hAnsi="Garamond"/>
          <w:i/>
          <w:sz w:val="24"/>
        </w:rPr>
        <w:t>furtiva</w:t>
      </w:r>
      <w:proofErr w:type="spellEnd"/>
      <w:r w:rsidRPr="00DA196C">
        <w:rPr>
          <w:rFonts w:ascii="Garamond" w:hAnsi="Garamond"/>
          <w:sz w:val="24"/>
        </w:rPr>
        <w:t xml:space="preserve"> směřovala k vydání ukradené věci a náhradě škody. Aktivně legitimován k podání této žaloby byl vlastník ukradené věci a případně též zástavní věřitel. </w:t>
      </w:r>
    </w:p>
    <w:p w:rsidR="00783672" w:rsidRPr="00DA196C" w:rsidRDefault="00783672" w:rsidP="00FA1FF7">
      <w:pPr>
        <w:pStyle w:val="Nadpis2"/>
        <w:contextualSpacing/>
      </w:pPr>
      <w:bookmarkStart w:id="38" w:name="_Toc36031964"/>
      <w:r w:rsidRPr="00DA196C">
        <w:t>Žaloba z</w:t>
      </w:r>
      <w:r w:rsidR="003215B4" w:rsidRPr="00DA196C">
        <w:t> </w:t>
      </w:r>
      <w:r w:rsidRPr="00DA196C">
        <w:t>urážky</w:t>
      </w:r>
      <w:bookmarkEnd w:id="38"/>
    </w:p>
    <w:p w:rsidR="00644051" w:rsidRPr="00DA196C" w:rsidRDefault="00AF0218" w:rsidP="00FA1FF7">
      <w:pPr>
        <w:spacing w:after="0" w:line="360" w:lineRule="auto"/>
        <w:ind w:firstLine="708"/>
        <w:contextualSpacing/>
        <w:jc w:val="both"/>
        <w:rPr>
          <w:rFonts w:ascii="Garamond" w:hAnsi="Garamond"/>
          <w:sz w:val="24"/>
        </w:rPr>
      </w:pPr>
      <w:proofErr w:type="spellStart"/>
      <w:r w:rsidRPr="002C5AFF">
        <w:rPr>
          <w:rFonts w:ascii="Garamond" w:hAnsi="Garamond"/>
          <w:i/>
          <w:sz w:val="24"/>
        </w:rPr>
        <w:t>Iniuria</w:t>
      </w:r>
      <w:proofErr w:type="spellEnd"/>
      <w:r w:rsidRPr="00DA196C">
        <w:rPr>
          <w:rFonts w:ascii="Garamond" w:hAnsi="Garamond"/>
          <w:sz w:val="24"/>
        </w:rPr>
        <w:t xml:space="preserve">, neboli urážka, bylo v římském právu úmyslné protiprávní jednání směřující ke snížení vážnosti určité osoby. Původně byla </w:t>
      </w:r>
      <w:proofErr w:type="spellStart"/>
      <w:r w:rsidRPr="002C5AFF">
        <w:rPr>
          <w:rFonts w:ascii="Garamond" w:hAnsi="Garamond"/>
          <w:i/>
          <w:sz w:val="24"/>
        </w:rPr>
        <w:t>iniuria</w:t>
      </w:r>
      <w:proofErr w:type="spellEnd"/>
      <w:r w:rsidRPr="00DA196C">
        <w:rPr>
          <w:rFonts w:ascii="Garamond" w:hAnsi="Garamond"/>
          <w:sz w:val="24"/>
        </w:rPr>
        <w:t xml:space="preserve"> spatřována pouze v jednání směřujícímu proti tělesné integritě osoby, kdy za takovéto protiprávní jednání byly zákonem XII. desek stanoveny pevné pokuty.</w:t>
      </w:r>
      <w:r w:rsidR="00AB3BC4" w:rsidRPr="00DA196C">
        <w:rPr>
          <w:rStyle w:val="Znakapoznpodarou"/>
          <w:rFonts w:ascii="Garamond" w:hAnsi="Garamond"/>
          <w:sz w:val="24"/>
        </w:rPr>
        <w:footnoteReference w:id="149"/>
      </w:r>
      <w:r w:rsidRPr="00DA196C">
        <w:rPr>
          <w:rFonts w:ascii="Garamond" w:hAnsi="Garamond"/>
          <w:sz w:val="24"/>
        </w:rPr>
        <w:t xml:space="preserve"> Později </w:t>
      </w:r>
      <w:r w:rsidR="00644051" w:rsidRPr="00DA196C">
        <w:rPr>
          <w:rFonts w:ascii="Garamond" w:hAnsi="Garamond"/>
          <w:sz w:val="24"/>
        </w:rPr>
        <w:t xml:space="preserve">byla pokuta stanovována dle okolností konkrétního případu a za </w:t>
      </w:r>
      <w:proofErr w:type="spellStart"/>
      <w:r w:rsidR="00644051" w:rsidRPr="00DA196C">
        <w:rPr>
          <w:rFonts w:ascii="Garamond" w:hAnsi="Garamond"/>
          <w:sz w:val="24"/>
        </w:rPr>
        <w:t>iniurii</w:t>
      </w:r>
      <w:proofErr w:type="spellEnd"/>
      <w:r w:rsidR="00644051" w:rsidRPr="00DA196C">
        <w:rPr>
          <w:rFonts w:ascii="Garamond" w:hAnsi="Garamond"/>
          <w:sz w:val="24"/>
        </w:rPr>
        <w:t xml:space="preserve"> bylo považováno i jednání spočívající ve verbálních projevech a též v porušování něčího práva. Toto porušování práva dané osoby mohlo spočívat například v bránění výkonu vlastnického práva.</w:t>
      </w:r>
      <w:r w:rsidR="00AB3BC4" w:rsidRPr="00DA196C">
        <w:rPr>
          <w:rStyle w:val="Znakapoznpodarou"/>
          <w:rFonts w:ascii="Garamond" w:hAnsi="Garamond"/>
          <w:sz w:val="24"/>
        </w:rPr>
        <w:footnoteReference w:id="150"/>
      </w:r>
    </w:p>
    <w:p w:rsidR="003215B4" w:rsidRPr="00DA196C" w:rsidRDefault="00644051" w:rsidP="00FA1FF7">
      <w:pPr>
        <w:spacing w:after="0" w:line="360" w:lineRule="auto"/>
        <w:ind w:firstLine="708"/>
        <w:contextualSpacing/>
        <w:jc w:val="both"/>
        <w:rPr>
          <w:rFonts w:ascii="Garamond" w:hAnsi="Garamond"/>
          <w:sz w:val="24"/>
        </w:rPr>
      </w:pPr>
      <w:r w:rsidRPr="00DA196C">
        <w:rPr>
          <w:rFonts w:ascii="Garamond" w:hAnsi="Garamond"/>
          <w:sz w:val="24"/>
        </w:rPr>
        <w:t xml:space="preserve">Jestliže tedy bylo do žalobcova práva zasaženo tím, že mu žalovaný věc protiprávně zadržoval a zároveň byl u žalovaného dán </w:t>
      </w:r>
      <w:proofErr w:type="spellStart"/>
      <w:r w:rsidRPr="002C5AFF">
        <w:rPr>
          <w:rFonts w:ascii="Garamond" w:hAnsi="Garamond"/>
          <w:i/>
          <w:sz w:val="24"/>
        </w:rPr>
        <w:t>animus</w:t>
      </w:r>
      <w:proofErr w:type="spellEnd"/>
      <w:r w:rsidRPr="002C5AFF">
        <w:rPr>
          <w:rFonts w:ascii="Garamond" w:hAnsi="Garamond"/>
          <w:i/>
          <w:sz w:val="24"/>
        </w:rPr>
        <w:t xml:space="preserve"> </w:t>
      </w:r>
      <w:proofErr w:type="spellStart"/>
      <w:r w:rsidRPr="002C5AFF">
        <w:rPr>
          <w:rFonts w:ascii="Garamond" w:hAnsi="Garamond"/>
          <w:i/>
          <w:sz w:val="24"/>
        </w:rPr>
        <w:t>iniuriandi</w:t>
      </w:r>
      <w:proofErr w:type="spellEnd"/>
      <w:r w:rsidRPr="00DA196C">
        <w:rPr>
          <w:rFonts w:ascii="Garamond" w:hAnsi="Garamond"/>
          <w:sz w:val="24"/>
        </w:rPr>
        <w:t>, mohl se žalobce domáhat nápravy skrze žalobu z</w:t>
      </w:r>
      <w:r w:rsidR="00AB3BC4" w:rsidRPr="00DA196C">
        <w:rPr>
          <w:rFonts w:ascii="Garamond" w:hAnsi="Garamond"/>
          <w:sz w:val="24"/>
        </w:rPr>
        <w:t> </w:t>
      </w:r>
      <w:r w:rsidRPr="00DA196C">
        <w:rPr>
          <w:rFonts w:ascii="Garamond" w:hAnsi="Garamond"/>
          <w:sz w:val="24"/>
        </w:rPr>
        <w:t>urážky</w:t>
      </w:r>
      <w:r w:rsidR="00AB3BC4" w:rsidRPr="00DA196C">
        <w:rPr>
          <w:rFonts w:ascii="Garamond" w:hAnsi="Garamond"/>
          <w:sz w:val="24"/>
        </w:rPr>
        <w:t xml:space="preserve"> (</w:t>
      </w:r>
      <w:proofErr w:type="spellStart"/>
      <w:r w:rsidRPr="002C5AFF">
        <w:rPr>
          <w:rFonts w:ascii="Garamond" w:hAnsi="Garamond"/>
          <w:i/>
          <w:sz w:val="24"/>
        </w:rPr>
        <w:t>actio</w:t>
      </w:r>
      <w:proofErr w:type="spellEnd"/>
      <w:r w:rsidRPr="002C5AFF">
        <w:rPr>
          <w:rFonts w:ascii="Garamond" w:hAnsi="Garamond"/>
          <w:i/>
          <w:sz w:val="24"/>
        </w:rPr>
        <w:t xml:space="preserve"> </w:t>
      </w:r>
      <w:proofErr w:type="spellStart"/>
      <w:r w:rsidR="00AB3BC4" w:rsidRPr="002C5AFF">
        <w:rPr>
          <w:rFonts w:ascii="Garamond" w:hAnsi="Garamond"/>
          <w:i/>
          <w:sz w:val="24"/>
        </w:rPr>
        <w:t>iniuriarum</w:t>
      </w:r>
      <w:proofErr w:type="spellEnd"/>
      <w:r w:rsidR="00AB3BC4" w:rsidRPr="002C5AFF">
        <w:rPr>
          <w:rFonts w:ascii="Garamond" w:hAnsi="Garamond"/>
          <w:i/>
          <w:sz w:val="24"/>
        </w:rPr>
        <w:t xml:space="preserve"> </w:t>
      </w:r>
      <w:proofErr w:type="spellStart"/>
      <w:r w:rsidR="00AB3BC4" w:rsidRPr="002C5AFF">
        <w:rPr>
          <w:rFonts w:ascii="Garamond" w:hAnsi="Garamond"/>
          <w:i/>
          <w:sz w:val="24"/>
        </w:rPr>
        <w:t>aestimatoria</w:t>
      </w:r>
      <w:proofErr w:type="spellEnd"/>
      <w:r w:rsidR="00AB3BC4" w:rsidRPr="00DA196C">
        <w:rPr>
          <w:rFonts w:ascii="Garamond" w:hAnsi="Garamond"/>
          <w:sz w:val="24"/>
        </w:rPr>
        <w:t>)</w:t>
      </w:r>
      <w:r w:rsidRPr="00DA196C">
        <w:rPr>
          <w:rFonts w:ascii="Garamond" w:hAnsi="Garamond"/>
          <w:sz w:val="24"/>
        </w:rPr>
        <w:t>.</w:t>
      </w:r>
      <w:r w:rsidR="003D792D" w:rsidRPr="00DA196C">
        <w:rPr>
          <w:rStyle w:val="Znakapoznpodarou"/>
          <w:rFonts w:ascii="Garamond" w:hAnsi="Garamond"/>
          <w:sz w:val="24"/>
        </w:rPr>
        <w:footnoteReference w:id="151"/>
      </w:r>
    </w:p>
    <w:p w:rsidR="00442436" w:rsidRPr="00DA196C" w:rsidRDefault="00783672" w:rsidP="00FA1FF7">
      <w:pPr>
        <w:pStyle w:val="Nadpis2"/>
        <w:contextualSpacing/>
      </w:pPr>
      <w:bookmarkStart w:id="39" w:name="_Toc36031965"/>
      <w:r w:rsidRPr="00DA196C">
        <w:t>Žaloba na rozdělení spoluvlastnictví</w:t>
      </w:r>
      <w:bookmarkEnd w:id="39"/>
    </w:p>
    <w:p w:rsidR="00AB3BC4" w:rsidRPr="00DA196C" w:rsidRDefault="004843AD" w:rsidP="00FA1FF7">
      <w:pPr>
        <w:spacing w:after="0" w:line="360" w:lineRule="auto"/>
        <w:ind w:firstLine="708"/>
        <w:contextualSpacing/>
        <w:jc w:val="both"/>
        <w:rPr>
          <w:rFonts w:ascii="Garamond" w:hAnsi="Garamond"/>
          <w:sz w:val="24"/>
        </w:rPr>
      </w:pPr>
      <w:proofErr w:type="spellStart"/>
      <w:r w:rsidRPr="002C5AFF">
        <w:rPr>
          <w:rFonts w:ascii="Garamond" w:hAnsi="Garamond"/>
          <w:i/>
          <w:sz w:val="24"/>
        </w:rPr>
        <w:t>Communio</w:t>
      </w:r>
      <w:proofErr w:type="spellEnd"/>
      <w:r w:rsidRPr="00DA196C">
        <w:rPr>
          <w:rFonts w:ascii="Garamond" w:hAnsi="Garamond"/>
          <w:sz w:val="24"/>
        </w:rPr>
        <w:t>, neboli spoluvlastnictví byl vlastnický vztah několika osob k jedné věci. Míra účasti spoluvlastníků na tomto vlastnickém vztahu byla určena spoluvlastnickým podílem, přičemž se jednalo o podíl ideální (</w:t>
      </w:r>
      <w:proofErr w:type="spellStart"/>
      <w:r w:rsidR="005D37E3" w:rsidRPr="002C5AFF">
        <w:rPr>
          <w:rFonts w:ascii="Garamond" w:hAnsi="Garamond"/>
          <w:i/>
          <w:sz w:val="24"/>
        </w:rPr>
        <w:t>pars</w:t>
      </w:r>
      <w:proofErr w:type="spellEnd"/>
      <w:r w:rsidR="005D37E3" w:rsidRPr="002C5AFF">
        <w:rPr>
          <w:rFonts w:ascii="Garamond" w:hAnsi="Garamond"/>
          <w:i/>
          <w:sz w:val="24"/>
        </w:rPr>
        <w:t xml:space="preserve"> pro </w:t>
      </w:r>
      <w:proofErr w:type="spellStart"/>
      <w:r w:rsidR="005D37E3" w:rsidRPr="002C5AFF">
        <w:rPr>
          <w:rFonts w:ascii="Garamond" w:hAnsi="Garamond"/>
          <w:i/>
          <w:sz w:val="24"/>
        </w:rPr>
        <w:t>indiviso</w:t>
      </w:r>
      <w:proofErr w:type="spellEnd"/>
      <w:r w:rsidR="005D37E3" w:rsidRPr="00DA196C">
        <w:rPr>
          <w:rFonts w:ascii="Garamond" w:hAnsi="Garamond"/>
          <w:sz w:val="24"/>
        </w:rPr>
        <w:t>)</w:t>
      </w:r>
      <w:r w:rsidRPr="00DA196C">
        <w:rPr>
          <w:rFonts w:ascii="Garamond" w:hAnsi="Garamond"/>
          <w:sz w:val="24"/>
        </w:rPr>
        <w:t xml:space="preserve">.  </w:t>
      </w:r>
      <w:r w:rsidR="005D37E3" w:rsidRPr="00DA196C">
        <w:rPr>
          <w:rFonts w:ascii="Garamond" w:hAnsi="Garamond"/>
          <w:sz w:val="24"/>
        </w:rPr>
        <w:t xml:space="preserve">Se svým podílem mohl spoluvlastník volně nakládat a též k němu uplatňovat své právo. Jak uvádí Kincl, </w:t>
      </w:r>
      <w:proofErr w:type="spellStart"/>
      <w:proofErr w:type="gramStart"/>
      <w:r w:rsidR="005D37E3" w:rsidRPr="00DA196C">
        <w:rPr>
          <w:rFonts w:ascii="Garamond" w:hAnsi="Garamond"/>
          <w:sz w:val="24"/>
        </w:rPr>
        <w:t>Urfus</w:t>
      </w:r>
      <w:proofErr w:type="spellEnd"/>
      <w:r w:rsidR="005D37E3" w:rsidRPr="00DA196C">
        <w:rPr>
          <w:rFonts w:ascii="Garamond" w:hAnsi="Garamond"/>
          <w:sz w:val="24"/>
        </w:rPr>
        <w:t xml:space="preserve"> , </w:t>
      </w:r>
      <w:proofErr w:type="spellStart"/>
      <w:r w:rsidR="005D37E3" w:rsidRPr="00DA196C">
        <w:rPr>
          <w:rFonts w:ascii="Garamond" w:hAnsi="Garamond"/>
          <w:sz w:val="24"/>
        </w:rPr>
        <w:t>Skřejpek</w:t>
      </w:r>
      <w:proofErr w:type="spellEnd"/>
      <w:proofErr w:type="gramEnd"/>
      <w:r w:rsidR="005D37E3" w:rsidRPr="00DA196C">
        <w:rPr>
          <w:rFonts w:ascii="Garamond" w:hAnsi="Garamond"/>
          <w:sz w:val="24"/>
        </w:rPr>
        <w:t xml:space="preserve">: </w:t>
      </w:r>
      <w:r w:rsidR="005D37E3" w:rsidRPr="00DA196C">
        <w:rPr>
          <w:rFonts w:ascii="Garamond" w:hAnsi="Garamond"/>
          <w:i/>
          <w:sz w:val="24"/>
        </w:rPr>
        <w:t xml:space="preserve">„..mohl např. svůj podíl </w:t>
      </w:r>
      <w:proofErr w:type="spellStart"/>
      <w:r w:rsidR="005D37E3" w:rsidRPr="00DA196C">
        <w:rPr>
          <w:rFonts w:ascii="Garamond" w:hAnsi="Garamond"/>
          <w:i/>
          <w:sz w:val="24"/>
        </w:rPr>
        <w:t>vindikovat</w:t>
      </w:r>
      <w:proofErr w:type="spellEnd"/>
      <w:r w:rsidR="005D37E3" w:rsidRPr="00DA196C">
        <w:rPr>
          <w:rFonts w:ascii="Garamond" w:hAnsi="Garamond"/>
          <w:i/>
          <w:sz w:val="24"/>
        </w:rPr>
        <w:t xml:space="preserve"> i proti druhému spoluvlastníku, aby jej donutil uznat jeho právo.“</w:t>
      </w:r>
      <w:r w:rsidR="005D37E3" w:rsidRPr="00DA196C">
        <w:rPr>
          <w:rStyle w:val="Znakapoznpodarou"/>
          <w:rFonts w:ascii="Garamond" w:hAnsi="Garamond"/>
          <w:i/>
          <w:sz w:val="24"/>
        </w:rPr>
        <w:footnoteReference w:id="152"/>
      </w:r>
      <w:r w:rsidR="005D37E3" w:rsidRPr="00DA196C">
        <w:rPr>
          <w:rFonts w:ascii="Garamond" w:hAnsi="Garamond"/>
          <w:sz w:val="24"/>
        </w:rPr>
        <w:t>, a jak bylo již zmíněno v kapitole 2.1, byl spoluvlastník aktivně legitimován též k </w:t>
      </w:r>
      <w:proofErr w:type="spellStart"/>
      <w:r w:rsidR="005D37E3" w:rsidRPr="002C5AFF">
        <w:rPr>
          <w:rFonts w:ascii="Garamond" w:hAnsi="Garamond"/>
          <w:i/>
          <w:sz w:val="24"/>
        </w:rPr>
        <w:t>vindicatio</w:t>
      </w:r>
      <w:proofErr w:type="spellEnd"/>
      <w:r w:rsidR="005D37E3" w:rsidRPr="002C5AFF">
        <w:rPr>
          <w:rFonts w:ascii="Garamond" w:hAnsi="Garamond"/>
          <w:i/>
          <w:sz w:val="24"/>
        </w:rPr>
        <w:t xml:space="preserve"> </w:t>
      </w:r>
      <w:proofErr w:type="spellStart"/>
      <w:r w:rsidR="005D37E3" w:rsidRPr="002C5AFF">
        <w:rPr>
          <w:rFonts w:ascii="Garamond" w:hAnsi="Garamond"/>
          <w:i/>
          <w:sz w:val="24"/>
        </w:rPr>
        <w:t>partis</w:t>
      </w:r>
      <w:proofErr w:type="spellEnd"/>
      <w:r w:rsidR="005D37E3" w:rsidRPr="00DA196C">
        <w:rPr>
          <w:rFonts w:ascii="Garamond" w:hAnsi="Garamond"/>
          <w:sz w:val="24"/>
        </w:rPr>
        <w:t xml:space="preserve">. </w:t>
      </w:r>
    </w:p>
    <w:p w:rsidR="002C5AFF" w:rsidRDefault="005D37E3" w:rsidP="00FA1FF7">
      <w:pPr>
        <w:spacing w:after="0" w:line="360" w:lineRule="auto"/>
        <w:ind w:firstLine="708"/>
        <w:contextualSpacing/>
        <w:jc w:val="both"/>
        <w:rPr>
          <w:rFonts w:ascii="Garamond" w:hAnsi="Garamond"/>
          <w:sz w:val="24"/>
        </w:rPr>
      </w:pPr>
      <w:r w:rsidRPr="00DA196C">
        <w:rPr>
          <w:rFonts w:ascii="Garamond" w:hAnsi="Garamond"/>
          <w:sz w:val="24"/>
        </w:rPr>
        <w:t xml:space="preserve">Jestliže ale šlo o spoluvlastnický vztah jako takový, tedy vzájemné poměry mezi jednotlivými spoluvlastníky, bylo třeba užít </w:t>
      </w:r>
      <w:proofErr w:type="spellStart"/>
      <w:r w:rsidRPr="002C5AFF">
        <w:rPr>
          <w:rFonts w:ascii="Garamond" w:hAnsi="Garamond"/>
          <w:i/>
          <w:sz w:val="24"/>
        </w:rPr>
        <w:t>actio</w:t>
      </w:r>
      <w:proofErr w:type="spellEnd"/>
      <w:r w:rsidRPr="002C5AFF">
        <w:rPr>
          <w:rFonts w:ascii="Garamond" w:hAnsi="Garamond"/>
          <w:i/>
          <w:sz w:val="24"/>
        </w:rPr>
        <w:t xml:space="preserve"> </w:t>
      </w:r>
      <w:proofErr w:type="spellStart"/>
      <w:r w:rsidRPr="002C5AFF">
        <w:rPr>
          <w:rFonts w:ascii="Garamond" w:hAnsi="Garamond"/>
          <w:i/>
          <w:sz w:val="24"/>
        </w:rPr>
        <w:t>communi</w:t>
      </w:r>
      <w:proofErr w:type="spellEnd"/>
      <w:r w:rsidRPr="002C5AFF">
        <w:rPr>
          <w:rFonts w:ascii="Garamond" w:hAnsi="Garamond"/>
          <w:i/>
          <w:sz w:val="24"/>
        </w:rPr>
        <w:t xml:space="preserve"> </w:t>
      </w:r>
      <w:proofErr w:type="spellStart"/>
      <w:r w:rsidRPr="002C5AFF">
        <w:rPr>
          <w:rFonts w:ascii="Garamond" w:hAnsi="Garamond"/>
          <w:i/>
          <w:sz w:val="24"/>
        </w:rPr>
        <w:t>dividundo</w:t>
      </w:r>
      <w:proofErr w:type="spellEnd"/>
      <w:r w:rsidRPr="00DA196C">
        <w:rPr>
          <w:rFonts w:ascii="Garamond" w:hAnsi="Garamond"/>
          <w:sz w:val="24"/>
        </w:rPr>
        <w:t xml:space="preserve">, tedy žalobu na rozdělení spoluvlastnictví. Touto žalobou bylo možné dosáhnout zrušení </w:t>
      </w:r>
      <w:r w:rsidR="00F7040E" w:rsidRPr="00DA196C">
        <w:rPr>
          <w:rFonts w:ascii="Garamond" w:hAnsi="Garamond"/>
          <w:sz w:val="24"/>
        </w:rPr>
        <w:t xml:space="preserve">spoluvlastnictví, vypořádání </w:t>
      </w:r>
      <w:r w:rsidR="00F7040E" w:rsidRPr="00DA196C">
        <w:rPr>
          <w:rFonts w:ascii="Garamond" w:hAnsi="Garamond"/>
          <w:sz w:val="24"/>
        </w:rPr>
        <w:lastRenderedPageBreak/>
        <w:t xml:space="preserve">nároků spoluvlastníků a rozdělení dělitelných věcí, v případě nedělitelných věcí docházelo k přiřknutí držby jednomu ze spoluvlastníků a ostatním příslušela náhrada. Za dob </w:t>
      </w:r>
      <w:proofErr w:type="spellStart"/>
      <w:r w:rsidR="00F7040E" w:rsidRPr="00DA196C">
        <w:rPr>
          <w:rFonts w:ascii="Garamond" w:hAnsi="Garamond"/>
          <w:sz w:val="24"/>
        </w:rPr>
        <w:t>justiniánského</w:t>
      </w:r>
      <w:proofErr w:type="spellEnd"/>
      <w:r w:rsidR="00F7040E" w:rsidRPr="00DA196C">
        <w:rPr>
          <w:rFonts w:ascii="Garamond" w:hAnsi="Garamond"/>
          <w:sz w:val="24"/>
        </w:rPr>
        <w:t xml:space="preserve"> práva bylo možno žalobu užít k vypořádání nároků mezi spoluvlastníky i bez současného zrušení spoluvlastnictví.</w:t>
      </w:r>
      <w:r w:rsidR="00F7040E" w:rsidRPr="00DA196C">
        <w:rPr>
          <w:rStyle w:val="Znakapoznpodarou"/>
          <w:rFonts w:ascii="Garamond" w:hAnsi="Garamond"/>
          <w:sz w:val="24"/>
        </w:rPr>
        <w:footnoteReference w:id="153"/>
      </w:r>
    </w:p>
    <w:p w:rsidR="005D37E3" w:rsidRPr="00DA196C" w:rsidRDefault="002C5AFF" w:rsidP="00FA1FF7">
      <w:pPr>
        <w:spacing w:line="360" w:lineRule="auto"/>
        <w:contextualSpacing/>
        <w:jc w:val="both"/>
        <w:rPr>
          <w:rFonts w:ascii="Garamond" w:hAnsi="Garamond"/>
          <w:sz w:val="24"/>
        </w:rPr>
      </w:pPr>
      <w:r>
        <w:rPr>
          <w:rFonts w:ascii="Garamond" w:hAnsi="Garamond"/>
          <w:sz w:val="24"/>
        </w:rPr>
        <w:br w:type="page"/>
      </w:r>
    </w:p>
    <w:p w:rsidR="007F5B9F" w:rsidRPr="00AA307D" w:rsidRDefault="00096074" w:rsidP="00FA1FF7">
      <w:pPr>
        <w:pStyle w:val="Nadpis1"/>
        <w:numPr>
          <w:ilvl w:val="0"/>
          <w:numId w:val="0"/>
        </w:numPr>
        <w:contextualSpacing/>
      </w:pPr>
      <w:bookmarkStart w:id="40" w:name="_Toc36031966"/>
      <w:r w:rsidRPr="00AA307D">
        <w:lastRenderedPageBreak/>
        <w:t>Závěr</w:t>
      </w:r>
      <w:bookmarkEnd w:id="40"/>
    </w:p>
    <w:p w:rsidR="009D5D74" w:rsidRPr="00AA307D" w:rsidRDefault="009D5D74" w:rsidP="00FA1FF7">
      <w:pPr>
        <w:spacing w:line="360" w:lineRule="auto"/>
        <w:ind w:firstLine="708"/>
        <w:contextualSpacing/>
        <w:jc w:val="both"/>
        <w:rPr>
          <w:rFonts w:ascii="Garamond" w:hAnsi="Garamond"/>
          <w:sz w:val="24"/>
          <w:szCs w:val="24"/>
        </w:rPr>
      </w:pPr>
      <w:r w:rsidRPr="00AA307D">
        <w:rPr>
          <w:rFonts w:ascii="Garamond" w:hAnsi="Garamond"/>
          <w:sz w:val="24"/>
          <w:szCs w:val="24"/>
        </w:rPr>
        <w:t xml:space="preserve">Cílem mojí diplomové práce bylo vytvořit ucelený pohled na to, jak probíhal civilní proces v případě </w:t>
      </w:r>
      <w:proofErr w:type="spellStart"/>
      <w:r w:rsidRPr="00AA307D">
        <w:rPr>
          <w:rFonts w:ascii="Garamond" w:hAnsi="Garamond"/>
          <w:sz w:val="24"/>
          <w:szCs w:val="24"/>
        </w:rPr>
        <w:t>reivindikace</w:t>
      </w:r>
      <w:proofErr w:type="spellEnd"/>
      <w:r w:rsidRPr="00AA307D">
        <w:rPr>
          <w:rFonts w:ascii="Garamond" w:hAnsi="Garamond"/>
          <w:sz w:val="24"/>
          <w:szCs w:val="24"/>
        </w:rPr>
        <w:t xml:space="preserve"> v římském právu a též poukázat na případné shody či odlišnosti co se tý</w:t>
      </w:r>
      <w:r w:rsidR="00AA307D" w:rsidRPr="00AA307D">
        <w:rPr>
          <w:rFonts w:ascii="Garamond" w:hAnsi="Garamond"/>
          <w:sz w:val="24"/>
          <w:szCs w:val="24"/>
        </w:rPr>
        <w:t xml:space="preserve">če současné české právní úpravy. Jak v současné právní úpravě, tak i v římském právu byla totiž </w:t>
      </w:r>
      <w:proofErr w:type="spellStart"/>
      <w:r w:rsidR="00AA307D" w:rsidRPr="00AA307D">
        <w:rPr>
          <w:rFonts w:ascii="Garamond" w:hAnsi="Garamond"/>
          <w:sz w:val="24"/>
          <w:szCs w:val="24"/>
        </w:rPr>
        <w:t>reivindikační</w:t>
      </w:r>
      <w:proofErr w:type="spellEnd"/>
      <w:r w:rsidR="00AA307D" w:rsidRPr="00AA307D">
        <w:rPr>
          <w:rFonts w:ascii="Garamond" w:hAnsi="Garamond"/>
          <w:sz w:val="24"/>
          <w:szCs w:val="24"/>
        </w:rPr>
        <w:t xml:space="preserve"> žaloba velmi významným prostředkem ochrany vlastnického práva.</w:t>
      </w:r>
    </w:p>
    <w:p w:rsidR="009D5D74" w:rsidRPr="00AA307D" w:rsidRDefault="009D5D74" w:rsidP="00FA1FF7">
      <w:pPr>
        <w:spacing w:line="360" w:lineRule="auto"/>
        <w:ind w:firstLine="708"/>
        <w:contextualSpacing/>
        <w:jc w:val="both"/>
        <w:rPr>
          <w:rFonts w:ascii="Garamond" w:hAnsi="Garamond"/>
          <w:sz w:val="24"/>
          <w:szCs w:val="24"/>
        </w:rPr>
      </w:pPr>
      <w:r w:rsidRPr="00AA307D">
        <w:rPr>
          <w:rFonts w:ascii="Garamond" w:hAnsi="Garamond"/>
          <w:sz w:val="24"/>
          <w:szCs w:val="24"/>
        </w:rPr>
        <w:t xml:space="preserve">K vypracování diplomové práce jsem využila jednak původní prameny římského práva, jako zákon XII desek, Corpus </w:t>
      </w:r>
      <w:proofErr w:type="spellStart"/>
      <w:r w:rsidRPr="00AA307D">
        <w:rPr>
          <w:rFonts w:ascii="Garamond" w:hAnsi="Garamond"/>
          <w:sz w:val="24"/>
          <w:szCs w:val="24"/>
        </w:rPr>
        <w:t>Iuris</w:t>
      </w:r>
      <w:proofErr w:type="spellEnd"/>
      <w:r w:rsidRPr="00AA307D">
        <w:rPr>
          <w:rFonts w:ascii="Garamond" w:hAnsi="Garamond"/>
          <w:sz w:val="24"/>
          <w:szCs w:val="24"/>
        </w:rPr>
        <w:t xml:space="preserve"> </w:t>
      </w:r>
      <w:proofErr w:type="spellStart"/>
      <w:r w:rsidRPr="00AA307D">
        <w:rPr>
          <w:rFonts w:ascii="Garamond" w:hAnsi="Garamond"/>
          <w:sz w:val="24"/>
          <w:szCs w:val="24"/>
        </w:rPr>
        <w:t>Civilis</w:t>
      </w:r>
      <w:proofErr w:type="spellEnd"/>
      <w:r w:rsidRPr="00AA307D">
        <w:rPr>
          <w:rFonts w:ascii="Garamond" w:hAnsi="Garamond"/>
          <w:sz w:val="24"/>
          <w:szCs w:val="24"/>
        </w:rPr>
        <w:t xml:space="preserve"> (především </w:t>
      </w:r>
      <w:proofErr w:type="spellStart"/>
      <w:r w:rsidRPr="00AA307D">
        <w:rPr>
          <w:rFonts w:ascii="Garamond" w:hAnsi="Garamond"/>
          <w:sz w:val="24"/>
          <w:szCs w:val="24"/>
        </w:rPr>
        <w:t>Digesta</w:t>
      </w:r>
      <w:proofErr w:type="spellEnd"/>
      <w:r w:rsidRPr="00AA307D">
        <w:rPr>
          <w:rFonts w:ascii="Garamond" w:hAnsi="Garamond"/>
          <w:sz w:val="24"/>
          <w:szCs w:val="24"/>
        </w:rPr>
        <w:t xml:space="preserve"> </w:t>
      </w:r>
      <w:proofErr w:type="spellStart"/>
      <w:r w:rsidRPr="00AA307D">
        <w:rPr>
          <w:rFonts w:ascii="Garamond" w:hAnsi="Garamond"/>
          <w:sz w:val="24"/>
          <w:szCs w:val="24"/>
        </w:rPr>
        <w:t>seu</w:t>
      </w:r>
      <w:proofErr w:type="spellEnd"/>
      <w:r w:rsidRPr="00AA307D">
        <w:rPr>
          <w:rFonts w:ascii="Garamond" w:hAnsi="Garamond"/>
          <w:sz w:val="24"/>
          <w:szCs w:val="24"/>
        </w:rPr>
        <w:t xml:space="preserve"> </w:t>
      </w:r>
      <w:proofErr w:type="spellStart"/>
      <w:r w:rsidRPr="00AA307D">
        <w:rPr>
          <w:rFonts w:ascii="Garamond" w:hAnsi="Garamond"/>
          <w:sz w:val="24"/>
          <w:szCs w:val="24"/>
        </w:rPr>
        <w:t>Pandectae</w:t>
      </w:r>
      <w:proofErr w:type="spellEnd"/>
      <w:r w:rsidRPr="00AA307D">
        <w:rPr>
          <w:rFonts w:ascii="Garamond" w:hAnsi="Garamond"/>
          <w:sz w:val="24"/>
          <w:szCs w:val="24"/>
        </w:rPr>
        <w:t>), a též jejich anglické a české překlady, a dále jsem též využila novějších materiálů. Jednalo se především o učebnice římského práva, encyklopedie a další odborné monografie a články zabývající se problematikou římského práva. Část práce zabývající se současnou právní úpravou jsem zpracovala na základě aktuálně platných a účinných právních předpisů a dále též na základě judikatury a komentářové literatury.</w:t>
      </w:r>
    </w:p>
    <w:p w:rsidR="009D5D74" w:rsidRDefault="009D5D74" w:rsidP="00FA1FF7">
      <w:pPr>
        <w:spacing w:line="360" w:lineRule="auto"/>
        <w:ind w:firstLine="708"/>
        <w:contextualSpacing/>
        <w:jc w:val="both"/>
        <w:rPr>
          <w:rFonts w:ascii="Garamond" w:hAnsi="Garamond"/>
          <w:sz w:val="24"/>
          <w:szCs w:val="24"/>
        </w:rPr>
      </w:pPr>
      <w:r w:rsidRPr="00AA307D">
        <w:rPr>
          <w:rFonts w:ascii="Garamond" w:hAnsi="Garamond"/>
          <w:sz w:val="24"/>
          <w:szCs w:val="24"/>
        </w:rPr>
        <w:t xml:space="preserve">Z diplomové práce vyplývá, </w:t>
      </w:r>
      <w:r w:rsidR="00F31322">
        <w:rPr>
          <w:rFonts w:ascii="Garamond" w:hAnsi="Garamond"/>
          <w:sz w:val="24"/>
          <w:szCs w:val="24"/>
        </w:rPr>
        <w:t xml:space="preserve">jak jsem předvídala, </w:t>
      </w:r>
      <w:r w:rsidRPr="00AA307D">
        <w:rPr>
          <w:rFonts w:ascii="Garamond" w:hAnsi="Garamond"/>
          <w:sz w:val="24"/>
          <w:szCs w:val="24"/>
        </w:rPr>
        <w:t>že</w:t>
      </w:r>
      <w:r w:rsidR="00F31322">
        <w:rPr>
          <w:rFonts w:ascii="Garamond" w:hAnsi="Garamond"/>
          <w:sz w:val="24"/>
          <w:szCs w:val="24"/>
        </w:rPr>
        <w:t xml:space="preserve"> současná česká právní úprava </w:t>
      </w:r>
      <w:proofErr w:type="spellStart"/>
      <w:r w:rsidR="00F31322">
        <w:rPr>
          <w:rFonts w:ascii="Garamond" w:hAnsi="Garamond"/>
          <w:sz w:val="24"/>
          <w:szCs w:val="24"/>
        </w:rPr>
        <w:t>reivindikace</w:t>
      </w:r>
      <w:proofErr w:type="spellEnd"/>
      <w:r w:rsidR="00F31322">
        <w:rPr>
          <w:rFonts w:ascii="Garamond" w:hAnsi="Garamond"/>
          <w:sz w:val="24"/>
          <w:szCs w:val="24"/>
        </w:rPr>
        <w:t xml:space="preserve"> vykazuje mnoho shod s úpravou římskoprávní. Především poklasická římskoprávní úprava je současné právní úpravě v mnoha ohledech </w:t>
      </w:r>
      <w:r w:rsidR="004705EC">
        <w:rPr>
          <w:rFonts w:ascii="Garamond" w:hAnsi="Garamond"/>
          <w:sz w:val="24"/>
          <w:szCs w:val="24"/>
        </w:rPr>
        <w:t>blízká</w:t>
      </w:r>
      <w:r w:rsidR="00F31322">
        <w:rPr>
          <w:rFonts w:ascii="Garamond" w:hAnsi="Garamond"/>
          <w:sz w:val="24"/>
          <w:szCs w:val="24"/>
        </w:rPr>
        <w:t xml:space="preserve">, naopak nejvýraznější odlišnosti oproti současné právní úpravě </w:t>
      </w:r>
      <w:proofErr w:type="spellStart"/>
      <w:r w:rsidR="00F31322">
        <w:rPr>
          <w:rFonts w:ascii="Garamond" w:hAnsi="Garamond"/>
          <w:sz w:val="24"/>
          <w:szCs w:val="24"/>
        </w:rPr>
        <w:t>reivindikační</w:t>
      </w:r>
      <w:proofErr w:type="spellEnd"/>
      <w:r w:rsidR="00F31322">
        <w:rPr>
          <w:rFonts w:ascii="Garamond" w:hAnsi="Garamond"/>
          <w:sz w:val="24"/>
          <w:szCs w:val="24"/>
        </w:rPr>
        <w:t xml:space="preserve"> žaloby vykazovala římskoprávní úprava z dob </w:t>
      </w:r>
      <w:proofErr w:type="spellStart"/>
      <w:r w:rsidR="00F31322">
        <w:rPr>
          <w:rFonts w:ascii="Garamond" w:hAnsi="Garamond"/>
          <w:sz w:val="24"/>
          <w:szCs w:val="24"/>
        </w:rPr>
        <w:t>legisakčního</w:t>
      </w:r>
      <w:proofErr w:type="spellEnd"/>
      <w:r w:rsidR="00F31322">
        <w:rPr>
          <w:rFonts w:ascii="Garamond" w:hAnsi="Garamond"/>
          <w:sz w:val="24"/>
          <w:szCs w:val="24"/>
        </w:rPr>
        <w:t xml:space="preserve"> procesu. Ú</w:t>
      </w:r>
      <w:r w:rsidR="00AA307D">
        <w:rPr>
          <w:rFonts w:ascii="Garamond" w:hAnsi="Garamond"/>
          <w:sz w:val="24"/>
          <w:szCs w:val="24"/>
        </w:rPr>
        <w:t xml:space="preserve">čelem </w:t>
      </w:r>
      <w:proofErr w:type="spellStart"/>
      <w:r w:rsidR="00AA307D">
        <w:rPr>
          <w:rFonts w:ascii="Garamond" w:hAnsi="Garamond"/>
          <w:sz w:val="24"/>
          <w:szCs w:val="24"/>
        </w:rPr>
        <w:t>reivindikační</w:t>
      </w:r>
      <w:proofErr w:type="spellEnd"/>
      <w:r w:rsidR="00AA307D">
        <w:rPr>
          <w:rFonts w:ascii="Garamond" w:hAnsi="Garamond"/>
          <w:sz w:val="24"/>
          <w:szCs w:val="24"/>
        </w:rPr>
        <w:t xml:space="preserve"> žaloby jak za dob římského práva, tak i v současnosti, </w:t>
      </w:r>
      <w:r w:rsidR="00F31322">
        <w:rPr>
          <w:rFonts w:ascii="Garamond" w:hAnsi="Garamond"/>
          <w:sz w:val="24"/>
          <w:szCs w:val="24"/>
        </w:rPr>
        <w:t>je</w:t>
      </w:r>
      <w:r w:rsidR="00AA307D">
        <w:rPr>
          <w:rFonts w:ascii="Garamond" w:hAnsi="Garamond"/>
          <w:sz w:val="24"/>
          <w:szCs w:val="24"/>
        </w:rPr>
        <w:t xml:space="preserve"> ochrana vlastnického práva. Ačkoli se </w:t>
      </w:r>
      <w:r w:rsidR="00F31322">
        <w:rPr>
          <w:rFonts w:ascii="Garamond" w:hAnsi="Garamond"/>
          <w:sz w:val="24"/>
          <w:szCs w:val="24"/>
        </w:rPr>
        <w:t>v dřívějších dobách římského práva do jisté míry lišilo pojetí vlastnického práva</w:t>
      </w:r>
      <w:r w:rsidR="00D25E6F">
        <w:rPr>
          <w:rFonts w:ascii="Garamond" w:hAnsi="Garamond"/>
          <w:sz w:val="24"/>
          <w:szCs w:val="24"/>
        </w:rPr>
        <w:t xml:space="preserve">, jednalo se po celou dobu, a je tomu tak i dnes, o ochranu nedržícího vlastníka proti tomu, kdo věc neprávem zadržuje. Lze tedy obecně říci, že podstata </w:t>
      </w:r>
      <w:proofErr w:type="spellStart"/>
      <w:r w:rsidR="00D25E6F">
        <w:rPr>
          <w:rFonts w:ascii="Garamond" w:hAnsi="Garamond"/>
          <w:sz w:val="24"/>
          <w:szCs w:val="24"/>
        </w:rPr>
        <w:t>reivindikační</w:t>
      </w:r>
      <w:proofErr w:type="spellEnd"/>
      <w:r w:rsidR="00D25E6F">
        <w:rPr>
          <w:rFonts w:ascii="Garamond" w:hAnsi="Garamond"/>
          <w:sz w:val="24"/>
          <w:szCs w:val="24"/>
        </w:rPr>
        <w:t xml:space="preserve"> žaloby zůstala v čase zachována. Nejvýraznější odlišnosti oproti současné právní úpravě vykazovala </w:t>
      </w:r>
      <w:proofErr w:type="spellStart"/>
      <w:r w:rsidR="00D25E6F">
        <w:rPr>
          <w:rFonts w:ascii="Garamond" w:hAnsi="Garamond"/>
          <w:sz w:val="24"/>
          <w:szCs w:val="24"/>
        </w:rPr>
        <w:t>reivindikační</w:t>
      </w:r>
      <w:proofErr w:type="spellEnd"/>
      <w:r w:rsidR="00D25E6F">
        <w:rPr>
          <w:rFonts w:ascii="Garamond" w:hAnsi="Garamond"/>
          <w:sz w:val="24"/>
          <w:szCs w:val="24"/>
        </w:rPr>
        <w:t xml:space="preserve"> žaloba, co se povinnosti odsuzujícím rozsudkem uložené a následného výkonu rozhodnutí týče, a to za dob </w:t>
      </w:r>
      <w:proofErr w:type="spellStart"/>
      <w:r w:rsidR="00D25E6F">
        <w:rPr>
          <w:rFonts w:ascii="Garamond" w:hAnsi="Garamond"/>
          <w:sz w:val="24"/>
          <w:szCs w:val="24"/>
        </w:rPr>
        <w:t>legisakčního</w:t>
      </w:r>
      <w:proofErr w:type="spellEnd"/>
      <w:r w:rsidR="00D25E6F">
        <w:rPr>
          <w:rFonts w:ascii="Garamond" w:hAnsi="Garamond"/>
          <w:sz w:val="24"/>
          <w:szCs w:val="24"/>
        </w:rPr>
        <w:t xml:space="preserve"> a formulového procesu. Oproti současné právní úpravě a pozdější římskoprávní úpravě totiž nebylo možno uložit žalovanému přímo povinnost věc vydat</w:t>
      </w:r>
      <w:r w:rsidR="004B5C1B">
        <w:rPr>
          <w:rFonts w:ascii="Garamond" w:hAnsi="Garamond"/>
          <w:sz w:val="24"/>
          <w:szCs w:val="24"/>
        </w:rPr>
        <w:t xml:space="preserve"> a toto vydání vynutit a diametrálně odlišný byl též způsob výkonu rozhodnutí, kdy mohlo dojít k osobní exekuci, případně univerzální majetkové exekuci. Naopak značné shody se objevují, co se předmětu </w:t>
      </w:r>
      <w:proofErr w:type="spellStart"/>
      <w:r w:rsidR="004B5C1B">
        <w:rPr>
          <w:rFonts w:ascii="Garamond" w:hAnsi="Garamond"/>
          <w:sz w:val="24"/>
          <w:szCs w:val="24"/>
        </w:rPr>
        <w:t>reivindikace</w:t>
      </w:r>
      <w:proofErr w:type="spellEnd"/>
      <w:r w:rsidR="004B5C1B">
        <w:rPr>
          <w:rFonts w:ascii="Garamond" w:hAnsi="Garamond"/>
          <w:sz w:val="24"/>
          <w:szCs w:val="24"/>
        </w:rPr>
        <w:t xml:space="preserve">, </w:t>
      </w:r>
      <w:r w:rsidR="00212867">
        <w:rPr>
          <w:rFonts w:ascii="Garamond" w:hAnsi="Garamond"/>
          <w:sz w:val="24"/>
          <w:szCs w:val="24"/>
        </w:rPr>
        <w:t xml:space="preserve">dokazovaní a </w:t>
      </w:r>
      <w:r w:rsidR="004B5C1B">
        <w:rPr>
          <w:rFonts w:ascii="Garamond" w:hAnsi="Garamond"/>
          <w:sz w:val="24"/>
          <w:szCs w:val="24"/>
        </w:rPr>
        <w:t xml:space="preserve">do </w:t>
      </w:r>
      <w:r w:rsidR="004705EC">
        <w:rPr>
          <w:rFonts w:ascii="Garamond" w:hAnsi="Garamond"/>
          <w:sz w:val="24"/>
          <w:szCs w:val="24"/>
        </w:rPr>
        <w:t>značné</w:t>
      </w:r>
      <w:r w:rsidR="004B5C1B">
        <w:rPr>
          <w:rFonts w:ascii="Garamond" w:hAnsi="Garamond"/>
          <w:sz w:val="24"/>
          <w:szCs w:val="24"/>
        </w:rPr>
        <w:t xml:space="preserve"> míry</w:t>
      </w:r>
      <w:r w:rsidR="004705EC">
        <w:rPr>
          <w:rFonts w:ascii="Garamond" w:hAnsi="Garamond"/>
          <w:sz w:val="24"/>
          <w:szCs w:val="24"/>
        </w:rPr>
        <w:t xml:space="preserve"> i</w:t>
      </w:r>
      <w:r w:rsidR="004B5C1B">
        <w:rPr>
          <w:rFonts w:ascii="Garamond" w:hAnsi="Garamond"/>
          <w:sz w:val="24"/>
          <w:szCs w:val="24"/>
        </w:rPr>
        <w:t xml:space="preserve"> aktivní a pasivní legitimace týče. </w:t>
      </w:r>
    </w:p>
    <w:p w:rsidR="004B5C1B" w:rsidRPr="00AA307D" w:rsidRDefault="00212867" w:rsidP="00FA1FF7">
      <w:pPr>
        <w:spacing w:line="360" w:lineRule="auto"/>
        <w:ind w:firstLine="708"/>
        <w:contextualSpacing/>
        <w:jc w:val="both"/>
        <w:rPr>
          <w:rFonts w:ascii="Garamond" w:hAnsi="Garamond"/>
          <w:sz w:val="24"/>
          <w:szCs w:val="24"/>
        </w:rPr>
      </w:pPr>
      <w:proofErr w:type="spellStart"/>
      <w:r>
        <w:rPr>
          <w:rFonts w:ascii="Garamond" w:hAnsi="Garamond"/>
          <w:sz w:val="24"/>
          <w:szCs w:val="24"/>
        </w:rPr>
        <w:t>Reivindikační</w:t>
      </w:r>
      <w:proofErr w:type="spellEnd"/>
      <w:r>
        <w:rPr>
          <w:rFonts w:ascii="Garamond" w:hAnsi="Garamond"/>
          <w:sz w:val="24"/>
          <w:szCs w:val="24"/>
        </w:rPr>
        <w:t xml:space="preserve"> žaloba v římském právu (především v pozdějších dobách) tedy byla značně podobná dnešní </w:t>
      </w:r>
      <w:proofErr w:type="spellStart"/>
      <w:r>
        <w:rPr>
          <w:rFonts w:ascii="Garamond" w:hAnsi="Garamond"/>
          <w:sz w:val="24"/>
          <w:szCs w:val="24"/>
        </w:rPr>
        <w:t>reivindikační</w:t>
      </w:r>
      <w:proofErr w:type="spellEnd"/>
      <w:r>
        <w:rPr>
          <w:rFonts w:ascii="Garamond" w:hAnsi="Garamond"/>
          <w:sz w:val="24"/>
          <w:szCs w:val="24"/>
        </w:rPr>
        <w:t xml:space="preserve"> žalobě</w:t>
      </w:r>
      <w:r w:rsidR="004705EC">
        <w:rPr>
          <w:rFonts w:ascii="Garamond" w:hAnsi="Garamond"/>
          <w:sz w:val="24"/>
          <w:szCs w:val="24"/>
        </w:rPr>
        <w:t>, kdy římskoprávní úprava byla nepochybně východiskem pro tu současnou</w:t>
      </w:r>
      <w:r>
        <w:rPr>
          <w:rFonts w:ascii="Garamond" w:hAnsi="Garamond"/>
          <w:sz w:val="24"/>
          <w:szCs w:val="24"/>
        </w:rPr>
        <w:t>.</w:t>
      </w:r>
      <w:r w:rsidR="004705EC">
        <w:rPr>
          <w:rFonts w:ascii="Garamond" w:hAnsi="Garamond"/>
          <w:sz w:val="24"/>
          <w:szCs w:val="24"/>
        </w:rPr>
        <w:t xml:space="preserve"> </w:t>
      </w:r>
      <w:r>
        <w:rPr>
          <w:rFonts w:ascii="Garamond" w:hAnsi="Garamond"/>
          <w:sz w:val="24"/>
          <w:szCs w:val="24"/>
        </w:rPr>
        <w:t>Zejména byla</w:t>
      </w:r>
      <w:r w:rsidR="004705EC">
        <w:rPr>
          <w:rFonts w:ascii="Garamond" w:hAnsi="Garamond"/>
          <w:sz w:val="24"/>
          <w:szCs w:val="24"/>
        </w:rPr>
        <w:t xml:space="preserve"> </w:t>
      </w:r>
      <w:proofErr w:type="spellStart"/>
      <w:r w:rsidR="004705EC">
        <w:rPr>
          <w:rFonts w:ascii="Garamond" w:hAnsi="Garamond"/>
          <w:sz w:val="24"/>
          <w:szCs w:val="24"/>
        </w:rPr>
        <w:t>reivindikační</w:t>
      </w:r>
      <w:proofErr w:type="spellEnd"/>
      <w:r w:rsidR="004705EC">
        <w:rPr>
          <w:rFonts w:ascii="Garamond" w:hAnsi="Garamond"/>
          <w:sz w:val="24"/>
          <w:szCs w:val="24"/>
        </w:rPr>
        <w:t xml:space="preserve"> žaloba</w:t>
      </w:r>
      <w:r>
        <w:rPr>
          <w:rFonts w:ascii="Garamond" w:hAnsi="Garamond"/>
          <w:sz w:val="24"/>
          <w:szCs w:val="24"/>
        </w:rPr>
        <w:t xml:space="preserve"> shodná svým smyslem a účelem a shodovala či podobala se též </w:t>
      </w:r>
      <w:r w:rsidR="00A06498">
        <w:rPr>
          <w:rFonts w:ascii="Garamond" w:hAnsi="Garamond"/>
          <w:sz w:val="24"/>
          <w:szCs w:val="24"/>
        </w:rPr>
        <w:t xml:space="preserve">značná část procesních postupů a pravidel, nicméně s ohledem na značný časový odstup římské a dnešní právní úpravy a též </w:t>
      </w:r>
      <w:proofErr w:type="spellStart"/>
      <w:r w:rsidR="00A06498">
        <w:rPr>
          <w:rFonts w:ascii="Garamond" w:hAnsi="Garamond"/>
          <w:sz w:val="24"/>
          <w:szCs w:val="24"/>
        </w:rPr>
        <w:t>sociokulturní</w:t>
      </w:r>
      <w:proofErr w:type="spellEnd"/>
      <w:r w:rsidR="00A06498">
        <w:rPr>
          <w:rFonts w:ascii="Garamond" w:hAnsi="Garamond"/>
          <w:sz w:val="24"/>
          <w:szCs w:val="24"/>
        </w:rPr>
        <w:t xml:space="preserve"> </w:t>
      </w:r>
      <w:r w:rsidR="004705EC">
        <w:rPr>
          <w:rFonts w:ascii="Garamond" w:hAnsi="Garamond"/>
          <w:sz w:val="24"/>
          <w:szCs w:val="24"/>
        </w:rPr>
        <w:t>odlišnosti je nevyhnutelné, aby se vyskytovalo v úpravě též množství odlišností, což se v práci potvrdilo.</w:t>
      </w:r>
    </w:p>
    <w:p w:rsidR="00096074" w:rsidRPr="004705EC" w:rsidRDefault="002326F5" w:rsidP="00FA1FF7">
      <w:pPr>
        <w:pStyle w:val="Nadpis1"/>
        <w:numPr>
          <w:ilvl w:val="0"/>
          <w:numId w:val="0"/>
        </w:numPr>
        <w:contextualSpacing/>
        <w:rPr>
          <w:sz w:val="24"/>
          <w:szCs w:val="24"/>
        </w:rPr>
      </w:pPr>
      <w:r w:rsidRPr="00AA307D">
        <w:rPr>
          <w:sz w:val="24"/>
          <w:szCs w:val="24"/>
        </w:rPr>
        <w:br w:type="page"/>
      </w:r>
      <w:bookmarkStart w:id="41" w:name="_Toc36031967"/>
      <w:r w:rsidR="008C2A1D" w:rsidRPr="001D23A4">
        <w:lastRenderedPageBreak/>
        <w:t>Seznam použitých zdrojů</w:t>
      </w:r>
      <w:bookmarkEnd w:id="41"/>
    </w:p>
    <w:p w:rsidR="002326F5" w:rsidRPr="00646C74" w:rsidRDefault="002326F5" w:rsidP="00646C74">
      <w:pPr>
        <w:spacing w:after="0" w:line="360" w:lineRule="auto"/>
        <w:jc w:val="both"/>
        <w:rPr>
          <w:rFonts w:ascii="Garamond" w:hAnsi="Garamond"/>
          <w:b/>
          <w:sz w:val="28"/>
          <w:szCs w:val="28"/>
        </w:rPr>
      </w:pPr>
      <w:r w:rsidRPr="00646C74">
        <w:rPr>
          <w:rFonts w:ascii="Garamond" w:hAnsi="Garamond"/>
          <w:b/>
          <w:sz w:val="28"/>
          <w:szCs w:val="28"/>
        </w:rPr>
        <w:t>Monografie a komentáře</w:t>
      </w:r>
    </w:p>
    <w:p w:rsidR="002326F5" w:rsidRPr="001D23A4" w:rsidRDefault="002326F5" w:rsidP="00FA1FF7">
      <w:pPr>
        <w:spacing w:line="360" w:lineRule="auto"/>
        <w:contextualSpacing/>
        <w:jc w:val="both"/>
        <w:rPr>
          <w:rFonts w:ascii="Garamond" w:hAnsi="Garamond"/>
          <w:sz w:val="24"/>
          <w:szCs w:val="24"/>
        </w:rPr>
      </w:pPr>
      <w:r w:rsidRPr="001D23A4">
        <w:rPr>
          <w:rFonts w:ascii="Garamond" w:hAnsi="Garamond"/>
          <w:sz w:val="24"/>
          <w:szCs w:val="24"/>
        </w:rPr>
        <w:t xml:space="preserve">BARTOŠEK, Milan. </w:t>
      </w:r>
      <w:r w:rsidRPr="001D23A4">
        <w:rPr>
          <w:rFonts w:ascii="Garamond" w:hAnsi="Garamond"/>
          <w:i/>
          <w:sz w:val="24"/>
          <w:szCs w:val="24"/>
        </w:rPr>
        <w:t>Encyklopedie římského práva.</w:t>
      </w:r>
      <w:r w:rsidR="00316D4A" w:rsidRPr="001D23A4">
        <w:rPr>
          <w:rFonts w:ascii="Garamond" w:hAnsi="Garamond"/>
          <w:sz w:val="24"/>
          <w:szCs w:val="24"/>
        </w:rPr>
        <w:t xml:space="preserve"> Praha: Panorama, 1981</w:t>
      </w:r>
      <w:r w:rsidRPr="001D23A4">
        <w:rPr>
          <w:rFonts w:ascii="Garamond" w:hAnsi="Garamond"/>
          <w:sz w:val="24"/>
          <w:szCs w:val="24"/>
        </w:rPr>
        <w:t xml:space="preserve">. </w:t>
      </w:r>
      <w:r w:rsidR="00316D4A" w:rsidRPr="001D23A4">
        <w:rPr>
          <w:rFonts w:ascii="Garamond" w:hAnsi="Garamond"/>
          <w:sz w:val="24"/>
          <w:szCs w:val="24"/>
        </w:rPr>
        <w:t>512</w:t>
      </w:r>
      <w:r w:rsidRPr="001D23A4">
        <w:rPr>
          <w:rFonts w:ascii="Garamond" w:hAnsi="Garamond"/>
          <w:sz w:val="24"/>
          <w:szCs w:val="24"/>
        </w:rPr>
        <w:t xml:space="preserve"> s.</w:t>
      </w:r>
    </w:p>
    <w:p w:rsidR="00316D4A" w:rsidRPr="001D23A4" w:rsidRDefault="00316D4A" w:rsidP="00FA1FF7">
      <w:pPr>
        <w:spacing w:line="360" w:lineRule="auto"/>
        <w:contextualSpacing/>
        <w:jc w:val="both"/>
        <w:rPr>
          <w:rFonts w:ascii="Garamond" w:hAnsi="Garamond"/>
          <w:sz w:val="24"/>
          <w:szCs w:val="24"/>
        </w:rPr>
      </w:pPr>
      <w:r w:rsidRPr="001D23A4">
        <w:rPr>
          <w:rFonts w:ascii="Garamond" w:hAnsi="Garamond"/>
          <w:sz w:val="24"/>
          <w:szCs w:val="24"/>
        </w:rPr>
        <w:t xml:space="preserve">BERGER, Adolf. </w:t>
      </w:r>
      <w:proofErr w:type="spellStart"/>
      <w:r w:rsidRPr="001D23A4">
        <w:rPr>
          <w:rFonts w:ascii="Garamond" w:hAnsi="Garamond"/>
          <w:i/>
          <w:sz w:val="24"/>
          <w:szCs w:val="24"/>
        </w:rPr>
        <w:t>Encyclopedic</w:t>
      </w:r>
      <w:proofErr w:type="spellEnd"/>
      <w:r w:rsidRPr="001D23A4">
        <w:rPr>
          <w:rFonts w:ascii="Garamond" w:hAnsi="Garamond"/>
          <w:i/>
          <w:sz w:val="24"/>
          <w:szCs w:val="24"/>
        </w:rPr>
        <w:t xml:space="preserve"> </w:t>
      </w:r>
      <w:proofErr w:type="spellStart"/>
      <w:r w:rsidRPr="001D23A4">
        <w:rPr>
          <w:rFonts w:ascii="Garamond" w:hAnsi="Garamond"/>
          <w:i/>
          <w:sz w:val="24"/>
          <w:szCs w:val="24"/>
        </w:rPr>
        <w:t>dictionary</w:t>
      </w:r>
      <w:proofErr w:type="spellEnd"/>
      <w:r w:rsidRPr="001D23A4">
        <w:rPr>
          <w:rFonts w:ascii="Garamond" w:hAnsi="Garamond"/>
          <w:i/>
          <w:sz w:val="24"/>
          <w:szCs w:val="24"/>
        </w:rPr>
        <w:t xml:space="preserve"> </w:t>
      </w:r>
      <w:proofErr w:type="spellStart"/>
      <w:r w:rsidRPr="001D23A4">
        <w:rPr>
          <w:rFonts w:ascii="Garamond" w:hAnsi="Garamond"/>
          <w:i/>
          <w:sz w:val="24"/>
          <w:szCs w:val="24"/>
        </w:rPr>
        <w:t>of</w:t>
      </w:r>
      <w:proofErr w:type="spellEnd"/>
      <w:r w:rsidRPr="001D23A4">
        <w:rPr>
          <w:rFonts w:ascii="Garamond" w:hAnsi="Garamond"/>
          <w:i/>
          <w:sz w:val="24"/>
          <w:szCs w:val="24"/>
        </w:rPr>
        <w:t xml:space="preserve"> </w:t>
      </w:r>
      <w:proofErr w:type="gramStart"/>
      <w:r w:rsidRPr="001D23A4">
        <w:rPr>
          <w:rFonts w:ascii="Garamond" w:hAnsi="Garamond"/>
          <w:i/>
          <w:sz w:val="24"/>
          <w:szCs w:val="24"/>
        </w:rPr>
        <w:t>Roman</w:t>
      </w:r>
      <w:proofErr w:type="gramEnd"/>
      <w:r w:rsidRPr="001D23A4">
        <w:rPr>
          <w:rFonts w:ascii="Garamond" w:hAnsi="Garamond"/>
          <w:i/>
          <w:sz w:val="24"/>
          <w:szCs w:val="24"/>
        </w:rPr>
        <w:t xml:space="preserve"> </w:t>
      </w:r>
      <w:proofErr w:type="spellStart"/>
      <w:r w:rsidRPr="001D23A4">
        <w:rPr>
          <w:rFonts w:ascii="Garamond" w:hAnsi="Garamond"/>
          <w:i/>
          <w:sz w:val="24"/>
          <w:szCs w:val="24"/>
        </w:rPr>
        <w:t>law</w:t>
      </w:r>
      <w:proofErr w:type="spellEnd"/>
      <w:r w:rsidRPr="001D23A4">
        <w:rPr>
          <w:rFonts w:ascii="Garamond" w:hAnsi="Garamond"/>
          <w:i/>
          <w:sz w:val="24"/>
          <w:szCs w:val="24"/>
        </w:rPr>
        <w:t xml:space="preserve">. </w:t>
      </w:r>
      <w:proofErr w:type="spellStart"/>
      <w:r w:rsidRPr="001D23A4">
        <w:rPr>
          <w:rFonts w:ascii="Garamond" w:hAnsi="Garamond"/>
          <w:sz w:val="24"/>
          <w:szCs w:val="24"/>
        </w:rPr>
        <w:t>Philadelphia</w:t>
      </w:r>
      <w:proofErr w:type="spellEnd"/>
      <w:r w:rsidRPr="001D23A4">
        <w:rPr>
          <w:rFonts w:ascii="Garamond" w:hAnsi="Garamond"/>
          <w:sz w:val="24"/>
          <w:szCs w:val="24"/>
        </w:rPr>
        <w:t xml:space="preserve">: </w:t>
      </w:r>
      <w:proofErr w:type="spellStart"/>
      <w:r w:rsidRPr="001D23A4">
        <w:rPr>
          <w:rFonts w:ascii="Garamond" w:hAnsi="Garamond"/>
          <w:sz w:val="24"/>
          <w:szCs w:val="24"/>
        </w:rPr>
        <w:t>American</w:t>
      </w:r>
      <w:proofErr w:type="spellEnd"/>
      <w:r w:rsidRPr="001D23A4">
        <w:rPr>
          <w:rFonts w:ascii="Garamond" w:hAnsi="Garamond"/>
          <w:sz w:val="24"/>
          <w:szCs w:val="24"/>
        </w:rPr>
        <w:t xml:space="preserve"> </w:t>
      </w:r>
      <w:proofErr w:type="spellStart"/>
      <w:r w:rsidRPr="001D23A4">
        <w:rPr>
          <w:rFonts w:ascii="Garamond" w:hAnsi="Garamond"/>
          <w:sz w:val="24"/>
          <w:szCs w:val="24"/>
        </w:rPr>
        <w:t>Philosophical</w:t>
      </w:r>
      <w:proofErr w:type="spellEnd"/>
      <w:r w:rsidRPr="001D23A4">
        <w:rPr>
          <w:rFonts w:ascii="Garamond" w:hAnsi="Garamond"/>
          <w:sz w:val="24"/>
          <w:szCs w:val="24"/>
        </w:rPr>
        <w:t xml:space="preserve"> Society, 1953. 808 s. </w:t>
      </w:r>
    </w:p>
    <w:p w:rsidR="00316D4A" w:rsidRPr="001D23A4" w:rsidRDefault="00316D4A" w:rsidP="00FA1FF7">
      <w:pPr>
        <w:spacing w:line="360" w:lineRule="auto"/>
        <w:contextualSpacing/>
        <w:jc w:val="both"/>
        <w:rPr>
          <w:rFonts w:ascii="Garamond" w:hAnsi="Garamond"/>
          <w:sz w:val="24"/>
          <w:szCs w:val="24"/>
        </w:rPr>
      </w:pPr>
      <w:r w:rsidRPr="001D23A4">
        <w:rPr>
          <w:rFonts w:ascii="Garamond" w:hAnsi="Garamond"/>
          <w:sz w:val="24"/>
          <w:szCs w:val="24"/>
        </w:rPr>
        <w:t xml:space="preserve">BONFANTE, </w:t>
      </w:r>
      <w:proofErr w:type="spellStart"/>
      <w:r w:rsidRPr="001D23A4">
        <w:rPr>
          <w:rFonts w:ascii="Garamond" w:hAnsi="Garamond"/>
          <w:sz w:val="24"/>
          <w:szCs w:val="24"/>
        </w:rPr>
        <w:t>Pietro</w:t>
      </w:r>
      <w:proofErr w:type="spellEnd"/>
      <w:r w:rsidRPr="001D23A4">
        <w:rPr>
          <w:rFonts w:ascii="Garamond" w:hAnsi="Garamond"/>
          <w:sz w:val="24"/>
          <w:szCs w:val="24"/>
        </w:rPr>
        <w:t xml:space="preserve">. Instituce římského práva. 9. </w:t>
      </w:r>
      <w:proofErr w:type="spellStart"/>
      <w:r w:rsidRPr="001D23A4">
        <w:rPr>
          <w:rFonts w:ascii="Garamond" w:hAnsi="Garamond"/>
          <w:sz w:val="24"/>
          <w:szCs w:val="24"/>
        </w:rPr>
        <w:t>vyd</w:t>
      </w:r>
      <w:proofErr w:type="spellEnd"/>
      <w:r w:rsidRPr="001D23A4">
        <w:rPr>
          <w:rFonts w:ascii="Garamond" w:hAnsi="Garamond"/>
          <w:sz w:val="24"/>
          <w:szCs w:val="24"/>
        </w:rPr>
        <w:t>. Brno: ČS. A. S. Právník. 1932. 745 s.</w:t>
      </w:r>
    </w:p>
    <w:p w:rsidR="00776526" w:rsidRPr="001D23A4" w:rsidRDefault="00C86450" w:rsidP="00FA1FF7">
      <w:pPr>
        <w:spacing w:line="360" w:lineRule="auto"/>
        <w:contextualSpacing/>
        <w:jc w:val="both"/>
        <w:rPr>
          <w:rFonts w:ascii="Garamond" w:hAnsi="Garamond"/>
          <w:sz w:val="24"/>
          <w:szCs w:val="24"/>
        </w:rPr>
      </w:pPr>
      <w:r w:rsidRPr="001D23A4">
        <w:rPr>
          <w:rFonts w:ascii="Garamond" w:hAnsi="Garamond"/>
          <w:sz w:val="24"/>
          <w:szCs w:val="24"/>
        </w:rPr>
        <w:t xml:space="preserve">JOHNSON, Allan </w:t>
      </w:r>
      <w:proofErr w:type="spellStart"/>
      <w:r w:rsidRPr="001D23A4">
        <w:rPr>
          <w:rFonts w:ascii="Garamond" w:hAnsi="Garamond"/>
          <w:sz w:val="24"/>
          <w:szCs w:val="24"/>
        </w:rPr>
        <w:t>Chester</w:t>
      </w:r>
      <w:proofErr w:type="spellEnd"/>
      <w:r w:rsidRPr="001D23A4">
        <w:rPr>
          <w:rFonts w:ascii="Garamond" w:hAnsi="Garamond"/>
          <w:sz w:val="24"/>
          <w:szCs w:val="24"/>
        </w:rPr>
        <w:t>,</w:t>
      </w:r>
      <w:r w:rsidR="00776526" w:rsidRPr="001D23A4">
        <w:rPr>
          <w:rFonts w:ascii="Garamond" w:hAnsi="Garamond"/>
          <w:sz w:val="24"/>
          <w:szCs w:val="24"/>
        </w:rPr>
        <w:t xml:space="preserve"> COLEMAN-NORTON, Paul Robinson</w:t>
      </w:r>
      <w:r w:rsidRPr="001D23A4">
        <w:rPr>
          <w:rFonts w:ascii="Garamond" w:hAnsi="Garamond"/>
          <w:sz w:val="24"/>
          <w:szCs w:val="24"/>
        </w:rPr>
        <w:t xml:space="preserve">, BOURNE, Frank </w:t>
      </w:r>
      <w:proofErr w:type="spellStart"/>
      <w:r w:rsidRPr="001D23A4">
        <w:rPr>
          <w:rFonts w:ascii="Garamond" w:hAnsi="Garamond"/>
          <w:sz w:val="24"/>
          <w:szCs w:val="24"/>
        </w:rPr>
        <w:t>Card</w:t>
      </w:r>
      <w:proofErr w:type="spellEnd"/>
      <w:r w:rsidR="00776526" w:rsidRPr="001D23A4">
        <w:rPr>
          <w:rFonts w:ascii="Garamond" w:hAnsi="Garamond"/>
          <w:sz w:val="24"/>
          <w:szCs w:val="24"/>
        </w:rPr>
        <w:t xml:space="preserve">. </w:t>
      </w:r>
      <w:proofErr w:type="spellStart"/>
      <w:r w:rsidR="00776526" w:rsidRPr="001D23A4">
        <w:rPr>
          <w:rFonts w:ascii="Garamond" w:hAnsi="Garamond"/>
          <w:i/>
          <w:sz w:val="24"/>
          <w:szCs w:val="24"/>
        </w:rPr>
        <w:t>Ancient</w:t>
      </w:r>
      <w:proofErr w:type="spellEnd"/>
      <w:r w:rsidR="00776526" w:rsidRPr="001D23A4">
        <w:rPr>
          <w:rFonts w:ascii="Garamond" w:hAnsi="Garamond"/>
          <w:i/>
          <w:sz w:val="24"/>
          <w:szCs w:val="24"/>
        </w:rPr>
        <w:t xml:space="preserve"> </w:t>
      </w:r>
      <w:r w:rsidRPr="001D23A4">
        <w:rPr>
          <w:rFonts w:ascii="Garamond" w:hAnsi="Garamond"/>
          <w:i/>
          <w:sz w:val="24"/>
          <w:szCs w:val="24"/>
        </w:rPr>
        <w:t xml:space="preserve">Roman </w:t>
      </w:r>
      <w:proofErr w:type="spellStart"/>
      <w:r w:rsidRPr="001D23A4">
        <w:rPr>
          <w:rFonts w:ascii="Garamond" w:hAnsi="Garamond"/>
          <w:i/>
          <w:sz w:val="24"/>
          <w:szCs w:val="24"/>
        </w:rPr>
        <w:t>Statutes</w:t>
      </w:r>
      <w:proofErr w:type="spellEnd"/>
      <w:r w:rsidRPr="001D23A4">
        <w:rPr>
          <w:rFonts w:ascii="Garamond" w:hAnsi="Garamond"/>
          <w:i/>
          <w:sz w:val="24"/>
          <w:szCs w:val="24"/>
        </w:rPr>
        <w:t xml:space="preserve">: A </w:t>
      </w:r>
      <w:proofErr w:type="spellStart"/>
      <w:r w:rsidRPr="001D23A4">
        <w:rPr>
          <w:rFonts w:ascii="Garamond" w:hAnsi="Garamond"/>
          <w:i/>
          <w:sz w:val="24"/>
          <w:szCs w:val="24"/>
        </w:rPr>
        <w:t>Translation</w:t>
      </w:r>
      <w:proofErr w:type="spellEnd"/>
      <w:r w:rsidRPr="001D23A4">
        <w:rPr>
          <w:rFonts w:ascii="Garamond" w:hAnsi="Garamond"/>
          <w:i/>
          <w:sz w:val="24"/>
          <w:szCs w:val="24"/>
        </w:rPr>
        <w:t xml:space="preserve"> </w:t>
      </w:r>
      <w:proofErr w:type="spellStart"/>
      <w:r w:rsidRPr="001D23A4">
        <w:rPr>
          <w:rFonts w:ascii="Garamond" w:hAnsi="Garamond"/>
          <w:i/>
          <w:sz w:val="24"/>
          <w:szCs w:val="24"/>
        </w:rPr>
        <w:t>with</w:t>
      </w:r>
      <w:proofErr w:type="spellEnd"/>
      <w:r w:rsidRPr="001D23A4">
        <w:rPr>
          <w:rFonts w:ascii="Garamond" w:hAnsi="Garamond"/>
          <w:i/>
          <w:sz w:val="24"/>
          <w:szCs w:val="24"/>
        </w:rPr>
        <w:t xml:space="preserve"> </w:t>
      </w:r>
      <w:proofErr w:type="spellStart"/>
      <w:r w:rsidRPr="001D23A4">
        <w:rPr>
          <w:rFonts w:ascii="Garamond" w:hAnsi="Garamond"/>
          <w:i/>
          <w:sz w:val="24"/>
          <w:szCs w:val="24"/>
        </w:rPr>
        <w:t>Introduction</w:t>
      </w:r>
      <w:proofErr w:type="spellEnd"/>
      <w:r w:rsidRPr="001D23A4">
        <w:rPr>
          <w:rFonts w:ascii="Garamond" w:hAnsi="Garamond"/>
          <w:i/>
          <w:sz w:val="24"/>
          <w:szCs w:val="24"/>
        </w:rPr>
        <w:t xml:space="preserve">, </w:t>
      </w:r>
      <w:proofErr w:type="spellStart"/>
      <w:r w:rsidRPr="001D23A4">
        <w:rPr>
          <w:rFonts w:ascii="Garamond" w:hAnsi="Garamond"/>
          <w:i/>
          <w:sz w:val="24"/>
          <w:szCs w:val="24"/>
        </w:rPr>
        <w:t>Commentary</w:t>
      </w:r>
      <w:proofErr w:type="spellEnd"/>
      <w:r w:rsidRPr="001D23A4">
        <w:rPr>
          <w:rFonts w:ascii="Garamond" w:hAnsi="Garamond"/>
          <w:i/>
          <w:sz w:val="24"/>
          <w:szCs w:val="24"/>
        </w:rPr>
        <w:t xml:space="preserve">, </w:t>
      </w:r>
      <w:proofErr w:type="spellStart"/>
      <w:r w:rsidRPr="001D23A4">
        <w:rPr>
          <w:rFonts w:ascii="Garamond" w:hAnsi="Garamond"/>
          <w:i/>
          <w:sz w:val="24"/>
          <w:szCs w:val="24"/>
        </w:rPr>
        <w:t>Glossary</w:t>
      </w:r>
      <w:proofErr w:type="spellEnd"/>
      <w:r w:rsidRPr="001D23A4">
        <w:rPr>
          <w:rFonts w:ascii="Garamond" w:hAnsi="Garamond"/>
          <w:i/>
          <w:sz w:val="24"/>
          <w:szCs w:val="24"/>
        </w:rPr>
        <w:t xml:space="preserve"> </w:t>
      </w:r>
      <w:proofErr w:type="spellStart"/>
      <w:r w:rsidRPr="001D23A4">
        <w:rPr>
          <w:rFonts w:ascii="Garamond" w:hAnsi="Garamond"/>
          <w:i/>
          <w:sz w:val="24"/>
          <w:szCs w:val="24"/>
        </w:rPr>
        <w:t>and</w:t>
      </w:r>
      <w:proofErr w:type="spellEnd"/>
      <w:r w:rsidRPr="001D23A4">
        <w:rPr>
          <w:rFonts w:ascii="Garamond" w:hAnsi="Garamond"/>
          <w:i/>
          <w:sz w:val="24"/>
          <w:szCs w:val="24"/>
        </w:rPr>
        <w:t xml:space="preserve"> Index.</w:t>
      </w:r>
      <w:r w:rsidRPr="001D23A4">
        <w:rPr>
          <w:rFonts w:ascii="Garamond" w:hAnsi="Garamond"/>
          <w:sz w:val="24"/>
          <w:szCs w:val="24"/>
        </w:rPr>
        <w:t xml:space="preserve"> New </w:t>
      </w:r>
      <w:proofErr w:type="spellStart"/>
      <w:r w:rsidRPr="001D23A4">
        <w:rPr>
          <w:rFonts w:ascii="Garamond" w:hAnsi="Garamond"/>
          <w:sz w:val="24"/>
          <w:szCs w:val="24"/>
        </w:rPr>
        <w:t>Jersey</w:t>
      </w:r>
      <w:proofErr w:type="spellEnd"/>
      <w:r w:rsidRPr="001D23A4">
        <w:rPr>
          <w:rFonts w:ascii="Garamond" w:hAnsi="Garamond"/>
          <w:sz w:val="24"/>
          <w:szCs w:val="24"/>
        </w:rPr>
        <w:t xml:space="preserve">: </w:t>
      </w:r>
      <w:proofErr w:type="spellStart"/>
      <w:r w:rsidRPr="001D23A4">
        <w:rPr>
          <w:rFonts w:ascii="Garamond" w:hAnsi="Garamond"/>
          <w:sz w:val="24"/>
          <w:szCs w:val="24"/>
        </w:rPr>
        <w:t>The</w:t>
      </w:r>
      <w:proofErr w:type="spellEnd"/>
      <w:r w:rsidRPr="001D23A4">
        <w:rPr>
          <w:rFonts w:ascii="Garamond" w:hAnsi="Garamond"/>
          <w:sz w:val="24"/>
          <w:szCs w:val="24"/>
        </w:rPr>
        <w:t xml:space="preserve"> </w:t>
      </w:r>
      <w:proofErr w:type="spellStart"/>
      <w:r w:rsidRPr="001D23A4">
        <w:rPr>
          <w:rFonts w:ascii="Garamond" w:hAnsi="Garamond"/>
          <w:sz w:val="24"/>
          <w:szCs w:val="24"/>
        </w:rPr>
        <w:t>Lawbook</w:t>
      </w:r>
      <w:proofErr w:type="spellEnd"/>
      <w:r w:rsidRPr="001D23A4">
        <w:rPr>
          <w:rFonts w:ascii="Garamond" w:hAnsi="Garamond"/>
          <w:sz w:val="24"/>
          <w:szCs w:val="24"/>
        </w:rPr>
        <w:t xml:space="preserve"> Exchange, Ltd., 2003. </w:t>
      </w:r>
      <w:r w:rsidR="00365DDE">
        <w:rPr>
          <w:rFonts w:ascii="Garamond" w:hAnsi="Garamond"/>
          <w:sz w:val="24"/>
          <w:szCs w:val="24"/>
        </w:rPr>
        <w:t>290 s.</w:t>
      </w:r>
    </w:p>
    <w:p w:rsidR="00316D4A" w:rsidRPr="001D23A4" w:rsidRDefault="00316D4A" w:rsidP="00FA1FF7">
      <w:pPr>
        <w:spacing w:line="360" w:lineRule="auto"/>
        <w:contextualSpacing/>
        <w:jc w:val="both"/>
        <w:rPr>
          <w:rFonts w:ascii="Garamond" w:hAnsi="Garamond"/>
          <w:sz w:val="24"/>
          <w:szCs w:val="24"/>
        </w:rPr>
      </w:pPr>
      <w:r w:rsidRPr="001D23A4">
        <w:rPr>
          <w:rFonts w:ascii="Garamond" w:hAnsi="Garamond"/>
          <w:sz w:val="24"/>
          <w:szCs w:val="24"/>
        </w:rPr>
        <w:t xml:space="preserve">CROOK, John </w:t>
      </w:r>
      <w:proofErr w:type="spellStart"/>
      <w:r w:rsidRPr="001D23A4">
        <w:rPr>
          <w:rFonts w:ascii="Garamond" w:hAnsi="Garamond"/>
          <w:sz w:val="24"/>
          <w:szCs w:val="24"/>
        </w:rPr>
        <w:t>Anthony</w:t>
      </w:r>
      <w:proofErr w:type="spellEnd"/>
      <w:r w:rsidRPr="001D23A4">
        <w:rPr>
          <w:rFonts w:ascii="Garamond" w:hAnsi="Garamond"/>
          <w:sz w:val="24"/>
          <w:szCs w:val="24"/>
        </w:rPr>
        <w:t xml:space="preserve">. </w:t>
      </w:r>
      <w:proofErr w:type="spellStart"/>
      <w:r w:rsidRPr="001D23A4">
        <w:rPr>
          <w:rFonts w:ascii="Garamond" w:hAnsi="Garamond"/>
          <w:i/>
          <w:sz w:val="24"/>
          <w:szCs w:val="24"/>
        </w:rPr>
        <w:t>Law</w:t>
      </w:r>
      <w:proofErr w:type="spellEnd"/>
      <w:r w:rsidRPr="001D23A4">
        <w:rPr>
          <w:rFonts w:ascii="Garamond" w:hAnsi="Garamond"/>
          <w:i/>
          <w:sz w:val="24"/>
          <w:szCs w:val="24"/>
        </w:rPr>
        <w:t xml:space="preserve"> </w:t>
      </w:r>
      <w:proofErr w:type="spellStart"/>
      <w:r w:rsidRPr="001D23A4">
        <w:rPr>
          <w:rFonts w:ascii="Garamond" w:hAnsi="Garamond"/>
          <w:i/>
          <w:sz w:val="24"/>
          <w:szCs w:val="24"/>
        </w:rPr>
        <w:t>an</w:t>
      </w:r>
      <w:proofErr w:type="spellEnd"/>
      <w:r w:rsidRPr="001D23A4">
        <w:rPr>
          <w:rFonts w:ascii="Garamond" w:hAnsi="Garamond"/>
          <w:i/>
          <w:sz w:val="24"/>
          <w:szCs w:val="24"/>
        </w:rPr>
        <w:t xml:space="preserve"> </w:t>
      </w:r>
      <w:proofErr w:type="spellStart"/>
      <w:r w:rsidRPr="001D23A4">
        <w:rPr>
          <w:rFonts w:ascii="Garamond" w:hAnsi="Garamond"/>
          <w:i/>
          <w:sz w:val="24"/>
          <w:szCs w:val="24"/>
        </w:rPr>
        <w:t>Life</w:t>
      </w:r>
      <w:proofErr w:type="spellEnd"/>
      <w:r w:rsidRPr="001D23A4">
        <w:rPr>
          <w:rFonts w:ascii="Garamond" w:hAnsi="Garamond"/>
          <w:i/>
          <w:sz w:val="24"/>
          <w:szCs w:val="24"/>
        </w:rPr>
        <w:t xml:space="preserve"> </w:t>
      </w:r>
      <w:proofErr w:type="spellStart"/>
      <w:r w:rsidRPr="001D23A4">
        <w:rPr>
          <w:rFonts w:ascii="Garamond" w:hAnsi="Garamond"/>
          <w:i/>
          <w:sz w:val="24"/>
          <w:szCs w:val="24"/>
        </w:rPr>
        <w:t>of</w:t>
      </w:r>
      <w:proofErr w:type="spellEnd"/>
      <w:r w:rsidRPr="001D23A4">
        <w:rPr>
          <w:rFonts w:ascii="Garamond" w:hAnsi="Garamond"/>
          <w:i/>
          <w:sz w:val="24"/>
          <w:szCs w:val="24"/>
        </w:rPr>
        <w:t xml:space="preserve"> Rome, 90 B.C.-</w:t>
      </w:r>
      <w:proofErr w:type="gramStart"/>
      <w:r w:rsidRPr="001D23A4">
        <w:rPr>
          <w:rFonts w:ascii="Garamond" w:hAnsi="Garamond"/>
          <w:i/>
          <w:sz w:val="24"/>
          <w:szCs w:val="24"/>
        </w:rPr>
        <w:t>A.D.212</w:t>
      </w:r>
      <w:proofErr w:type="gramEnd"/>
      <w:r w:rsidRPr="001D23A4">
        <w:rPr>
          <w:rFonts w:ascii="Garamond" w:hAnsi="Garamond"/>
          <w:i/>
          <w:sz w:val="24"/>
          <w:szCs w:val="24"/>
        </w:rPr>
        <w:t>.</w:t>
      </w:r>
      <w:r w:rsidRPr="001D23A4">
        <w:rPr>
          <w:rFonts w:ascii="Garamond" w:hAnsi="Garamond"/>
          <w:sz w:val="24"/>
          <w:szCs w:val="24"/>
        </w:rPr>
        <w:t xml:space="preserve"> </w:t>
      </w:r>
      <w:proofErr w:type="spellStart"/>
      <w:r w:rsidRPr="001D23A4">
        <w:rPr>
          <w:rFonts w:ascii="Garamond" w:hAnsi="Garamond"/>
          <w:sz w:val="24"/>
          <w:szCs w:val="24"/>
        </w:rPr>
        <w:t>Cornell</w:t>
      </w:r>
      <w:proofErr w:type="spellEnd"/>
      <w:r w:rsidRPr="001D23A4">
        <w:rPr>
          <w:rFonts w:ascii="Garamond" w:hAnsi="Garamond"/>
          <w:sz w:val="24"/>
          <w:szCs w:val="24"/>
        </w:rPr>
        <w:t xml:space="preserve"> University </w:t>
      </w:r>
      <w:proofErr w:type="spellStart"/>
      <w:r w:rsidRPr="001D23A4">
        <w:rPr>
          <w:rFonts w:ascii="Garamond" w:hAnsi="Garamond"/>
          <w:sz w:val="24"/>
          <w:szCs w:val="24"/>
        </w:rPr>
        <w:t>Press</w:t>
      </w:r>
      <w:proofErr w:type="spellEnd"/>
      <w:r w:rsidRPr="001D23A4">
        <w:rPr>
          <w:rFonts w:ascii="Garamond" w:hAnsi="Garamond"/>
          <w:sz w:val="24"/>
          <w:szCs w:val="24"/>
        </w:rPr>
        <w:t>, 1967. 349 s.</w:t>
      </w:r>
    </w:p>
    <w:p w:rsidR="00316D4A" w:rsidRPr="001D23A4" w:rsidRDefault="00316D4A" w:rsidP="00FA1FF7">
      <w:pPr>
        <w:spacing w:line="360" w:lineRule="auto"/>
        <w:contextualSpacing/>
        <w:jc w:val="both"/>
        <w:rPr>
          <w:rFonts w:ascii="Garamond" w:hAnsi="Garamond"/>
          <w:sz w:val="24"/>
          <w:szCs w:val="24"/>
        </w:rPr>
      </w:pPr>
      <w:proofErr w:type="spellStart"/>
      <w:r w:rsidRPr="001D23A4">
        <w:rPr>
          <w:rFonts w:ascii="Garamond" w:hAnsi="Garamond"/>
          <w:i/>
          <w:sz w:val="24"/>
          <w:szCs w:val="24"/>
        </w:rPr>
        <w:t>Digesta</w:t>
      </w:r>
      <w:proofErr w:type="spellEnd"/>
      <w:r w:rsidRPr="001D23A4">
        <w:rPr>
          <w:rFonts w:ascii="Garamond" w:hAnsi="Garamond"/>
          <w:i/>
          <w:sz w:val="24"/>
          <w:szCs w:val="24"/>
        </w:rPr>
        <w:t xml:space="preserve"> neboli </w:t>
      </w:r>
      <w:proofErr w:type="spellStart"/>
      <w:r w:rsidRPr="001D23A4">
        <w:rPr>
          <w:rFonts w:ascii="Garamond" w:hAnsi="Garamond"/>
          <w:i/>
          <w:sz w:val="24"/>
          <w:szCs w:val="24"/>
        </w:rPr>
        <w:t>Pandekty</w:t>
      </w:r>
      <w:proofErr w:type="spellEnd"/>
      <w:r w:rsidRPr="001D23A4">
        <w:rPr>
          <w:rFonts w:ascii="Garamond" w:hAnsi="Garamond"/>
          <w:i/>
          <w:sz w:val="24"/>
          <w:szCs w:val="24"/>
        </w:rPr>
        <w:t xml:space="preserve">: svazek I, kniha I-XV, vybrané části. </w:t>
      </w:r>
      <w:proofErr w:type="spellStart"/>
      <w:r w:rsidRPr="001D23A4">
        <w:rPr>
          <w:rFonts w:ascii="Garamond" w:hAnsi="Garamond"/>
          <w:i/>
          <w:sz w:val="24"/>
          <w:szCs w:val="24"/>
        </w:rPr>
        <w:t>Digesta</w:t>
      </w:r>
      <w:proofErr w:type="spellEnd"/>
      <w:r w:rsidRPr="001D23A4">
        <w:rPr>
          <w:rFonts w:ascii="Garamond" w:hAnsi="Garamond"/>
          <w:i/>
          <w:sz w:val="24"/>
          <w:szCs w:val="24"/>
        </w:rPr>
        <w:t xml:space="preserve"> </w:t>
      </w:r>
      <w:proofErr w:type="spellStart"/>
      <w:r w:rsidRPr="001D23A4">
        <w:rPr>
          <w:rFonts w:ascii="Garamond" w:hAnsi="Garamond"/>
          <w:i/>
          <w:sz w:val="24"/>
          <w:szCs w:val="24"/>
        </w:rPr>
        <w:t>seu</w:t>
      </w:r>
      <w:proofErr w:type="spellEnd"/>
      <w:r w:rsidRPr="001D23A4">
        <w:rPr>
          <w:rFonts w:ascii="Garamond" w:hAnsi="Garamond"/>
          <w:i/>
          <w:sz w:val="24"/>
          <w:szCs w:val="24"/>
        </w:rPr>
        <w:t xml:space="preserve"> </w:t>
      </w:r>
      <w:proofErr w:type="spellStart"/>
      <w:r w:rsidRPr="001D23A4">
        <w:rPr>
          <w:rFonts w:ascii="Garamond" w:hAnsi="Garamond"/>
          <w:i/>
          <w:sz w:val="24"/>
          <w:szCs w:val="24"/>
        </w:rPr>
        <w:t>Pandectae</w:t>
      </w:r>
      <w:proofErr w:type="spellEnd"/>
      <w:r w:rsidRPr="001D23A4">
        <w:rPr>
          <w:rFonts w:ascii="Garamond" w:hAnsi="Garamond"/>
          <w:i/>
          <w:sz w:val="24"/>
          <w:szCs w:val="24"/>
        </w:rPr>
        <w:t xml:space="preserve">: </w:t>
      </w:r>
      <w:proofErr w:type="spellStart"/>
      <w:r w:rsidRPr="001D23A4">
        <w:rPr>
          <w:rFonts w:ascii="Garamond" w:hAnsi="Garamond"/>
          <w:i/>
          <w:sz w:val="24"/>
          <w:szCs w:val="24"/>
        </w:rPr>
        <w:t>tomus</w:t>
      </w:r>
      <w:proofErr w:type="spellEnd"/>
      <w:r w:rsidRPr="001D23A4">
        <w:rPr>
          <w:rFonts w:ascii="Garamond" w:hAnsi="Garamond"/>
          <w:i/>
          <w:sz w:val="24"/>
          <w:szCs w:val="24"/>
        </w:rPr>
        <w:t xml:space="preserve"> I, liber I-XV, </w:t>
      </w:r>
      <w:proofErr w:type="spellStart"/>
      <w:r w:rsidRPr="001D23A4">
        <w:rPr>
          <w:rFonts w:ascii="Garamond" w:hAnsi="Garamond"/>
          <w:i/>
          <w:sz w:val="24"/>
          <w:szCs w:val="24"/>
        </w:rPr>
        <w:t>fragmenta</w:t>
      </w:r>
      <w:proofErr w:type="spellEnd"/>
      <w:r w:rsidRPr="001D23A4">
        <w:rPr>
          <w:rFonts w:ascii="Garamond" w:hAnsi="Garamond"/>
          <w:i/>
          <w:sz w:val="24"/>
          <w:szCs w:val="24"/>
        </w:rPr>
        <w:t xml:space="preserve"> </w:t>
      </w:r>
      <w:proofErr w:type="spellStart"/>
      <w:r w:rsidRPr="001D23A4">
        <w:rPr>
          <w:rFonts w:ascii="Garamond" w:hAnsi="Garamond"/>
          <w:i/>
          <w:sz w:val="24"/>
          <w:szCs w:val="24"/>
        </w:rPr>
        <w:t>selecta</w:t>
      </w:r>
      <w:proofErr w:type="spellEnd"/>
      <w:r w:rsidRPr="001D23A4">
        <w:rPr>
          <w:rFonts w:ascii="Garamond" w:hAnsi="Garamond"/>
          <w:i/>
          <w:sz w:val="24"/>
          <w:szCs w:val="24"/>
        </w:rPr>
        <w:t>.</w:t>
      </w:r>
      <w:r w:rsidRPr="001D23A4">
        <w:rPr>
          <w:rFonts w:ascii="Garamond" w:hAnsi="Garamond"/>
          <w:sz w:val="24"/>
          <w:szCs w:val="24"/>
        </w:rPr>
        <w:t xml:space="preserve"> Přeložil Peter BLAHO, přeložila Jarmila VAŇKOVÁ, přeložil Michal SKŘEJPEK, přeložil Jakub ŽYTEK. Praha: Univerzita Karlova v Praze, nakladatelství Karolinum, 2015. 701 s.</w:t>
      </w:r>
    </w:p>
    <w:p w:rsidR="00316D4A" w:rsidRPr="001D23A4" w:rsidRDefault="00316D4A" w:rsidP="00FA1FF7">
      <w:pPr>
        <w:spacing w:line="360" w:lineRule="auto"/>
        <w:contextualSpacing/>
        <w:jc w:val="both"/>
        <w:rPr>
          <w:rFonts w:ascii="Garamond" w:hAnsi="Garamond"/>
          <w:sz w:val="24"/>
          <w:szCs w:val="24"/>
        </w:rPr>
      </w:pPr>
      <w:r w:rsidRPr="001D23A4">
        <w:rPr>
          <w:rFonts w:ascii="Garamond" w:hAnsi="Garamond"/>
          <w:sz w:val="24"/>
          <w:szCs w:val="24"/>
        </w:rPr>
        <w:t xml:space="preserve">HEYROVSKÝ, Leopold. </w:t>
      </w:r>
      <w:r w:rsidRPr="001D23A4">
        <w:rPr>
          <w:rFonts w:ascii="Garamond" w:hAnsi="Garamond"/>
          <w:i/>
          <w:sz w:val="24"/>
          <w:szCs w:val="24"/>
        </w:rPr>
        <w:t>Dějiny a systém soukromého práva římského.</w:t>
      </w:r>
      <w:r w:rsidRPr="001D23A4">
        <w:rPr>
          <w:rFonts w:ascii="Garamond" w:hAnsi="Garamond"/>
          <w:sz w:val="24"/>
          <w:szCs w:val="24"/>
        </w:rPr>
        <w:t xml:space="preserve"> Praha: J. Otto, 1910. 1243 s.</w:t>
      </w:r>
    </w:p>
    <w:p w:rsidR="002D5D16" w:rsidRPr="001D23A4" w:rsidRDefault="002D5D16" w:rsidP="00FA1FF7">
      <w:pPr>
        <w:spacing w:line="360" w:lineRule="auto"/>
        <w:contextualSpacing/>
        <w:jc w:val="both"/>
        <w:rPr>
          <w:rFonts w:ascii="Garamond" w:hAnsi="Garamond"/>
          <w:sz w:val="24"/>
          <w:szCs w:val="24"/>
        </w:rPr>
      </w:pPr>
      <w:r w:rsidRPr="001D23A4">
        <w:rPr>
          <w:rFonts w:ascii="Garamond" w:hAnsi="Garamond"/>
          <w:sz w:val="24"/>
          <w:szCs w:val="24"/>
        </w:rPr>
        <w:t xml:space="preserve">KEARLEY, </w:t>
      </w:r>
      <w:proofErr w:type="spellStart"/>
      <w:r w:rsidRPr="001D23A4">
        <w:rPr>
          <w:rFonts w:ascii="Garamond" w:hAnsi="Garamond"/>
          <w:sz w:val="24"/>
          <w:szCs w:val="24"/>
        </w:rPr>
        <w:t>Timothy</w:t>
      </w:r>
      <w:proofErr w:type="spellEnd"/>
      <w:r w:rsidRPr="001D23A4">
        <w:rPr>
          <w:rFonts w:ascii="Garamond" w:hAnsi="Garamond"/>
          <w:sz w:val="24"/>
          <w:szCs w:val="24"/>
        </w:rPr>
        <w:t xml:space="preserve">. </w:t>
      </w:r>
      <w:proofErr w:type="spellStart"/>
      <w:r w:rsidRPr="001D23A4">
        <w:rPr>
          <w:rFonts w:ascii="Garamond" w:hAnsi="Garamond"/>
          <w:i/>
          <w:sz w:val="24"/>
          <w:szCs w:val="24"/>
        </w:rPr>
        <w:t>The</w:t>
      </w:r>
      <w:proofErr w:type="spellEnd"/>
      <w:r w:rsidRPr="001D23A4">
        <w:rPr>
          <w:rFonts w:ascii="Garamond" w:hAnsi="Garamond"/>
          <w:i/>
          <w:sz w:val="24"/>
          <w:szCs w:val="24"/>
        </w:rPr>
        <w:t xml:space="preserve"> </w:t>
      </w:r>
      <w:proofErr w:type="spellStart"/>
      <w:r w:rsidRPr="001D23A4">
        <w:rPr>
          <w:rFonts w:ascii="Garamond" w:hAnsi="Garamond"/>
          <w:i/>
          <w:sz w:val="24"/>
          <w:szCs w:val="24"/>
        </w:rPr>
        <w:t>Codex</w:t>
      </w:r>
      <w:proofErr w:type="spellEnd"/>
      <w:r w:rsidRPr="001D23A4">
        <w:rPr>
          <w:rFonts w:ascii="Garamond" w:hAnsi="Garamond"/>
          <w:i/>
          <w:sz w:val="24"/>
          <w:szCs w:val="24"/>
        </w:rPr>
        <w:t xml:space="preserve"> </w:t>
      </w:r>
      <w:proofErr w:type="spellStart"/>
      <w:r w:rsidRPr="001D23A4">
        <w:rPr>
          <w:rFonts w:ascii="Garamond" w:hAnsi="Garamond"/>
          <w:i/>
          <w:sz w:val="24"/>
          <w:szCs w:val="24"/>
        </w:rPr>
        <w:t>of</w:t>
      </w:r>
      <w:proofErr w:type="spellEnd"/>
      <w:r w:rsidRPr="001D23A4">
        <w:rPr>
          <w:rFonts w:ascii="Garamond" w:hAnsi="Garamond"/>
          <w:i/>
          <w:sz w:val="24"/>
          <w:szCs w:val="24"/>
        </w:rPr>
        <w:t xml:space="preserve"> </w:t>
      </w:r>
      <w:proofErr w:type="spellStart"/>
      <w:r w:rsidRPr="001D23A4">
        <w:rPr>
          <w:rFonts w:ascii="Garamond" w:hAnsi="Garamond"/>
          <w:i/>
          <w:sz w:val="24"/>
          <w:szCs w:val="24"/>
        </w:rPr>
        <w:t>Justinian</w:t>
      </w:r>
      <w:proofErr w:type="spellEnd"/>
      <w:r w:rsidRPr="001D23A4">
        <w:rPr>
          <w:rFonts w:ascii="Garamond" w:hAnsi="Garamond"/>
          <w:i/>
          <w:sz w:val="24"/>
          <w:szCs w:val="24"/>
        </w:rPr>
        <w:t xml:space="preserve"> 3 Volume </w:t>
      </w:r>
      <w:proofErr w:type="spellStart"/>
      <w:r w:rsidRPr="001D23A4">
        <w:rPr>
          <w:rFonts w:ascii="Garamond" w:hAnsi="Garamond"/>
          <w:i/>
          <w:sz w:val="24"/>
          <w:szCs w:val="24"/>
        </w:rPr>
        <w:t>Hardback</w:t>
      </w:r>
      <w:proofErr w:type="spellEnd"/>
      <w:r w:rsidRPr="001D23A4">
        <w:rPr>
          <w:rFonts w:ascii="Garamond" w:hAnsi="Garamond"/>
          <w:i/>
          <w:sz w:val="24"/>
          <w:szCs w:val="24"/>
        </w:rPr>
        <w:t xml:space="preserve"> Set: A New </w:t>
      </w:r>
      <w:proofErr w:type="spellStart"/>
      <w:r w:rsidRPr="001D23A4">
        <w:rPr>
          <w:rFonts w:ascii="Garamond" w:hAnsi="Garamond"/>
          <w:i/>
          <w:sz w:val="24"/>
          <w:szCs w:val="24"/>
        </w:rPr>
        <w:t>Annotated</w:t>
      </w:r>
      <w:proofErr w:type="spellEnd"/>
      <w:r w:rsidRPr="001D23A4">
        <w:rPr>
          <w:rFonts w:ascii="Garamond" w:hAnsi="Garamond"/>
          <w:i/>
          <w:sz w:val="24"/>
          <w:szCs w:val="24"/>
        </w:rPr>
        <w:t xml:space="preserve"> </w:t>
      </w:r>
      <w:proofErr w:type="spellStart"/>
      <w:r w:rsidRPr="001D23A4">
        <w:rPr>
          <w:rFonts w:ascii="Garamond" w:hAnsi="Garamond"/>
          <w:i/>
          <w:sz w:val="24"/>
          <w:szCs w:val="24"/>
        </w:rPr>
        <w:t>Translation</w:t>
      </w:r>
      <w:proofErr w:type="spellEnd"/>
      <w:r w:rsidRPr="001D23A4">
        <w:rPr>
          <w:rFonts w:ascii="Garamond" w:hAnsi="Garamond"/>
          <w:i/>
          <w:sz w:val="24"/>
          <w:szCs w:val="24"/>
        </w:rPr>
        <w:t xml:space="preserve">, </w:t>
      </w:r>
      <w:proofErr w:type="spellStart"/>
      <w:r w:rsidRPr="001D23A4">
        <w:rPr>
          <w:rFonts w:ascii="Garamond" w:hAnsi="Garamond"/>
          <w:i/>
          <w:sz w:val="24"/>
          <w:szCs w:val="24"/>
        </w:rPr>
        <w:t>with</w:t>
      </w:r>
      <w:proofErr w:type="spellEnd"/>
      <w:r w:rsidRPr="001D23A4">
        <w:rPr>
          <w:rFonts w:ascii="Garamond" w:hAnsi="Garamond"/>
          <w:i/>
          <w:sz w:val="24"/>
          <w:szCs w:val="24"/>
        </w:rPr>
        <w:t xml:space="preserve"> </w:t>
      </w:r>
      <w:proofErr w:type="spellStart"/>
      <w:r w:rsidRPr="001D23A4">
        <w:rPr>
          <w:rFonts w:ascii="Garamond" w:hAnsi="Garamond"/>
          <w:i/>
          <w:sz w:val="24"/>
          <w:szCs w:val="24"/>
        </w:rPr>
        <w:t>Parallel</w:t>
      </w:r>
      <w:proofErr w:type="spellEnd"/>
      <w:r w:rsidRPr="001D23A4">
        <w:rPr>
          <w:rFonts w:ascii="Garamond" w:hAnsi="Garamond"/>
          <w:i/>
          <w:sz w:val="24"/>
          <w:szCs w:val="24"/>
        </w:rPr>
        <w:t xml:space="preserve"> Latin </w:t>
      </w:r>
      <w:proofErr w:type="spellStart"/>
      <w:r w:rsidRPr="001D23A4">
        <w:rPr>
          <w:rFonts w:ascii="Garamond" w:hAnsi="Garamond"/>
          <w:i/>
          <w:sz w:val="24"/>
          <w:szCs w:val="24"/>
        </w:rPr>
        <w:t>and</w:t>
      </w:r>
      <w:proofErr w:type="spellEnd"/>
      <w:r w:rsidRPr="001D23A4">
        <w:rPr>
          <w:rFonts w:ascii="Garamond" w:hAnsi="Garamond"/>
          <w:i/>
          <w:sz w:val="24"/>
          <w:szCs w:val="24"/>
        </w:rPr>
        <w:t xml:space="preserve"> </w:t>
      </w:r>
      <w:proofErr w:type="spellStart"/>
      <w:r w:rsidRPr="001D23A4">
        <w:rPr>
          <w:rFonts w:ascii="Garamond" w:hAnsi="Garamond"/>
          <w:i/>
          <w:sz w:val="24"/>
          <w:szCs w:val="24"/>
        </w:rPr>
        <w:t>Greek</w:t>
      </w:r>
      <w:proofErr w:type="spellEnd"/>
      <w:r w:rsidRPr="001D23A4">
        <w:rPr>
          <w:rFonts w:ascii="Garamond" w:hAnsi="Garamond"/>
          <w:i/>
          <w:sz w:val="24"/>
          <w:szCs w:val="24"/>
        </w:rPr>
        <w:t xml:space="preserve"> Text.</w:t>
      </w:r>
      <w:r w:rsidRPr="001D23A4">
        <w:rPr>
          <w:rFonts w:ascii="Garamond" w:hAnsi="Garamond"/>
          <w:sz w:val="24"/>
          <w:szCs w:val="24"/>
        </w:rPr>
        <w:t xml:space="preserve"> Cambridge: Cambridge University </w:t>
      </w:r>
      <w:proofErr w:type="spellStart"/>
      <w:r w:rsidRPr="001D23A4">
        <w:rPr>
          <w:rFonts w:ascii="Garamond" w:hAnsi="Garamond"/>
          <w:sz w:val="24"/>
          <w:szCs w:val="24"/>
        </w:rPr>
        <w:t>Press</w:t>
      </w:r>
      <w:proofErr w:type="spellEnd"/>
      <w:r w:rsidRPr="001D23A4">
        <w:rPr>
          <w:rFonts w:ascii="Garamond" w:hAnsi="Garamond"/>
          <w:sz w:val="24"/>
          <w:szCs w:val="24"/>
        </w:rPr>
        <w:t>, 2016. 2963 s.</w:t>
      </w:r>
    </w:p>
    <w:p w:rsidR="002D5D16" w:rsidRPr="001D23A4" w:rsidRDefault="002D5D16" w:rsidP="00FA1FF7">
      <w:pPr>
        <w:spacing w:line="360" w:lineRule="auto"/>
        <w:contextualSpacing/>
        <w:jc w:val="both"/>
        <w:rPr>
          <w:rFonts w:ascii="Garamond" w:hAnsi="Garamond"/>
          <w:sz w:val="24"/>
          <w:szCs w:val="24"/>
        </w:rPr>
      </w:pPr>
      <w:r w:rsidRPr="001D23A4">
        <w:rPr>
          <w:rFonts w:ascii="Garamond" w:hAnsi="Garamond"/>
          <w:sz w:val="24"/>
          <w:szCs w:val="24"/>
        </w:rPr>
        <w:t xml:space="preserve">KELLY, </w:t>
      </w:r>
      <w:proofErr w:type="spellStart"/>
      <w:r w:rsidRPr="001D23A4">
        <w:rPr>
          <w:rFonts w:ascii="Garamond" w:hAnsi="Garamond"/>
          <w:sz w:val="24"/>
          <w:szCs w:val="24"/>
        </w:rPr>
        <w:t>Christopher</w:t>
      </w:r>
      <w:proofErr w:type="spellEnd"/>
      <w:r w:rsidRPr="001D23A4">
        <w:rPr>
          <w:rFonts w:ascii="Garamond" w:hAnsi="Garamond"/>
          <w:sz w:val="24"/>
          <w:szCs w:val="24"/>
        </w:rPr>
        <w:t xml:space="preserve">. </w:t>
      </w:r>
      <w:proofErr w:type="spellStart"/>
      <w:r w:rsidRPr="001D23A4">
        <w:rPr>
          <w:rFonts w:ascii="Garamond" w:hAnsi="Garamond"/>
          <w:sz w:val="24"/>
          <w:szCs w:val="24"/>
        </w:rPr>
        <w:t>Ruling</w:t>
      </w:r>
      <w:proofErr w:type="spellEnd"/>
      <w:r w:rsidRPr="001D23A4">
        <w:rPr>
          <w:rFonts w:ascii="Garamond" w:hAnsi="Garamond"/>
          <w:sz w:val="24"/>
          <w:szCs w:val="24"/>
        </w:rPr>
        <w:t xml:space="preserve"> </w:t>
      </w:r>
      <w:proofErr w:type="spellStart"/>
      <w:r w:rsidRPr="001D23A4">
        <w:rPr>
          <w:rFonts w:ascii="Garamond" w:hAnsi="Garamond"/>
          <w:sz w:val="24"/>
          <w:szCs w:val="24"/>
        </w:rPr>
        <w:t>the</w:t>
      </w:r>
      <w:proofErr w:type="spellEnd"/>
      <w:r w:rsidRPr="001D23A4">
        <w:rPr>
          <w:rFonts w:ascii="Garamond" w:hAnsi="Garamond"/>
          <w:sz w:val="24"/>
          <w:szCs w:val="24"/>
        </w:rPr>
        <w:t xml:space="preserve"> </w:t>
      </w:r>
      <w:proofErr w:type="spellStart"/>
      <w:r w:rsidRPr="001D23A4">
        <w:rPr>
          <w:rFonts w:ascii="Garamond" w:hAnsi="Garamond"/>
          <w:sz w:val="24"/>
          <w:szCs w:val="24"/>
        </w:rPr>
        <w:t>Later</w:t>
      </w:r>
      <w:proofErr w:type="spellEnd"/>
      <w:r w:rsidRPr="001D23A4">
        <w:rPr>
          <w:rFonts w:ascii="Garamond" w:hAnsi="Garamond"/>
          <w:sz w:val="24"/>
          <w:szCs w:val="24"/>
        </w:rPr>
        <w:t xml:space="preserve"> Roman Empire. Harvard University </w:t>
      </w:r>
      <w:proofErr w:type="spellStart"/>
      <w:r w:rsidRPr="001D23A4">
        <w:rPr>
          <w:rFonts w:ascii="Garamond" w:hAnsi="Garamond"/>
          <w:sz w:val="24"/>
          <w:szCs w:val="24"/>
        </w:rPr>
        <w:t>Press</w:t>
      </w:r>
      <w:proofErr w:type="spellEnd"/>
      <w:r w:rsidRPr="001D23A4">
        <w:rPr>
          <w:rFonts w:ascii="Garamond" w:hAnsi="Garamond"/>
          <w:sz w:val="24"/>
          <w:szCs w:val="24"/>
        </w:rPr>
        <w:t>, 2009. 352 s.</w:t>
      </w:r>
    </w:p>
    <w:p w:rsidR="00316D4A" w:rsidRPr="001D23A4" w:rsidRDefault="002D5D16" w:rsidP="00FA1FF7">
      <w:pPr>
        <w:spacing w:line="360" w:lineRule="auto"/>
        <w:contextualSpacing/>
        <w:jc w:val="both"/>
        <w:rPr>
          <w:rFonts w:ascii="Garamond" w:hAnsi="Garamond"/>
          <w:sz w:val="24"/>
          <w:szCs w:val="24"/>
        </w:rPr>
      </w:pPr>
      <w:r w:rsidRPr="001D23A4">
        <w:rPr>
          <w:rFonts w:ascii="Garamond" w:hAnsi="Garamond"/>
          <w:sz w:val="24"/>
          <w:szCs w:val="24"/>
        </w:rPr>
        <w:t xml:space="preserve">KINCL, Jaromír, URFUS, Valentin, SKŘEJPEK, Michal. </w:t>
      </w:r>
      <w:r w:rsidRPr="001D23A4">
        <w:rPr>
          <w:rFonts w:ascii="Garamond" w:hAnsi="Garamond"/>
          <w:i/>
          <w:sz w:val="24"/>
          <w:szCs w:val="24"/>
        </w:rPr>
        <w:t>Římské právo.</w:t>
      </w:r>
      <w:r w:rsidRPr="001D23A4">
        <w:rPr>
          <w:rFonts w:ascii="Garamond" w:hAnsi="Garamond"/>
          <w:sz w:val="24"/>
          <w:szCs w:val="24"/>
        </w:rPr>
        <w:t xml:space="preserve"> Praha: C. H. </w:t>
      </w:r>
      <w:proofErr w:type="spellStart"/>
      <w:r w:rsidRPr="001D23A4">
        <w:rPr>
          <w:rFonts w:ascii="Garamond" w:hAnsi="Garamond"/>
          <w:sz w:val="24"/>
          <w:szCs w:val="24"/>
        </w:rPr>
        <w:t>Beck</w:t>
      </w:r>
      <w:proofErr w:type="spellEnd"/>
      <w:r w:rsidRPr="001D23A4">
        <w:rPr>
          <w:rFonts w:ascii="Garamond" w:hAnsi="Garamond"/>
          <w:sz w:val="24"/>
          <w:szCs w:val="24"/>
        </w:rPr>
        <w:t>, 1995. 386 s.</w:t>
      </w:r>
    </w:p>
    <w:p w:rsidR="002D5D16" w:rsidRPr="001D23A4" w:rsidRDefault="002D5D16" w:rsidP="00FA1FF7">
      <w:pPr>
        <w:spacing w:line="360" w:lineRule="auto"/>
        <w:contextualSpacing/>
        <w:jc w:val="both"/>
        <w:rPr>
          <w:rFonts w:ascii="Garamond" w:hAnsi="Garamond"/>
          <w:sz w:val="24"/>
          <w:szCs w:val="24"/>
        </w:rPr>
      </w:pPr>
      <w:r w:rsidRPr="001D23A4">
        <w:rPr>
          <w:rFonts w:ascii="Garamond" w:hAnsi="Garamond"/>
          <w:sz w:val="24"/>
          <w:szCs w:val="24"/>
        </w:rPr>
        <w:t xml:space="preserve">MERKEL, </w:t>
      </w:r>
      <w:proofErr w:type="spellStart"/>
      <w:r w:rsidRPr="001D23A4">
        <w:rPr>
          <w:rFonts w:ascii="Garamond" w:hAnsi="Garamond"/>
          <w:sz w:val="24"/>
          <w:szCs w:val="24"/>
        </w:rPr>
        <w:t>Johannes</w:t>
      </w:r>
      <w:proofErr w:type="spellEnd"/>
      <w:r w:rsidRPr="001D23A4">
        <w:rPr>
          <w:rFonts w:ascii="Garamond" w:hAnsi="Garamond"/>
          <w:sz w:val="24"/>
          <w:szCs w:val="24"/>
        </w:rPr>
        <w:t xml:space="preserve">. </w:t>
      </w:r>
      <w:proofErr w:type="spellStart"/>
      <w:r w:rsidRPr="001D23A4">
        <w:rPr>
          <w:rFonts w:ascii="Garamond" w:hAnsi="Garamond"/>
          <w:i/>
          <w:sz w:val="24"/>
          <w:szCs w:val="24"/>
        </w:rPr>
        <w:t>Abhandlungen</w:t>
      </w:r>
      <w:proofErr w:type="spellEnd"/>
      <w:r w:rsidRPr="001D23A4">
        <w:rPr>
          <w:rFonts w:ascii="Garamond" w:hAnsi="Garamond"/>
          <w:i/>
          <w:sz w:val="24"/>
          <w:szCs w:val="24"/>
        </w:rPr>
        <w:t xml:space="preserve"> </w:t>
      </w:r>
      <w:proofErr w:type="spellStart"/>
      <w:r w:rsidRPr="001D23A4">
        <w:rPr>
          <w:rFonts w:ascii="Garamond" w:hAnsi="Garamond"/>
          <w:i/>
          <w:sz w:val="24"/>
          <w:szCs w:val="24"/>
        </w:rPr>
        <w:t>aus</w:t>
      </w:r>
      <w:proofErr w:type="spellEnd"/>
      <w:r w:rsidRPr="001D23A4">
        <w:rPr>
          <w:rFonts w:ascii="Garamond" w:hAnsi="Garamond"/>
          <w:i/>
          <w:sz w:val="24"/>
          <w:szCs w:val="24"/>
        </w:rPr>
        <w:t xml:space="preserve"> </w:t>
      </w:r>
      <w:proofErr w:type="spellStart"/>
      <w:r w:rsidRPr="001D23A4">
        <w:rPr>
          <w:rFonts w:ascii="Garamond" w:hAnsi="Garamond"/>
          <w:i/>
          <w:sz w:val="24"/>
          <w:szCs w:val="24"/>
        </w:rPr>
        <w:t>dem</w:t>
      </w:r>
      <w:proofErr w:type="spellEnd"/>
      <w:r w:rsidRPr="001D23A4">
        <w:rPr>
          <w:rFonts w:ascii="Garamond" w:hAnsi="Garamond"/>
          <w:i/>
          <w:sz w:val="24"/>
          <w:szCs w:val="24"/>
        </w:rPr>
        <w:t xml:space="preserve"> </w:t>
      </w:r>
      <w:proofErr w:type="spellStart"/>
      <w:r w:rsidRPr="001D23A4">
        <w:rPr>
          <w:rFonts w:ascii="Garamond" w:hAnsi="Garamond"/>
          <w:i/>
          <w:sz w:val="24"/>
          <w:szCs w:val="24"/>
        </w:rPr>
        <w:t>Gebiete</w:t>
      </w:r>
      <w:proofErr w:type="spellEnd"/>
      <w:r w:rsidRPr="001D23A4">
        <w:rPr>
          <w:rFonts w:ascii="Garamond" w:hAnsi="Garamond"/>
          <w:i/>
          <w:sz w:val="24"/>
          <w:szCs w:val="24"/>
        </w:rPr>
        <w:t xml:space="preserve"> des </w:t>
      </w:r>
      <w:proofErr w:type="spellStart"/>
      <w:r w:rsidRPr="001D23A4">
        <w:rPr>
          <w:rFonts w:ascii="Garamond" w:hAnsi="Garamond"/>
          <w:i/>
          <w:sz w:val="24"/>
          <w:szCs w:val="24"/>
        </w:rPr>
        <w:t>römischen</w:t>
      </w:r>
      <w:proofErr w:type="spellEnd"/>
      <w:r w:rsidRPr="001D23A4">
        <w:rPr>
          <w:rFonts w:ascii="Garamond" w:hAnsi="Garamond"/>
          <w:i/>
          <w:sz w:val="24"/>
          <w:szCs w:val="24"/>
        </w:rPr>
        <w:t xml:space="preserve"> </w:t>
      </w:r>
      <w:proofErr w:type="spellStart"/>
      <w:r w:rsidRPr="001D23A4">
        <w:rPr>
          <w:rFonts w:ascii="Garamond" w:hAnsi="Garamond"/>
          <w:i/>
          <w:sz w:val="24"/>
          <w:szCs w:val="24"/>
        </w:rPr>
        <w:t>Rechts</w:t>
      </w:r>
      <w:proofErr w:type="spellEnd"/>
      <w:r w:rsidRPr="001D23A4">
        <w:rPr>
          <w:rFonts w:ascii="Garamond" w:hAnsi="Garamond"/>
          <w:i/>
          <w:sz w:val="24"/>
          <w:szCs w:val="24"/>
        </w:rPr>
        <w:t xml:space="preserve">. Heft III., </w:t>
      </w:r>
      <w:proofErr w:type="spellStart"/>
      <w:r w:rsidRPr="001D23A4">
        <w:rPr>
          <w:rFonts w:ascii="Garamond" w:hAnsi="Garamond"/>
          <w:i/>
          <w:sz w:val="24"/>
          <w:szCs w:val="24"/>
        </w:rPr>
        <w:t>Über</w:t>
      </w:r>
      <w:proofErr w:type="spellEnd"/>
      <w:r w:rsidRPr="001D23A4">
        <w:rPr>
          <w:rFonts w:ascii="Garamond" w:hAnsi="Garamond"/>
          <w:i/>
          <w:sz w:val="24"/>
          <w:szCs w:val="24"/>
        </w:rPr>
        <w:t xml:space="preserve"> </w:t>
      </w:r>
      <w:proofErr w:type="spellStart"/>
      <w:r w:rsidRPr="001D23A4">
        <w:rPr>
          <w:rFonts w:ascii="Garamond" w:hAnsi="Garamond"/>
          <w:i/>
          <w:sz w:val="24"/>
          <w:szCs w:val="24"/>
        </w:rPr>
        <w:t>die</w:t>
      </w:r>
      <w:proofErr w:type="spellEnd"/>
      <w:r w:rsidRPr="001D23A4">
        <w:rPr>
          <w:rFonts w:ascii="Garamond" w:hAnsi="Garamond"/>
          <w:i/>
          <w:sz w:val="24"/>
          <w:szCs w:val="24"/>
        </w:rPr>
        <w:t xml:space="preserve"> </w:t>
      </w:r>
      <w:proofErr w:type="spellStart"/>
      <w:r w:rsidRPr="001D23A4">
        <w:rPr>
          <w:rFonts w:ascii="Garamond" w:hAnsi="Garamond"/>
          <w:i/>
          <w:sz w:val="24"/>
          <w:szCs w:val="24"/>
        </w:rPr>
        <w:t>Entstehung</w:t>
      </w:r>
      <w:proofErr w:type="spellEnd"/>
      <w:r w:rsidRPr="001D23A4">
        <w:rPr>
          <w:rFonts w:ascii="Garamond" w:hAnsi="Garamond"/>
          <w:i/>
          <w:sz w:val="24"/>
          <w:szCs w:val="24"/>
        </w:rPr>
        <w:t xml:space="preserve"> des </w:t>
      </w:r>
      <w:proofErr w:type="spellStart"/>
      <w:r w:rsidRPr="001D23A4">
        <w:rPr>
          <w:rFonts w:ascii="Garamond" w:hAnsi="Garamond"/>
          <w:i/>
          <w:sz w:val="24"/>
          <w:szCs w:val="24"/>
        </w:rPr>
        <w:t>römischen</w:t>
      </w:r>
      <w:proofErr w:type="spellEnd"/>
      <w:r w:rsidRPr="001D23A4">
        <w:rPr>
          <w:rFonts w:ascii="Garamond" w:hAnsi="Garamond"/>
          <w:i/>
          <w:sz w:val="24"/>
          <w:szCs w:val="24"/>
        </w:rPr>
        <w:t xml:space="preserve"> </w:t>
      </w:r>
      <w:proofErr w:type="spellStart"/>
      <w:r w:rsidRPr="001D23A4">
        <w:rPr>
          <w:rFonts w:ascii="Garamond" w:hAnsi="Garamond"/>
          <w:i/>
          <w:sz w:val="24"/>
          <w:szCs w:val="24"/>
        </w:rPr>
        <w:t>Beamtengehaltes</w:t>
      </w:r>
      <w:proofErr w:type="spellEnd"/>
      <w:r w:rsidRPr="001D23A4">
        <w:rPr>
          <w:rFonts w:ascii="Garamond" w:hAnsi="Garamond"/>
          <w:i/>
          <w:sz w:val="24"/>
          <w:szCs w:val="24"/>
        </w:rPr>
        <w:t xml:space="preserve"> </w:t>
      </w:r>
      <w:proofErr w:type="spellStart"/>
      <w:r w:rsidRPr="001D23A4">
        <w:rPr>
          <w:rFonts w:ascii="Garamond" w:hAnsi="Garamond"/>
          <w:i/>
          <w:sz w:val="24"/>
          <w:szCs w:val="24"/>
        </w:rPr>
        <w:t>und</w:t>
      </w:r>
      <w:proofErr w:type="spellEnd"/>
      <w:r w:rsidRPr="001D23A4">
        <w:rPr>
          <w:rFonts w:ascii="Garamond" w:hAnsi="Garamond"/>
          <w:i/>
          <w:sz w:val="24"/>
          <w:szCs w:val="24"/>
        </w:rPr>
        <w:t xml:space="preserve"> </w:t>
      </w:r>
      <w:proofErr w:type="spellStart"/>
      <w:r w:rsidRPr="001D23A4">
        <w:rPr>
          <w:rFonts w:ascii="Garamond" w:hAnsi="Garamond"/>
          <w:i/>
          <w:sz w:val="24"/>
          <w:szCs w:val="24"/>
        </w:rPr>
        <w:t>über</w:t>
      </w:r>
      <w:proofErr w:type="spellEnd"/>
      <w:r w:rsidRPr="001D23A4">
        <w:rPr>
          <w:rFonts w:ascii="Garamond" w:hAnsi="Garamond"/>
          <w:i/>
          <w:sz w:val="24"/>
          <w:szCs w:val="24"/>
        </w:rPr>
        <w:t xml:space="preserve"> </w:t>
      </w:r>
      <w:proofErr w:type="spellStart"/>
      <w:r w:rsidRPr="001D23A4">
        <w:rPr>
          <w:rFonts w:ascii="Garamond" w:hAnsi="Garamond"/>
          <w:i/>
          <w:sz w:val="24"/>
          <w:szCs w:val="24"/>
        </w:rPr>
        <w:t>römische</w:t>
      </w:r>
      <w:proofErr w:type="spellEnd"/>
      <w:r w:rsidRPr="001D23A4">
        <w:rPr>
          <w:rFonts w:ascii="Garamond" w:hAnsi="Garamond"/>
          <w:i/>
          <w:sz w:val="24"/>
          <w:szCs w:val="24"/>
        </w:rPr>
        <w:t xml:space="preserve"> </w:t>
      </w:r>
      <w:proofErr w:type="spellStart"/>
      <w:r w:rsidRPr="001D23A4">
        <w:rPr>
          <w:rFonts w:ascii="Garamond" w:hAnsi="Garamond"/>
          <w:i/>
          <w:sz w:val="24"/>
          <w:szCs w:val="24"/>
        </w:rPr>
        <w:t>Gerichtsgebühren</w:t>
      </w:r>
      <w:proofErr w:type="spellEnd"/>
      <w:r w:rsidRPr="001D23A4">
        <w:rPr>
          <w:rFonts w:ascii="Garamond" w:hAnsi="Garamond"/>
          <w:sz w:val="24"/>
          <w:szCs w:val="24"/>
        </w:rPr>
        <w:t xml:space="preserve">. Max </w:t>
      </w:r>
      <w:proofErr w:type="spellStart"/>
      <w:r w:rsidRPr="001D23A4">
        <w:rPr>
          <w:rFonts w:ascii="Garamond" w:hAnsi="Garamond"/>
          <w:sz w:val="24"/>
          <w:szCs w:val="24"/>
        </w:rPr>
        <w:t>Niemeyer</w:t>
      </w:r>
      <w:proofErr w:type="spellEnd"/>
      <w:r w:rsidRPr="001D23A4">
        <w:rPr>
          <w:rFonts w:ascii="Garamond" w:hAnsi="Garamond"/>
          <w:sz w:val="24"/>
          <w:szCs w:val="24"/>
        </w:rPr>
        <w:t>, 1888. 174 s.</w:t>
      </w:r>
    </w:p>
    <w:p w:rsidR="002D5D16" w:rsidRPr="001D23A4" w:rsidRDefault="002D5D16" w:rsidP="00FA1FF7">
      <w:pPr>
        <w:spacing w:line="360" w:lineRule="auto"/>
        <w:contextualSpacing/>
        <w:jc w:val="both"/>
        <w:rPr>
          <w:rFonts w:ascii="Garamond" w:hAnsi="Garamond"/>
          <w:sz w:val="24"/>
          <w:szCs w:val="24"/>
        </w:rPr>
      </w:pPr>
      <w:r w:rsidRPr="001D23A4">
        <w:rPr>
          <w:rFonts w:ascii="Garamond" w:hAnsi="Garamond"/>
          <w:sz w:val="24"/>
          <w:szCs w:val="24"/>
        </w:rPr>
        <w:t>SPÁČIL, Jiří a kol. Občanský zákoník III. Věcná práva (§ 976–1474). 1. vydání. Praha: N</w:t>
      </w:r>
      <w:r w:rsidR="00365DDE">
        <w:rPr>
          <w:rFonts w:ascii="Garamond" w:hAnsi="Garamond"/>
          <w:sz w:val="24"/>
          <w:szCs w:val="24"/>
        </w:rPr>
        <w:t xml:space="preserve">akladatelství C. H. </w:t>
      </w:r>
      <w:proofErr w:type="spellStart"/>
      <w:r w:rsidR="00365DDE">
        <w:rPr>
          <w:rFonts w:ascii="Garamond" w:hAnsi="Garamond"/>
          <w:sz w:val="24"/>
          <w:szCs w:val="24"/>
        </w:rPr>
        <w:t>Beck</w:t>
      </w:r>
      <w:proofErr w:type="spellEnd"/>
      <w:r w:rsidR="00365DDE">
        <w:rPr>
          <w:rFonts w:ascii="Garamond" w:hAnsi="Garamond"/>
          <w:sz w:val="24"/>
          <w:szCs w:val="24"/>
        </w:rPr>
        <w:t>, 2013. 1280 s.</w:t>
      </w:r>
    </w:p>
    <w:p w:rsidR="002D5D16" w:rsidRPr="001D23A4" w:rsidRDefault="002D5D16" w:rsidP="00FA1FF7">
      <w:pPr>
        <w:spacing w:line="360" w:lineRule="auto"/>
        <w:contextualSpacing/>
        <w:jc w:val="both"/>
        <w:rPr>
          <w:rFonts w:ascii="Garamond" w:hAnsi="Garamond"/>
          <w:sz w:val="24"/>
          <w:szCs w:val="24"/>
        </w:rPr>
      </w:pPr>
      <w:r w:rsidRPr="001D23A4">
        <w:rPr>
          <w:rFonts w:ascii="Garamond" w:hAnsi="Garamond"/>
          <w:sz w:val="24"/>
          <w:szCs w:val="24"/>
        </w:rPr>
        <w:t xml:space="preserve">SVOBODA, Karel a kol. Občanský soudní řád. Komentář. 1. vydání. Praha: C. H. </w:t>
      </w:r>
      <w:proofErr w:type="spellStart"/>
      <w:r w:rsidRPr="001D23A4">
        <w:rPr>
          <w:rFonts w:ascii="Garamond" w:hAnsi="Garamond"/>
          <w:sz w:val="24"/>
          <w:szCs w:val="24"/>
        </w:rPr>
        <w:t>Beck</w:t>
      </w:r>
      <w:proofErr w:type="spellEnd"/>
      <w:r w:rsidRPr="001D23A4">
        <w:rPr>
          <w:rFonts w:ascii="Garamond" w:hAnsi="Garamond"/>
          <w:sz w:val="24"/>
          <w:szCs w:val="24"/>
        </w:rPr>
        <w:t>, 2013. 1422 s.</w:t>
      </w:r>
    </w:p>
    <w:p w:rsidR="002326F5" w:rsidRPr="001D23A4" w:rsidRDefault="002D5D16" w:rsidP="00FA1FF7">
      <w:pPr>
        <w:spacing w:line="360" w:lineRule="auto"/>
        <w:contextualSpacing/>
        <w:jc w:val="both"/>
        <w:rPr>
          <w:rFonts w:ascii="Garamond" w:hAnsi="Garamond"/>
          <w:sz w:val="24"/>
          <w:szCs w:val="24"/>
        </w:rPr>
      </w:pPr>
      <w:r w:rsidRPr="001D23A4">
        <w:rPr>
          <w:rFonts w:ascii="Garamond" w:hAnsi="Garamond"/>
          <w:sz w:val="24"/>
          <w:szCs w:val="24"/>
        </w:rPr>
        <w:t xml:space="preserve">VÁŽNÝ, Jan. </w:t>
      </w:r>
      <w:r w:rsidRPr="001D23A4">
        <w:rPr>
          <w:rFonts w:ascii="Garamond" w:hAnsi="Garamond"/>
          <w:i/>
          <w:sz w:val="24"/>
          <w:szCs w:val="24"/>
        </w:rPr>
        <w:t>Římský proces civilní.</w:t>
      </w:r>
      <w:r w:rsidRPr="001D23A4">
        <w:rPr>
          <w:rFonts w:ascii="Garamond" w:hAnsi="Garamond"/>
          <w:sz w:val="24"/>
          <w:szCs w:val="24"/>
        </w:rPr>
        <w:t xml:space="preserve"> 1. </w:t>
      </w:r>
      <w:proofErr w:type="spellStart"/>
      <w:r w:rsidRPr="001D23A4">
        <w:rPr>
          <w:rFonts w:ascii="Garamond" w:hAnsi="Garamond"/>
          <w:sz w:val="24"/>
          <w:szCs w:val="24"/>
        </w:rPr>
        <w:t>vyd</w:t>
      </w:r>
      <w:proofErr w:type="spellEnd"/>
      <w:r w:rsidRPr="001D23A4">
        <w:rPr>
          <w:rFonts w:ascii="Garamond" w:hAnsi="Garamond"/>
          <w:sz w:val="24"/>
          <w:szCs w:val="24"/>
        </w:rPr>
        <w:t xml:space="preserve">. Praha: </w:t>
      </w:r>
      <w:proofErr w:type="spellStart"/>
      <w:r w:rsidRPr="001D23A4">
        <w:rPr>
          <w:rFonts w:ascii="Garamond" w:hAnsi="Garamond"/>
          <w:sz w:val="24"/>
          <w:szCs w:val="24"/>
        </w:rPr>
        <w:t>Melantrich</w:t>
      </w:r>
      <w:proofErr w:type="spellEnd"/>
      <w:r w:rsidRPr="001D23A4">
        <w:rPr>
          <w:rFonts w:ascii="Garamond" w:hAnsi="Garamond"/>
          <w:sz w:val="24"/>
          <w:szCs w:val="24"/>
        </w:rPr>
        <w:t>, 1935. 125 s.</w:t>
      </w:r>
    </w:p>
    <w:p w:rsidR="002326F5" w:rsidRPr="00646C74" w:rsidRDefault="002326F5" w:rsidP="00646C74">
      <w:pPr>
        <w:spacing w:after="0" w:line="360" w:lineRule="auto"/>
        <w:jc w:val="both"/>
        <w:rPr>
          <w:rFonts w:ascii="Garamond" w:hAnsi="Garamond"/>
          <w:b/>
          <w:sz w:val="28"/>
          <w:szCs w:val="28"/>
        </w:rPr>
      </w:pPr>
      <w:r w:rsidRPr="00646C74">
        <w:rPr>
          <w:rFonts w:ascii="Garamond" w:hAnsi="Garamond"/>
          <w:b/>
          <w:sz w:val="28"/>
          <w:szCs w:val="28"/>
        </w:rPr>
        <w:t>Odborné časopisy</w:t>
      </w:r>
    </w:p>
    <w:p w:rsidR="00316D4A" w:rsidRPr="001D23A4" w:rsidRDefault="00316D4A" w:rsidP="00FA1FF7">
      <w:pPr>
        <w:spacing w:line="360" w:lineRule="auto"/>
        <w:contextualSpacing/>
        <w:jc w:val="both"/>
        <w:rPr>
          <w:rFonts w:ascii="Garamond" w:hAnsi="Garamond"/>
          <w:sz w:val="24"/>
          <w:szCs w:val="24"/>
        </w:rPr>
      </w:pPr>
      <w:r w:rsidRPr="001D23A4">
        <w:rPr>
          <w:rFonts w:ascii="Garamond" w:hAnsi="Garamond"/>
          <w:sz w:val="24"/>
          <w:szCs w:val="24"/>
        </w:rPr>
        <w:t xml:space="preserve">CHROUST, Anton-Hermann. </w:t>
      </w:r>
      <w:proofErr w:type="spellStart"/>
      <w:r w:rsidRPr="001D23A4">
        <w:rPr>
          <w:rFonts w:ascii="Garamond" w:hAnsi="Garamond"/>
          <w:sz w:val="24"/>
          <w:szCs w:val="24"/>
        </w:rPr>
        <w:t>Legal</w:t>
      </w:r>
      <w:proofErr w:type="spellEnd"/>
      <w:r w:rsidRPr="001D23A4">
        <w:rPr>
          <w:rFonts w:ascii="Garamond" w:hAnsi="Garamond"/>
          <w:sz w:val="24"/>
          <w:szCs w:val="24"/>
        </w:rPr>
        <w:t xml:space="preserve"> </w:t>
      </w:r>
      <w:proofErr w:type="spellStart"/>
      <w:r w:rsidRPr="001D23A4">
        <w:rPr>
          <w:rFonts w:ascii="Garamond" w:hAnsi="Garamond"/>
          <w:sz w:val="24"/>
          <w:szCs w:val="24"/>
        </w:rPr>
        <w:t>Profession</w:t>
      </w:r>
      <w:proofErr w:type="spellEnd"/>
      <w:r w:rsidRPr="001D23A4">
        <w:rPr>
          <w:rFonts w:ascii="Garamond" w:hAnsi="Garamond"/>
          <w:sz w:val="24"/>
          <w:szCs w:val="24"/>
        </w:rPr>
        <w:t xml:space="preserve"> in </w:t>
      </w:r>
      <w:proofErr w:type="spellStart"/>
      <w:r w:rsidRPr="001D23A4">
        <w:rPr>
          <w:rFonts w:ascii="Garamond" w:hAnsi="Garamond"/>
          <w:sz w:val="24"/>
          <w:szCs w:val="24"/>
        </w:rPr>
        <w:t>Ancient</w:t>
      </w:r>
      <w:proofErr w:type="spellEnd"/>
      <w:r w:rsidRPr="001D23A4">
        <w:rPr>
          <w:rFonts w:ascii="Garamond" w:hAnsi="Garamond"/>
          <w:sz w:val="24"/>
          <w:szCs w:val="24"/>
        </w:rPr>
        <w:t xml:space="preserve"> </w:t>
      </w:r>
      <w:proofErr w:type="spellStart"/>
      <w:r w:rsidRPr="001D23A4">
        <w:rPr>
          <w:rFonts w:ascii="Garamond" w:hAnsi="Garamond"/>
          <w:sz w:val="24"/>
          <w:szCs w:val="24"/>
        </w:rPr>
        <w:t>Imperial</w:t>
      </w:r>
      <w:proofErr w:type="spellEnd"/>
      <w:r w:rsidRPr="001D23A4">
        <w:rPr>
          <w:rFonts w:ascii="Garamond" w:hAnsi="Garamond"/>
          <w:sz w:val="24"/>
          <w:szCs w:val="24"/>
        </w:rPr>
        <w:t xml:space="preserve"> Rome. </w:t>
      </w:r>
      <w:proofErr w:type="spellStart"/>
      <w:r w:rsidRPr="001D23A4">
        <w:rPr>
          <w:rFonts w:ascii="Garamond" w:hAnsi="Garamond"/>
          <w:i/>
          <w:sz w:val="24"/>
          <w:szCs w:val="24"/>
        </w:rPr>
        <w:t>Notre</w:t>
      </w:r>
      <w:proofErr w:type="spellEnd"/>
      <w:r w:rsidRPr="001D23A4">
        <w:rPr>
          <w:rFonts w:ascii="Garamond" w:hAnsi="Garamond"/>
          <w:i/>
          <w:sz w:val="24"/>
          <w:szCs w:val="24"/>
        </w:rPr>
        <w:t xml:space="preserve"> </w:t>
      </w:r>
      <w:proofErr w:type="spellStart"/>
      <w:r w:rsidRPr="001D23A4">
        <w:rPr>
          <w:rFonts w:ascii="Garamond" w:hAnsi="Garamond"/>
          <w:i/>
          <w:sz w:val="24"/>
          <w:szCs w:val="24"/>
        </w:rPr>
        <w:t>Dame</w:t>
      </w:r>
      <w:proofErr w:type="spellEnd"/>
      <w:r w:rsidRPr="001D23A4">
        <w:rPr>
          <w:rFonts w:ascii="Garamond" w:hAnsi="Garamond"/>
          <w:i/>
          <w:sz w:val="24"/>
          <w:szCs w:val="24"/>
        </w:rPr>
        <w:t xml:space="preserve"> </w:t>
      </w:r>
      <w:proofErr w:type="spellStart"/>
      <w:r w:rsidRPr="001D23A4">
        <w:rPr>
          <w:rFonts w:ascii="Garamond" w:hAnsi="Garamond"/>
          <w:i/>
          <w:sz w:val="24"/>
          <w:szCs w:val="24"/>
        </w:rPr>
        <w:t>Law</w:t>
      </w:r>
      <w:proofErr w:type="spellEnd"/>
      <w:r w:rsidRPr="001D23A4">
        <w:rPr>
          <w:rFonts w:ascii="Garamond" w:hAnsi="Garamond"/>
          <w:i/>
          <w:sz w:val="24"/>
          <w:szCs w:val="24"/>
        </w:rPr>
        <w:t xml:space="preserve"> </w:t>
      </w:r>
      <w:proofErr w:type="spellStart"/>
      <w:r w:rsidRPr="001D23A4">
        <w:rPr>
          <w:rFonts w:ascii="Garamond" w:hAnsi="Garamond"/>
          <w:i/>
          <w:sz w:val="24"/>
          <w:szCs w:val="24"/>
        </w:rPr>
        <w:t>Review</w:t>
      </w:r>
      <w:proofErr w:type="spellEnd"/>
      <w:r w:rsidRPr="001D23A4">
        <w:rPr>
          <w:rFonts w:ascii="Garamond" w:hAnsi="Garamond"/>
          <w:sz w:val="24"/>
          <w:szCs w:val="24"/>
        </w:rPr>
        <w:t xml:space="preserve">, 1955, </w:t>
      </w:r>
      <w:proofErr w:type="spellStart"/>
      <w:r w:rsidRPr="001D23A4">
        <w:rPr>
          <w:rFonts w:ascii="Garamond" w:hAnsi="Garamond"/>
          <w:sz w:val="24"/>
          <w:szCs w:val="24"/>
        </w:rPr>
        <w:t>roč</w:t>
      </w:r>
      <w:proofErr w:type="spellEnd"/>
      <w:r w:rsidRPr="001D23A4">
        <w:rPr>
          <w:rFonts w:ascii="Garamond" w:hAnsi="Garamond"/>
          <w:sz w:val="24"/>
          <w:szCs w:val="24"/>
        </w:rPr>
        <w:t>. 30, s. 521 – 616.</w:t>
      </w:r>
    </w:p>
    <w:p w:rsidR="002326F5" w:rsidRPr="00646C74" w:rsidRDefault="002326F5" w:rsidP="00646C74">
      <w:pPr>
        <w:spacing w:after="0" w:line="360" w:lineRule="auto"/>
        <w:jc w:val="both"/>
        <w:rPr>
          <w:rFonts w:ascii="Garamond" w:hAnsi="Garamond"/>
          <w:b/>
          <w:sz w:val="28"/>
          <w:szCs w:val="28"/>
        </w:rPr>
      </w:pPr>
      <w:r w:rsidRPr="00646C74">
        <w:rPr>
          <w:rFonts w:ascii="Garamond" w:hAnsi="Garamond"/>
          <w:b/>
          <w:sz w:val="28"/>
          <w:szCs w:val="28"/>
        </w:rPr>
        <w:t>Právní předpisy</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vyhláška č. 37/1992 Sb., o jednacím řádu pro okresní a krajské soudy, ve znění pozdějších předpisů</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lastRenderedPageBreak/>
        <w:t>vyhláška č. 177/1996 Sb., o odměnách advokátů a náhradách advokátů za poskytování právních služeb, ve znění pozdějších předpisů</w:t>
      </w:r>
    </w:p>
    <w:p w:rsidR="00C63164" w:rsidRPr="001D23A4" w:rsidRDefault="00C63164" w:rsidP="00FA1FF7">
      <w:pPr>
        <w:spacing w:line="360" w:lineRule="auto"/>
        <w:contextualSpacing/>
        <w:jc w:val="both"/>
        <w:rPr>
          <w:rFonts w:ascii="Garamond" w:hAnsi="Garamond"/>
          <w:sz w:val="24"/>
          <w:szCs w:val="24"/>
        </w:rPr>
      </w:pPr>
      <w:r w:rsidRPr="001D23A4">
        <w:rPr>
          <w:rFonts w:ascii="Garamond" w:hAnsi="Garamond"/>
          <w:sz w:val="24"/>
          <w:szCs w:val="24"/>
        </w:rPr>
        <w:t>zákon č. 99/1963 Sb., občanský soudní řád, ve znění pozdějších předpisů</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zákon č. 549/1991 Sb., o soudních poplatcích, ve znění pozdějších předpisů</w:t>
      </w:r>
    </w:p>
    <w:p w:rsidR="00A20106" w:rsidRPr="001D23A4" w:rsidRDefault="00A20106" w:rsidP="00FA1FF7">
      <w:pPr>
        <w:pStyle w:val="Textpoznpodarou"/>
        <w:keepNext/>
        <w:spacing w:line="360" w:lineRule="auto"/>
        <w:contextualSpacing/>
        <w:jc w:val="both"/>
        <w:rPr>
          <w:rFonts w:ascii="Garamond" w:hAnsi="Garamond"/>
          <w:sz w:val="24"/>
          <w:szCs w:val="24"/>
        </w:rPr>
      </w:pPr>
      <w:r w:rsidRPr="001D23A4">
        <w:rPr>
          <w:rFonts w:ascii="Garamond" w:hAnsi="Garamond"/>
          <w:sz w:val="24"/>
          <w:szCs w:val="24"/>
        </w:rPr>
        <w:t>zákon č. 120/2001 Sb., o soudních exekutorech a exekuční činnosti a o změně dalších zákonů, ve znění pozdějších předpisů</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zákon č. 89/2012 Sb., občanský zákoník, ve znění pozdějších předpisů</w:t>
      </w:r>
    </w:p>
    <w:p w:rsidR="002326F5" w:rsidRPr="00646C74" w:rsidRDefault="002326F5" w:rsidP="00646C74">
      <w:pPr>
        <w:spacing w:after="0" w:line="360" w:lineRule="auto"/>
        <w:jc w:val="both"/>
        <w:rPr>
          <w:rFonts w:ascii="Garamond" w:hAnsi="Garamond"/>
          <w:b/>
          <w:sz w:val="28"/>
          <w:szCs w:val="28"/>
        </w:rPr>
      </w:pPr>
      <w:r w:rsidRPr="00646C74">
        <w:rPr>
          <w:rFonts w:ascii="Garamond" w:hAnsi="Garamond"/>
          <w:b/>
          <w:sz w:val="28"/>
          <w:szCs w:val="28"/>
        </w:rPr>
        <w:t>Judikáty</w:t>
      </w:r>
    </w:p>
    <w:p w:rsidR="00A20106" w:rsidRDefault="00A20106" w:rsidP="00FA1FF7">
      <w:pPr>
        <w:spacing w:line="360" w:lineRule="auto"/>
        <w:contextualSpacing/>
        <w:jc w:val="both"/>
        <w:rPr>
          <w:rFonts w:ascii="Garamond" w:hAnsi="Garamond"/>
          <w:sz w:val="24"/>
          <w:szCs w:val="24"/>
        </w:rPr>
      </w:pPr>
      <w:r w:rsidRPr="001D23A4">
        <w:rPr>
          <w:rFonts w:ascii="Garamond" w:hAnsi="Garamond"/>
          <w:sz w:val="24"/>
          <w:szCs w:val="24"/>
        </w:rPr>
        <w:t xml:space="preserve">rozsudek Nejvyššího soudu ze dne 3. června 1999, </w:t>
      </w:r>
      <w:proofErr w:type="spellStart"/>
      <w:r w:rsidRPr="001D23A4">
        <w:rPr>
          <w:rFonts w:ascii="Garamond" w:hAnsi="Garamond"/>
          <w:sz w:val="24"/>
          <w:szCs w:val="24"/>
        </w:rPr>
        <w:t>sp</w:t>
      </w:r>
      <w:proofErr w:type="spellEnd"/>
      <w:r w:rsidRPr="001D23A4">
        <w:rPr>
          <w:rFonts w:ascii="Garamond" w:hAnsi="Garamond"/>
          <w:sz w:val="24"/>
          <w:szCs w:val="24"/>
        </w:rPr>
        <w:t xml:space="preserve">. zn. 2 </w:t>
      </w:r>
      <w:proofErr w:type="spellStart"/>
      <w:r w:rsidRPr="001D23A4">
        <w:rPr>
          <w:rFonts w:ascii="Garamond" w:hAnsi="Garamond"/>
          <w:sz w:val="24"/>
          <w:szCs w:val="24"/>
        </w:rPr>
        <w:t>Cdon</w:t>
      </w:r>
      <w:proofErr w:type="spellEnd"/>
      <w:r w:rsidRPr="001D23A4">
        <w:rPr>
          <w:rFonts w:ascii="Garamond" w:hAnsi="Garamond"/>
          <w:sz w:val="24"/>
          <w:szCs w:val="24"/>
        </w:rPr>
        <w:t xml:space="preserve"> 1794/96</w:t>
      </w:r>
    </w:p>
    <w:p w:rsidR="001D23A4" w:rsidRPr="001D23A4" w:rsidRDefault="001D23A4" w:rsidP="00FA1FF7">
      <w:pPr>
        <w:spacing w:line="360" w:lineRule="auto"/>
        <w:contextualSpacing/>
        <w:jc w:val="both"/>
        <w:rPr>
          <w:rFonts w:ascii="Garamond" w:hAnsi="Garamond"/>
          <w:sz w:val="24"/>
          <w:szCs w:val="24"/>
        </w:rPr>
      </w:pPr>
      <w:r w:rsidRPr="001D23A4">
        <w:rPr>
          <w:rFonts w:ascii="Garamond" w:hAnsi="Garamond"/>
          <w:sz w:val="24"/>
          <w:szCs w:val="24"/>
        </w:rPr>
        <w:t xml:space="preserve">rozsudek Nejvyššího soudu ze dne 21. srpna 2000, </w:t>
      </w:r>
      <w:proofErr w:type="spellStart"/>
      <w:r w:rsidRPr="001D23A4">
        <w:rPr>
          <w:rFonts w:ascii="Garamond" w:hAnsi="Garamond"/>
          <w:sz w:val="24"/>
          <w:szCs w:val="24"/>
        </w:rPr>
        <w:t>sp</w:t>
      </w:r>
      <w:proofErr w:type="spellEnd"/>
      <w:r w:rsidRPr="001D23A4">
        <w:rPr>
          <w:rFonts w:ascii="Garamond" w:hAnsi="Garamond"/>
          <w:sz w:val="24"/>
          <w:szCs w:val="24"/>
        </w:rPr>
        <w:t xml:space="preserve">. zn. 22 </w:t>
      </w:r>
      <w:proofErr w:type="spellStart"/>
      <w:r w:rsidRPr="001D23A4">
        <w:rPr>
          <w:rFonts w:ascii="Garamond" w:hAnsi="Garamond"/>
          <w:sz w:val="24"/>
          <w:szCs w:val="24"/>
        </w:rPr>
        <w:t>Cdo</w:t>
      </w:r>
      <w:proofErr w:type="spellEnd"/>
      <w:r w:rsidRPr="001D23A4">
        <w:rPr>
          <w:rFonts w:ascii="Garamond" w:hAnsi="Garamond"/>
          <w:sz w:val="24"/>
          <w:szCs w:val="24"/>
        </w:rPr>
        <w:t xml:space="preserve"> 536/2000</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 xml:space="preserve">rozsudku Nejvyššího soudu ze dne 13. ledna 2011, </w:t>
      </w:r>
      <w:proofErr w:type="spellStart"/>
      <w:r w:rsidRPr="001D23A4">
        <w:rPr>
          <w:rFonts w:ascii="Garamond" w:hAnsi="Garamond"/>
          <w:sz w:val="24"/>
          <w:szCs w:val="24"/>
        </w:rPr>
        <w:t>sp</w:t>
      </w:r>
      <w:proofErr w:type="spellEnd"/>
      <w:r w:rsidRPr="001D23A4">
        <w:rPr>
          <w:rFonts w:ascii="Garamond" w:hAnsi="Garamond"/>
          <w:sz w:val="24"/>
          <w:szCs w:val="24"/>
        </w:rPr>
        <w:t xml:space="preserve">. zn. 26 </w:t>
      </w:r>
      <w:proofErr w:type="spellStart"/>
      <w:r w:rsidRPr="001D23A4">
        <w:rPr>
          <w:rFonts w:ascii="Garamond" w:hAnsi="Garamond"/>
          <w:sz w:val="24"/>
          <w:szCs w:val="24"/>
        </w:rPr>
        <w:t>Cdo</w:t>
      </w:r>
      <w:proofErr w:type="spellEnd"/>
      <w:r w:rsidRPr="001D23A4">
        <w:rPr>
          <w:rFonts w:ascii="Garamond" w:hAnsi="Garamond"/>
          <w:sz w:val="24"/>
          <w:szCs w:val="24"/>
        </w:rPr>
        <w:t xml:space="preserve"> 379/2010</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 xml:space="preserve">usnesení Nejvyššího soudu ze dne 3. 10. 2002, </w:t>
      </w:r>
      <w:proofErr w:type="spellStart"/>
      <w:r w:rsidRPr="001D23A4">
        <w:rPr>
          <w:rFonts w:ascii="Garamond" w:hAnsi="Garamond"/>
          <w:sz w:val="24"/>
          <w:szCs w:val="24"/>
        </w:rPr>
        <w:t>sp</w:t>
      </w:r>
      <w:proofErr w:type="spellEnd"/>
      <w:r w:rsidRPr="001D23A4">
        <w:rPr>
          <w:rFonts w:ascii="Garamond" w:hAnsi="Garamond"/>
          <w:sz w:val="24"/>
          <w:szCs w:val="24"/>
        </w:rPr>
        <w:t xml:space="preserve">. zn. 22 </w:t>
      </w:r>
      <w:proofErr w:type="spellStart"/>
      <w:r w:rsidRPr="001D23A4">
        <w:rPr>
          <w:rFonts w:ascii="Garamond" w:hAnsi="Garamond"/>
          <w:sz w:val="24"/>
          <w:szCs w:val="24"/>
        </w:rPr>
        <w:t>Cdo</w:t>
      </w:r>
      <w:proofErr w:type="spellEnd"/>
      <w:r w:rsidRPr="001D23A4">
        <w:rPr>
          <w:rFonts w:ascii="Garamond" w:hAnsi="Garamond"/>
          <w:sz w:val="24"/>
          <w:szCs w:val="24"/>
        </w:rPr>
        <w:t xml:space="preserve"> 1474/2002</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 xml:space="preserve">usnesení Nejvyššího soudu ze dne 29. dubna 2004, </w:t>
      </w:r>
      <w:proofErr w:type="spellStart"/>
      <w:r w:rsidRPr="001D23A4">
        <w:rPr>
          <w:rFonts w:ascii="Garamond" w:hAnsi="Garamond"/>
          <w:sz w:val="24"/>
          <w:szCs w:val="24"/>
        </w:rPr>
        <w:t>sp</w:t>
      </w:r>
      <w:proofErr w:type="spellEnd"/>
      <w:r w:rsidRPr="001D23A4">
        <w:rPr>
          <w:rFonts w:ascii="Garamond" w:hAnsi="Garamond"/>
          <w:sz w:val="24"/>
          <w:szCs w:val="24"/>
        </w:rPr>
        <w:t xml:space="preserve">. zn. 20 </w:t>
      </w:r>
      <w:proofErr w:type="spellStart"/>
      <w:r w:rsidRPr="001D23A4">
        <w:rPr>
          <w:rFonts w:ascii="Garamond" w:hAnsi="Garamond"/>
          <w:sz w:val="24"/>
          <w:szCs w:val="24"/>
        </w:rPr>
        <w:t>Cdo</w:t>
      </w:r>
      <w:proofErr w:type="spellEnd"/>
      <w:r w:rsidRPr="001D23A4">
        <w:rPr>
          <w:rFonts w:ascii="Garamond" w:hAnsi="Garamond"/>
          <w:sz w:val="24"/>
          <w:szCs w:val="24"/>
        </w:rPr>
        <w:t xml:space="preserve"> 360/2003</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 xml:space="preserve">usnesení Nejvyššího soudu ze dne 18. října 2006, </w:t>
      </w:r>
      <w:proofErr w:type="spellStart"/>
      <w:r w:rsidRPr="001D23A4">
        <w:rPr>
          <w:rFonts w:ascii="Garamond" w:hAnsi="Garamond"/>
          <w:sz w:val="24"/>
          <w:szCs w:val="24"/>
        </w:rPr>
        <w:t>sp</w:t>
      </w:r>
      <w:proofErr w:type="spellEnd"/>
      <w:r w:rsidRPr="001D23A4">
        <w:rPr>
          <w:rFonts w:ascii="Garamond" w:hAnsi="Garamond"/>
          <w:sz w:val="24"/>
          <w:szCs w:val="24"/>
        </w:rPr>
        <w:t xml:space="preserve">. zn. 28 </w:t>
      </w:r>
      <w:proofErr w:type="spellStart"/>
      <w:r w:rsidRPr="001D23A4">
        <w:rPr>
          <w:rFonts w:ascii="Garamond" w:hAnsi="Garamond"/>
          <w:sz w:val="24"/>
          <w:szCs w:val="24"/>
        </w:rPr>
        <w:t>Cdo</w:t>
      </w:r>
      <w:proofErr w:type="spellEnd"/>
      <w:r w:rsidRPr="001D23A4">
        <w:rPr>
          <w:rFonts w:ascii="Garamond" w:hAnsi="Garamond"/>
          <w:sz w:val="24"/>
          <w:szCs w:val="24"/>
        </w:rPr>
        <w:t xml:space="preserve"> 2496/2006</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 xml:space="preserve">usnesení Nejvyššího soudu ze dne 30. září 2008, </w:t>
      </w:r>
      <w:proofErr w:type="spellStart"/>
      <w:r w:rsidRPr="001D23A4">
        <w:rPr>
          <w:rFonts w:ascii="Garamond" w:hAnsi="Garamond"/>
          <w:sz w:val="24"/>
          <w:szCs w:val="24"/>
        </w:rPr>
        <w:t>sp</w:t>
      </w:r>
      <w:proofErr w:type="spellEnd"/>
      <w:r w:rsidRPr="001D23A4">
        <w:rPr>
          <w:rFonts w:ascii="Garamond" w:hAnsi="Garamond"/>
          <w:sz w:val="24"/>
          <w:szCs w:val="24"/>
        </w:rPr>
        <w:t xml:space="preserve">. zn. 28 </w:t>
      </w:r>
      <w:proofErr w:type="spellStart"/>
      <w:r w:rsidRPr="001D23A4">
        <w:rPr>
          <w:rFonts w:ascii="Garamond" w:hAnsi="Garamond"/>
          <w:sz w:val="24"/>
          <w:szCs w:val="24"/>
        </w:rPr>
        <w:t>Cdo</w:t>
      </w:r>
      <w:proofErr w:type="spellEnd"/>
      <w:r w:rsidRPr="001D23A4">
        <w:rPr>
          <w:rFonts w:ascii="Garamond" w:hAnsi="Garamond"/>
          <w:sz w:val="24"/>
          <w:szCs w:val="24"/>
        </w:rPr>
        <w:t xml:space="preserve"> 2649/2006</w:t>
      </w:r>
    </w:p>
    <w:p w:rsidR="00A20106" w:rsidRPr="001D23A4" w:rsidRDefault="00A20106" w:rsidP="00FA1FF7">
      <w:pPr>
        <w:spacing w:line="360" w:lineRule="auto"/>
        <w:contextualSpacing/>
        <w:jc w:val="both"/>
        <w:rPr>
          <w:rFonts w:ascii="Garamond" w:hAnsi="Garamond"/>
          <w:sz w:val="24"/>
          <w:szCs w:val="24"/>
        </w:rPr>
      </w:pPr>
      <w:r w:rsidRPr="001D23A4">
        <w:rPr>
          <w:rFonts w:ascii="Garamond" w:hAnsi="Garamond"/>
          <w:sz w:val="24"/>
          <w:szCs w:val="24"/>
        </w:rPr>
        <w:t xml:space="preserve">usnesení Nejvyššího soudu ze dne 18. září 2018, </w:t>
      </w:r>
      <w:proofErr w:type="spellStart"/>
      <w:r w:rsidRPr="001D23A4">
        <w:rPr>
          <w:rFonts w:ascii="Garamond" w:hAnsi="Garamond"/>
          <w:sz w:val="24"/>
          <w:szCs w:val="24"/>
        </w:rPr>
        <w:t>sp</w:t>
      </w:r>
      <w:proofErr w:type="spellEnd"/>
      <w:r w:rsidRPr="001D23A4">
        <w:rPr>
          <w:rFonts w:ascii="Garamond" w:hAnsi="Garamond"/>
          <w:sz w:val="24"/>
          <w:szCs w:val="24"/>
        </w:rPr>
        <w:t>. zn. 22 </w:t>
      </w:r>
      <w:proofErr w:type="spellStart"/>
      <w:r w:rsidRPr="001D23A4">
        <w:rPr>
          <w:rFonts w:ascii="Garamond" w:hAnsi="Garamond"/>
          <w:sz w:val="24"/>
          <w:szCs w:val="24"/>
        </w:rPr>
        <w:t>Cdo</w:t>
      </w:r>
      <w:proofErr w:type="spellEnd"/>
      <w:r w:rsidRPr="001D23A4">
        <w:rPr>
          <w:rFonts w:ascii="Garamond" w:hAnsi="Garamond"/>
          <w:sz w:val="24"/>
          <w:szCs w:val="24"/>
        </w:rPr>
        <w:t xml:space="preserve"> 2721/2018 </w:t>
      </w:r>
    </w:p>
    <w:p w:rsidR="002326F5" w:rsidRPr="00646C74" w:rsidRDefault="002326F5" w:rsidP="00646C74">
      <w:pPr>
        <w:spacing w:after="0" w:line="360" w:lineRule="auto"/>
        <w:jc w:val="both"/>
        <w:rPr>
          <w:rFonts w:ascii="Garamond" w:hAnsi="Garamond"/>
          <w:b/>
          <w:sz w:val="28"/>
          <w:szCs w:val="28"/>
        </w:rPr>
      </w:pPr>
      <w:r w:rsidRPr="00646C74">
        <w:rPr>
          <w:rFonts w:ascii="Garamond" w:hAnsi="Garamond"/>
          <w:b/>
          <w:sz w:val="28"/>
          <w:szCs w:val="28"/>
        </w:rPr>
        <w:t xml:space="preserve">Internetové </w:t>
      </w:r>
      <w:r w:rsidR="002D5D16" w:rsidRPr="00646C74">
        <w:rPr>
          <w:rFonts w:ascii="Garamond" w:hAnsi="Garamond"/>
          <w:b/>
          <w:sz w:val="28"/>
          <w:szCs w:val="28"/>
        </w:rPr>
        <w:t>zdroje</w:t>
      </w:r>
    </w:p>
    <w:p w:rsidR="00DA4F5E" w:rsidRPr="00362AA4" w:rsidRDefault="00DA4F5E" w:rsidP="00FA1FF7">
      <w:pPr>
        <w:spacing w:line="360" w:lineRule="auto"/>
        <w:contextualSpacing/>
        <w:jc w:val="both"/>
        <w:rPr>
          <w:rFonts w:ascii="Garamond" w:hAnsi="Garamond"/>
          <w:sz w:val="24"/>
          <w:szCs w:val="24"/>
        </w:rPr>
      </w:pPr>
      <w:r w:rsidRPr="00362AA4">
        <w:rPr>
          <w:rFonts w:ascii="Garamond" w:hAnsi="Garamond"/>
          <w:i/>
          <w:sz w:val="24"/>
          <w:szCs w:val="24"/>
        </w:rPr>
        <w:t>CODEX IUSTINIANUS</w:t>
      </w:r>
      <w:r w:rsidRPr="00362AA4">
        <w:rPr>
          <w:rFonts w:ascii="Garamond" w:hAnsi="Garamond"/>
          <w:sz w:val="24"/>
          <w:szCs w:val="24"/>
        </w:rPr>
        <w:t xml:space="preserve"> </w:t>
      </w:r>
      <w:r w:rsidRPr="00362AA4">
        <w:rPr>
          <w:rFonts w:ascii="Garamond" w:hAnsi="Garamond"/>
          <w:sz w:val="24"/>
          <w:szCs w:val="24"/>
          <w:lang w:val="en-US"/>
        </w:rPr>
        <w:t xml:space="preserve">[online]. </w:t>
      </w:r>
      <w:proofErr w:type="spellStart"/>
      <w:r w:rsidRPr="00362AA4">
        <w:rPr>
          <w:rFonts w:ascii="Garamond" w:hAnsi="Garamond"/>
          <w:sz w:val="24"/>
          <w:szCs w:val="24"/>
        </w:rPr>
        <w:t>droitromain.univ</w:t>
      </w:r>
      <w:proofErr w:type="spellEnd"/>
      <w:r w:rsidRPr="00362AA4">
        <w:rPr>
          <w:rFonts w:ascii="Garamond" w:hAnsi="Garamond"/>
          <w:sz w:val="24"/>
          <w:szCs w:val="24"/>
        </w:rPr>
        <w:t>-</w:t>
      </w:r>
      <w:proofErr w:type="spellStart"/>
      <w:r w:rsidRPr="00362AA4">
        <w:rPr>
          <w:rFonts w:ascii="Garamond" w:hAnsi="Garamond"/>
          <w:sz w:val="24"/>
          <w:szCs w:val="24"/>
        </w:rPr>
        <w:t>grenoble</w:t>
      </w:r>
      <w:proofErr w:type="spellEnd"/>
      <w:r w:rsidRPr="00362AA4">
        <w:rPr>
          <w:rFonts w:ascii="Garamond" w:hAnsi="Garamond"/>
          <w:sz w:val="24"/>
          <w:szCs w:val="24"/>
        </w:rPr>
        <w:t xml:space="preserve">-alpes.fr, </w:t>
      </w:r>
      <w:r w:rsidRPr="00362AA4">
        <w:rPr>
          <w:rFonts w:ascii="Garamond" w:hAnsi="Garamond"/>
          <w:sz w:val="24"/>
          <w:szCs w:val="24"/>
          <w:lang w:val="en-US"/>
        </w:rPr>
        <w:t xml:space="preserve">[cit. 18. </w:t>
      </w:r>
      <w:proofErr w:type="spellStart"/>
      <w:proofErr w:type="gramStart"/>
      <w:r w:rsidRPr="00362AA4">
        <w:rPr>
          <w:rFonts w:ascii="Garamond" w:hAnsi="Garamond"/>
          <w:sz w:val="24"/>
          <w:szCs w:val="24"/>
          <w:lang w:val="en-US"/>
        </w:rPr>
        <w:t>ledna</w:t>
      </w:r>
      <w:proofErr w:type="spellEnd"/>
      <w:proofErr w:type="gramEnd"/>
      <w:r w:rsidRPr="00362AA4">
        <w:rPr>
          <w:rFonts w:ascii="Garamond" w:hAnsi="Garamond"/>
          <w:sz w:val="24"/>
          <w:szCs w:val="24"/>
          <w:lang w:val="en-US"/>
        </w:rPr>
        <w:t xml:space="preserve"> 2020]. </w:t>
      </w:r>
      <w:proofErr w:type="spellStart"/>
      <w:r w:rsidRPr="00362AA4">
        <w:rPr>
          <w:rFonts w:ascii="Garamond" w:hAnsi="Garamond"/>
          <w:sz w:val="24"/>
          <w:szCs w:val="24"/>
          <w:lang w:val="en-US"/>
        </w:rPr>
        <w:t>Dostupné</w:t>
      </w:r>
      <w:proofErr w:type="spellEnd"/>
      <w:r w:rsidRPr="00362AA4">
        <w:rPr>
          <w:rFonts w:ascii="Garamond" w:hAnsi="Garamond"/>
          <w:sz w:val="24"/>
          <w:szCs w:val="24"/>
          <w:lang w:val="en-US"/>
        </w:rPr>
        <w:t xml:space="preserve"> </w:t>
      </w:r>
      <w:proofErr w:type="spellStart"/>
      <w:proofErr w:type="gramStart"/>
      <w:r w:rsidRPr="00362AA4">
        <w:rPr>
          <w:rFonts w:ascii="Garamond" w:hAnsi="Garamond"/>
          <w:sz w:val="24"/>
          <w:szCs w:val="24"/>
          <w:lang w:val="en-US"/>
        </w:rPr>
        <w:t>na</w:t>
      </w:r>
      <w:proofErr w:type="spellEnd"/>
      <w:proofErr w:type="gramEnd"/>
      <w:r w:rsidRPr="00362AA4">
        <w:rPr>
          <w:rFonts w:ascii="Garamond" w:hAnsi="Garamond"/>
          <w:sz w:val="24"/>
          <w:szCs w:val="24"/>
          <w:lang w:val="en-US"/>
        </w:rPr>
        <w:t xml:space="preserve"> </w:t>
      </w:r>
      <w:r w:rsidRPr="00362AA4">
        <w:rPr>
          <w:rFonts w:ascii="Garamond" w:hAnsi="Garamond"/>
          <w:sz w:val="24"/>
          <w:szCs w:val="24"/>
        </w:rPr>
        <w:t>&lt;</w:t>
      </w:r>
      <w:hyperlink r:id="rId8" w:history="1">
        <w:r w:rsidRPr="00362AA4">
          <w:rPr>
            <w:rFonts w:ascii="Garamond" w:hAnsi="Garamond"/>
            <w:color w:val="0000FF"/>
            <w:sz w:val="24"/>
            <w:szCs w:val="24"/>
            <w:u w:val="single"/>
          </w:rPr>
          <w:t>https://droitromain.univ-grenoble-alpes.fr/Corpus/codjust.htm</w:t>
        </w:r>
      </w:hyperlink>
      <w:r w:rsidRPr="00362AA4">
        <w:rPr>
          <w:rFonts w:ascii="Garamond" w:hAnsi="Garamond"/>
          <w:sz w:val="24"/>
          <w:szCs w:val="24"/>
        </w:rPr>
        <w:t>&gt;.</w:t>
      </w:r>
    </w:p>
    <w:p w:rsidR="00DA4F5E" w:rsidRPr="00362AA4" w:rsidRDefault="001D23A4" w:rsidP="00FA1FF7">
      <w:pPr>
        <w:spacing w:line="360" w:lineRule="auto"/>
        <w:contextualSpacing/>
        <w:jc w:val="both"/>
        <w:rPr>
          <w:rFonts w:ascii="Garamond" w:hAnsi="Garamond"/>
          <w:sz w:val="24"/>
          <w:szCs w:val="24"/>
        </w:rPr>
      </w:pPr>
      <w:r w:rsidRPr="00362AA4">
        <w:rPr>
          <w:rFonts w:ascii="Garamond" w:hAnsi="Garamond"/>
          <w:i/>
          <w:sz w:val="24"/>
          <w:szCs w:val="24"/>
        </w:rPr>
        <w:t xml:space="preserve">Duodecim </w:t>
      </w:r>
      <w:proofErr w:type="spellStart"/>
      <w:r w:rsidRPr="00362AA4">
        <w:rPr>
          <w:rFonts w:ascii="Garamond" w:hAnsi="Garamond"/>
          <w:i/>
          <w:sz w:val="24"/>
          <w:szCs w:val="24"/>
        </w:rPr>
        <w:t>tabularum</w:t>
      </w:r>
      <w:proofErr w:type="spellEnd"/>
      <w:r w:rsidRPr="00362AA4">
        <w:rPr>
          <w:rFonts w:ascii="Garamond" w:hAnsi="Garamond"/>
          <w:i/>
          <w:sz w:val="24"/>
          <w:szCs w:val="24"/>
        </w:rPr>
        <w:t xml:space="preserve"> </w:t>
      </w:r>
      <w:proofErr w:type="spellStart"/>
      <w:r w:rsidRPr="00362AA4">
        <w:rPr>
          <w:rFonts w:ascii="Garamond" w:hAnsi="Garamond"/>
          <w:i/>
          <w:sz w:val="24"/>
          <w:szCs w:val="24"/>
        </w:rPr>
        <w:t>lege</w:t>
      </w:r>
      <w:r w:rsidR="00DA4F5E" w:rsidRPr="00362AA4">
        <w:rPr>
          <w:rFonts w:ascii="Garamond" w:hAnsi="Garamond"/>
          <w:i/>
          <w:sz w:val="24"/>
          <w:szCs w:val="24"/>
        </w:rPr>
        <w:t>s</w:t>
      </w:r>
      <w:proofErr w:type="spellEnd"/>
      <w:r w:rsidR="00DA4F5E" w:rsidRPr="00362AA4">
        <w:rPr>
          <w:rFonts w:ascii="Garamond" w:hAnsi="Garamond"/>
          <w:sz w:val="24"/>
          <w:szCs w:val="24"/>
        </w:rPr>
        <w:t xml:space="preserve"> </w:t>
      </w:r>
      <w:r w:rsidR="00DA4F5E" w:rsidRPr="00362AA4">
        <w:rPr>
          <w:rFonts w:ascii="Garamond" w:hAnsi="Garamond"/>
          <w:sz w:val="24"/>
          <w:szCs w:val="24"/>
          <w:lang w:val="en-US"/>
        </w:rPr>
        <w:t xml:space="preserve">[online]. hs-augsburg.de, [cit. 20. </w:t>
      </w:r>
      <w:proofErr w:type="spellStart"/>
      <w:proofErr w:type="gramStart"/>
      <w:r w:rsidR="00DA4F5E" w:rsidRPr="00362AA4">
        <w:rPr>
          <w:rFonts w:ascii="Garamond" w:hAnsi="Garamond"/>
          <w:sz w:val="24"/>
          <w:szCs w:val="24"/>
          <w:lang w:val="en-US"/>
        </w:rPr>
        <w:t>ledna</w:t>
      </w:r>
      <w:proofErr w:type="spellEnd"/>
      <w:proofErr w:type="gramEnd"/>
      <w:r w:rsidR="00DA4F5E" w:rsidRPr="00362AA4">
        <w:rPr>
          <w:rFonts w:ascii="Garamond" w:hAnsi="Garamond"/>
          <w:sz w:val="24"/>
          <w:szCs w:val="24"/>
          <w:lang w:val="en-US"/>
        </w:rPr>
        <w:t xml:space="preserve"> 2020]. </w:t>
      </w:r>
      <w:proofErr w:type="spellStart"/>
      <w:r w:rsidR="00DA4F5E" w:rsidRPr="00362AA4">
        <w:rPr>
          <w:rFonts w:ascii="Garamond" w:hAnsi="Garamond"/>
          <w:sz w:val="24"/>
          <w:szCs w:val="24"/>
          <w:lang w:val="en-US"/>
        </w:rPr>
        <w:t>Dostupné</w:t>
      </w:r>
      <w:proofErr w:type="spellEnd"/>
      <w:r w:rsidR="00DA4F5E" w:rsidRPr="00362AA4">
        <w:rPr>
          <w:rFonts w:ascii="Garamond" w:hAnsi="Garamond"/>
          <w:sz w:val="24"/>
          <w:szCs w:val="24"/>
          <w:lang w:val="en-US"/>
        </w:rPr>
        <w:t xml:space="preserve"> </w:t>
      </w:r>
      <w:proofErr w:type="spellStart"/>
      <w:proofErr w:type="gramStart"/>
      <w:r w:rsidR="00DA4F5E" w:rsidRPr="00362AA4">
        <w:rPr>
          <w:rFonts w:ascii="Garamond" w:hAnsi="Garamond"/>
          <w:sz w:val="24"/>
          <w:szCs w:val="24"/>
          <w:lang w:val="en-US"/>
        </w:rPr>
        <w:t>na</w:t>
      </w:r>
      <w:proofErr w:type="spellEnd"/>
      <w:proofErr w:type="gramEnd"/>
      <w:r w:rsidR="00DA4F5E" w:rsidRPr="00362AA4">
        <w:rPr>
          <w:rFonts w:ascii="Garamond" w:hAnsi="Garamond"/>
          <w:sz w:val="24"/>
          <w:szCs w:val="24"/>
          <w:lang w:val="en-US"/>
        </w:rPr>
        <w:t xml:space="preserve"> </w:t>
      </w:r>
      <w:r w:rsidR="00DA4F5E" w:rsidRPr="00362AA4">
        <w:rPr>
          <w:rFonts w:ascii="Garamond" w:hAnsi="Garamond"/>
          <w:sz w:val="24"/>
          <w:szCs w:val="24"/>
        </w:rPr>
        <w:t>&lt;</w:t>
      </w:r>
      <w:hyperlink r:id="rId9" w:history="1">
        <w:r w:rsidR="00DA4F5E" w:rsidRPr="00362AA4">
          <w:rPr>
            <w:rFonts w:ascii="Garamond" w:hAnsi="Garamond"/>
            <w:color w:val="0000FF"/>
            <w:sz w:val="24"/>
            <w:szCs w:val="24"/>
            <w:u w:val="single"/>
          </w:rPr>
          <w:t>http://www.hs-augsburg.de/~harsch/saeca05.html</w:t>
        </w:r>
      </w:hyperlink>
      <w:r w:rsidR="00DA4F5E" w:rsidRPr="00362AA4">
        <w:rPr>
          <w:rFonts w:ascii="Garamond" w:hAnsi="Garamond"/>
          <w:sz w:val="24"/>
          <w:szCs w:val="24"/>
        </w:rPr>
        <w:t>&gt;.</w:t>
      </w:r>
    </w:p>
    <w:p w:rsidR="002D5D16" w:rsidRPr="00362AA4" w:rsidRDefault="002D5D16" w:rsidP="00FA1FF7">
      <w:pPr>
        <w:spacing w:line="360" w:lineRule="auto"/>
        <w:contextualSpacing/>
        <w:jc w:val="both"/>
        <w:rPr>
          <w:rFonts w:ascii="Garamond" w:hAnsi="Garamond"/>
          <w:sz w:val="24"/>
          <w:szCs w:val="24"/>
        </w:rPr>
      </w:pPr>
      <w:r w:rsidRPr="00362AA4">
        <w:rPr>
          <w:rFonts w:ascii="Garamond" w:hAnsi="Garamond"/>
          <w:sz w:val="24"/>
          <w:szCs w:val="24"/>
        </w:rPr>
        <w:t xml:space="preserve">KROPFF, </w:t>
      </w:r>
      <w:proofErr w:type="spellStart"/>
      <w:r w:rsidRPr="00362AA4">
        <w:rPr>
          <w:rFonts w:ascii="Garamond" w:hAnsi="Garamond"/>
          <w:sz w:val="24"/>
          <w:szCs w:val="24"/>
        </w:rPr>
        <w:t>Anthony</w:t>
      </w:r>
      <w:proofErr w:type="spellEnd"/>
      <w:r w:rsidRPr="00362AA4">
        <w:rPr>
          <w:rFonts w:ascii="Garamond" w:hAnsi="Garamond"/>
          <w:sz w:val="24"/>
          <w:szCs w:val="24"/>
        </w:rPr>
        <w:t xml:space="preserve">. </w:t>
      </w:r>
      <w:r w:rsidRPr="00362AA4">
        <w:rPr>
          <w:rFonts w:ascii="Garamond" w:hAnsi="Garamond"/>
          <w:i/>
          <w:sz w:val="24"/>
          <w:szCs w:val="24"/>
        </w:rPr>
        <w:t xml:space="preserve">New </w:t>
      </w:r>
      <w:proofErr w:type="spellStart"/>
      <w:r w:rsidRPr="00362AA4">
        <w:rPr>
          <w:rFonts w:ascii="Garamond" w:hAnsi="Garamond"/>
          <w:i/>
          <w:sz w:val="24"/>
          <w:szCs w:val="24"/>
        </w:rPr>
        <w:t>English</w:t>
      </w:r>
      <w:proofErr w:type="spellEnd"/>
      <w:r w:rsidRPr="00362AA4">
        <w:rPr>
          <w:rFonts w:ascii="Garamond" w:hAnsi="Garamond"/>
          <w:i/>
          <w:sz w:val="24"/>
          <w:szCs w:val="24"/>
        </w:rPr>
        <w:t xml:space="preserve"> </w:t>
      </w:r>
      <w:proofErr w:type="spellStart"/>
      <w:r w:rsidRPr="00362AA4">
        <w:rPr>
          <w:rFonts w:ascii="Garamond" w:hAnsi="Garamond"/>
          <w:i/>
          <w:sz w:val="24"/>
          <w:szCs w:val="24"/>
        </w:rPr>
        <w:t>translation</w:t>
      </w:r>
      <w:proofErr w:type="spellEnd"/>
      <w:r w:rsidRPr="00362AA4">
        <w:rPr>
          <w:rFonts w:ascii="Garamond" w:hAnsi="Garamond"/>
          <w:i/>
          <w:sz w:val="24"/>
          <w:szCs w:val="24"/>
        </w:rPr>
        <w:t xml:space="preserve"> </w:t>
      </w:r>
      <w:proofErr w:type="spellStart"/>
      <w:r w:rsidRPr="00362AA4">
        <w:rPr>
          <w:rFonts w:ascii="Garamond" w:hAnsi="Garamond"/>
          <w:i/>
          <w:sz w:val="24"/>
          <w:szCs w:val="24"/>
        </w:rPr>
        <w:t>of</w:t>
      </w:r>
      <w:proofErr w:type="spellEnd"/>
      <w:r w:rsidRPr="00362AA4">
        <w:rPr>
          <w:rFonts w:ascii="Garamond" w:hAnsi="Garamond"/>
          <w:i/>
          <w:sz w:val="24"/>
          <w:szCs w:val="24"/>
        </w:rPr>
        <w:t xml:space="preserve"> </w:t>
      </w:r>
      <w:proofErr w:type="spellStart"/>
      <w:r w:rsidRPr="00362AA4">
        <w:rPr>
          <w:rFonts w:ascii="Garamond" w:hAnsi="Garamond"/>
          <w:i/>
          <w:sz w:val="24"/>
          <w:szCs w:val="24"/>
        </w:rPr>
        <w:t>the</w:t>
      </w:r>
      <w:proofErr w:type="spellEnd"/>
      <w:r w:rsidRPr="00362AA4">
        <w:rPr>
          <w:rFonts w:ascii="Garamond" w:hAnsi="Garamond"/>
          <w:i/>
          <w:sz w:val="24"/>
          <w:szCs w:val="24"/>
        </w:rPr>
        <w:t xml:space="preserve"> </w:t>
      </w:r>
      <w:proofErr w:type="spellStart"/>
      <w:r w:rsidRPr="00362AA4">
        <w:rPr>
          <w:rFonts w:ascii="Garamond" w:hAnsi="Garamond"/>
          <w:i/>
          <w:sz w:val="24"/>
          <w:szCs w:val="24"/>
        </w:rPr>
        <w:t>Price</w:t>
      </w:r>
      <w:proofErr w:type="spellEnd"/>
      <w:r w:rsidRPr="00362AA4">
        <w:rPr>
          <w:rFonts w:ascii="Garamond" w:hAnsi="Garamond"/>
          <w:i/>
          <w:sz w:val="24"/>
          <w:szCs w:val="24"/>
        </w:rPr>
        <w:t xml:space="preserve"> </w:t>
      </w:r>
      <w:proofErr w:type="spellStart"/>
      <w:r w:rsidRPr="00362AA4">
        <w:rPr>
          <w:rFonts w:ascii="Garamond" w:hAnsi="Garamond"/>
          <w:i/>
          <w:sz w:val="24"/>
          <w:szCs w:val="24"/>
        </w:rPr>
        <w:t>Edict</w:t>
      </w:r>
      <w:proofErr w:type="spellEnd"/>
      <w:r w:rsidRPr="00362AA4">
        <w:rPr>
          <w:rFonts w:ascii="Garamond" w:hAnsi="Garamond"/>
          <w:i/>
          <w:sz w:val="24"/>
          <w:szCs w:val="24"/>
        </w:rPr>
        <w:t xml:space="preserve"> </w:t>
      </w:r>
      <w:proofErr w:type="spellStart"/>
      <w:r w:rsidRPr="00362AA4">
        <w:rPr>
          <w:rFonts w:ascii="Garamond" w:hAnsi="Garamond"/>
          <w:i/>
          <w:sz w:val="24"/>
          <w:szCs w:val="24"/>
        </w:rPr>
        <w:t>of</w:t>
      </w:r>
      <w:proofErr w:type="spellEnd"/>
      <w:r w:rsidRPr="00362AA4">
        <w:rPr>
          <w:rFonts w:ascii="Garamond" w:hAnsi="Garamond"/>
          <w:i/>
          <w:sz w:val="24"/>
          <w:szCs w:val="24"/>
        </w:rPr>
        <w:t xml:space="preserve"> </w:t>
      </w:r>
      <w:proofErr w:type="spellStart"/>
      <w:proofErr w:type="gramStart"/>
      <w:r w:rsidRPr="00362AA4">
        <w:rPr>
          <w:rFonts w:ascii="Garamond" w:hAnsi="Garamond"/>
          <w:i/>
          <w:sz w:val="24"/>
          <w:szCs w:val="24"/>
        </w:rPr>
        <w:t>Diocletianus</w:t>
      </w:r>
      <w:proofErr w:type="spellEnd"/>
      <w:proofErr w:type="gramEnd"/>
      <w:r w:rsidRPr="00362AA4">
        <w:rPr>
          <w:rFonts w:ascii="Garamond" w:hAnsi="Garamond"/>
          <w:sz w:val="24"/>
          <w:szCs w:val="24"/>
        </w:rPr>
        <w:t>. Academia.</w:t>
      </w:r>
      <w:proofErr w:type="spellStart"/>
      <w:r w:rsidRPr="00362AA4">
        <w:rPr>
          <w:rFonts w:ascii="Garamond" w:hAnsi="Garamond"/>
          <w:sz w:val="24"/>
          <w:szCs w:val="24"/>
        </w:rPr>
        <w:t>edu</w:t>
      </w:r>
      <w:proofErr w:type="spellEnd"/>
      <w:r w:rsidRPr="00362AA4">
        <w:rPr>
          <w:rFonts w:ascii="Garamond" w:hAnsi="Garamond"/>
          <w:sz w:val="24"/>
          <w:szCs w:val="24"/>
        </w:rPr>
        <w:t>, 27. dubna 2016 [cit</w:t>
      </w:r>
      <w:r w:rsidR="00DA4F5E" w:rsidRPr="00362AA4">
        <w:rPr>
          <w:rFonts w:ascii="Garamond" w:hAnsi="Garamond"/>
          <w:sz w:val="24"/>
          <w:szCs w:val="24"/>
        </w:rPr>
        <w:t xml:space="preserve">. 20. února 2020]. Dostupné na </w:t>
      </w:r>
      <w:r w:rsidRPr="00362AA4">
        <w:rPr>
          <w:rFonts w:ascii="Garamond" w:hAnsi="Garamond"/>
          <w:sz w:val="24"/>
          <w:szCs w:val="24"/>
        </w:rPr>
        <w:t>&lt;https://www.academia.edu/23644199/New_English_translation_of_the_Price_Edict_of_Diocletianus&gt;.</w:t>
      </w:r>
    </w:p>
    <w:p w:rsidR="00DA4F5E" w:rsidRPr="00362AA4" w:rsidRDefault="00DA4F5E" w:rsidP="00FA1FF7">
      <w:pPr>
        <w:spacing w:line="360" w:lineRule="auto"/>
        <w:contextualSpacing/>
        <w:jc w:val="both"/>
        <w:rPr>
          <w:rFonts w:ascii="Garamond" w:hAnsi="Garamond"/>
          <w:sz w:val="24"/>
          <w:szCs w:val="24"/>
        </w:rPr>
      </w:pPr>
      <w:r w:rsidRPr="00362AA4">
        <w:rPr>
          <w:rFonts w:ascii="Garamond" w:hAnsi="Garamond"/>
          <w:i/>
          <w:sz w:val="24"/>
          <w:szCs w:val="24"/>
        </w:rPr>
        <w:t>IUSTINIANI DIGESTA</w:t>
      </w:r>
      <w:r w:rsidRPr="00362AA4">
        <w:rPr>
          <w:rFonts w:ascii="Garamond" w:hAnsi="Garamond"/>
          <w:sz w:val="24"/>
          <w:szCs w:val="24"/>
        </w:rPr>
        <w:t xml:space="preserve"> </w:t>
      </w:r>
      <w:r w:rsidRPr="00362AA4">
        <w:rPr>
          <w:rFonts w:ascii="Garamond" w:hAnsi="Garamond"/>
          <w:sz w:val="24"/>
          <w:szCs w:val="24"/>
          <w:lang w:val="en-US"/>
        </w:rPr>
        <w:t xml:space="preserve">[online]. </w:t>
      </w:r>
      <w:proofErr w:type="spellStart"/>
      <w:r w:rsidRPr="00362AA4">
        <w:rPr>
          <w:rFonts w:ascii="Garamond" w:hAnsi="Garamond"/>
          <w:sz w:val="24"/>
          <w:szCs w:val="24"/>
        </w:rPr>
        <w:t>droitromain.univ</w:t>
      </w:r>
      <w:proofErr w:type="spellEnd"/>
      <w:r w:rsidRPr="00362AA4">
        <w:rPr>
          <w:rFonts w:ascii="Garamond" w:hAnsi="Garamond"/>
          <w:sz w:val="24"/>
          <w:szCs w:val="24"/>
        </w:rPr>
        <w:t>-</w:t>
      </w:r>
      <w:proofErr w:type="spellStart"/>
      <w:r w:rsidRPr="00362AA4">
        <w:rPr>
          <w:rFonts w:ascii="Garamond" w:hAnsi="Garamond"/>
          <w:sz w:val="24"/>
          <w:szCs w:val="24"/>
        </w:rPr>
        <w:t>grenoble</w:t>
      </w:r>
      <w:proofErr w:type="spellEnd"/>
      <w:r w:rsidRPr="00362AA4">
        <w:rPr>
          <w:rFonts w:ascii="Garamond" w:hAnsi="Garamond"/>
          <w:sz w:val="24"/>
          <w:szCs w:val="24"/>
        </w:rPr>
        <w:t xml:space="preserve">-alpes.fr, </w:t>
      </w:r>
      <w:r w:rsidRPr="00362AA4">
        <w:rPr>
          <w:rFonts w:ascii="Garamond" w:hAnsi="Garamond"/>
          <w:sz w:val="24"/>
          <w:szCs w:val="24"/>
          <w:lang w:val="en-US"/>
        </w:rPr>
        <w:t xml:space="preserve">[cit. 18. </w:t>
      </w:r>
      <w:proofErr w:type="spellStart"/>
      <w:proofErr w:type="gramStart"/>
      <w:r w:rsidRPr="00362AA4">
        <w:rPr>
          <w:rFonts w:ascii="Garamond" w:hAnsi="Garamond"/>
          <w:sz w:val="24"/>
          <w:szCs w:val="24"/>
          <w:lang w:val="en-US"/>
        </w:rPr>
        <w:t>ledna</w:t>
      </w:r>
      <w:proofErr w:type="spellEnd"/>
      <w:proofErr w:type="gramEnd"/>
      <w:r w:rsidRPr="00362AA4">
        <w:rPr>
          <w:rFonts w:ascii="Garamond" w:hAnsi="Garamond"/>
          <w:sz w:val="24"/>
          <w:szCs w:val="24"/>
          <w:lang w:val="en-US"/>
        </w:rPr>
        <w:t xml:space="preserve"> 2020]. </w:t>
      </w:r>
      <w:proofErr w:type="spellStart"/>
      <w:r w:rsidRPr="00362AA4">
        <w:rPr>
          <w:rFonts w:ascii="Garamond" w:hAnsi="Garamond"/>
          <w:sz w:val="24"/>
          <w:szCs w:val="24"/>
          <w:lang w:val="en-US"/>
        </w:rPr>
        <w:t>Dostupné</w:t>
      </w:r>
      <w:proofErr w:type="spellEnd"/>
      <w:r w:rsidRPr="00362AA4">
        <w:rPr>
          <w:rFonts w:ascii="Garamond" w:hAnsi="Garamond"/>
          <w:sz w:val="24"/>
          <w:szCs w:val="24"/>
          <w:lang w:val="en-US"/>
        </w:rPr>
        <w:t xml:space="preserve"> </w:t>
      </w:r>
      <w:proofErr w:type="spellStart"/>
      <w:proofErr w:type="gramStart"/>
      <w:r w:rsidRPr="00362AA4">
        <w:rPr>
          <w:rFonts w:ascii="Garamond" w:hAnsi="Garamond"/>
          <w:sz w:val="24"/>
          <w:szCs w:val="24"/>
          <w:lang w:val="en-US"/>
        </w:rPr>
        <w:t>na</w:t>
      </w:r>
      <w:proofErr w:type="spellEnd"/>
      <w:proofErr w:type="gramEnd"/>
      <w:r w:rsidRPr="00362AA4">
        <w:rPr>
          <w:rFonts w:ascii="Garamond" w:hAnsi="Garamond"/>
          <w:sz w:val="24"/>
          <w:szCs w:val="24"/>
          <w:lang w:val="en-US"/>
        </w:rPr>
        <w:t xml:space="preserve"> </w:t>
      </w:r>
      <w:r w:rsidRPr="00362AA4">
        <w:rPr>
          <w:rFonts w:ascii="Garamond" w:hAnsi="Garamond"/>
          <w:sz w:val="24"/>
          <w:szCs w:val="24"/>
        </w:rPr>
        <w:t>&lt;</w:t>
      </w:r>
      <w:hyperlink r:id="rId10" w:history="1">
        <w:r w:rsidRPr="00362AA4">
          <w:rPr>
            <w:rFonts w:ascii="Garamond" w:hAnsi="Garamond"/>
            <w:color w:val="0000FF"/>
            <w:sz w:val="24"/>
            <w:szCs w:val="24"/>
            <w:u w:val="single"/>
          </w:rPr>
          <w:t>https://droitromain.univ-grenoble-alpes.fr/Corpus/digest.htm</w:t>
        </w:r>
      </w:hyperlink>
      <w:r w:rsidRPr="00362AA4">
        <w:rPr>
          <w:rFonts w:ascii="Garamond" w:hAnsi="Garamond"/>
          <w:sz w:val="24"/>
          <w:szCs w:val="24"/>
        </w:rPr>
        <w:t>&gt;.</w:t>
      </w:r>
    </w:p>
    <w:p w:rsidR="001D23A4" w:rsidRPr="00362AA4" w:rsidRDefault="001D23A4" w:rsidP="00FA1FF7">
      <w:pPr>
        <w:spacing w:line="360" w:lineRule="auto"/>
        <w:contextualSpacing/>
        <w:jc w:val="both"/>
        <w:rPr>
          <w:rFonts w:ascii="Garamond" w:hAnsi="Garamond"/>
          <w:sz w:val="24"/>
          <w:szCs w:val="24"/>
        </w:rPr>
      </w:pPr>
      <w:r w:rsidRPr="00362AA4">
        <w:rPr>
          <w:rFonts w:ascii="Garamond" w:hAnsi="Garamond"/>
          <w:i/>
          <w:sz w:val="24"/>
          <w:szCs w:val="24"/>
        </w:rPr>
        <w:t>THE DIGEST OR PANDECTS OF JUSTINIAN</w:t>
      </w:r>
      <w:r w:rsidRPr="00362AA4">
        <w:rPr>
          <w:rFonts w:ascii="Garamond" w:hAnsi="Garamond"/>
          <w:sz w:val="24"/>
          <w:szCs w:val="24"/>
        </w:rPr>
        <w:t xml:space="preserve"> </w:t>
      </w:r>
      <w:r w:rsidRPr="00362AA4">
        <w:rPr>
          <w:rFonts w:ascii="Garamond" w:hAnsi="Garamond"/>
          <w:sz w:val="24"/>
          <w:szCs w:val="24"/>
          <w:lang w:val="en-US"/>
        </w:rPr>
        <w:t xml:space="preserve">[online]. </w:t>
      </w:r>
      <w:proofErr w:type="spellStart"/>
      <w:r w:rsidRPr="00362AA4">
        <w:rPr>
          <w:rFonts w:ascii="Garamond" w:hAnsi="Garamond"/>
          <w:sz w:val="24"/>
          <w:szCs w:val="24"/>
        </w:rPr>
        <w:t>droitromain.univ</w:t>
      </w:r>
      <w:proofErr w:type="spellEnd"/>
      <w:r w:rsidRPr="00362AA4">
        <w:rPr>
          <w:rFonts w:ascii="Garamond" w:hAnsi="Garamond"/>
          <w:sz w:val="24"/>
          <w:szCs w:val="24"/>
        </w:rPr>
        <w:t>-</w:t>
      </w:r>
      <w:proofErr w:type="spellStart"/>
      <w:r w:rsidRPr="00362AA4">
        <w:rPr>
          <w:rFonts w:ascii="Garamond" w:hAnsi="Garamond"/>
          <w:sz w:val="24"/>
          <w:szCs w:val="24"/>
        </w:rPr>
        <w:t>grenoble</w:t>
      </w:r>
      <w:proofErr w:type="spellEnd"/>
      <w:r w:rsidRPr="00362AA4">
        <w:rPr>
          <w:rFonts w:ascii="Garamond" w:hAnsi="Garamond"/>
          <w:sz w:val="24"/>
          <w:szCs w:val="24"/>
        </w:rPr>
        <w:t xml:space="preserve">-alpes.fr, </w:t>
      </w:r>
      <w:r w:rsidRPr="00362AA4">
        <w:rPr>
          <w:rFonts w:ascii="Garamond" w:hAnsi="Garamond"/>
          <w:sz w:val="24"/>
          <w:szCs w:val="24"/>
          <w:lang w:val="en-US"/>
        </w:rPr>
        <w:t xml:space="preserve">[cit. 18. </w:t>
      </w:r>
      <w:proofErr w:type="spellStart"/>
      <w:proofErr w:type="gramStart"/>
      <w:r w:rsidRPr="00362AA4">
        <w:rPr>
          <w:rFonts w:ascii="Garamond" w:hAnsi="Garamond"/>
          <w:sz w:val="24"/>
          <w:szCs w:val="24"/>
          <w:lang w:val="en-US"/>
        </w:rPr>
        <w:t>ledna</w:t>
      </w:r>
      <w:proofErr w:type="spellEnd"/>
      <w:proofErr w:type="gramEnd"/>
      <w:r w:rsidRPr="00362AA4">
        <w:rPr>
          <w:rFonts w:ascii="Garamond" w:hAnsi="Garamond"/>
          <w:sz w:val="24"/>
          <w:szCs w:val="24"/>
          <w:lang w:val="en-US"/>
        </w:rPr>
        <w:t xml:space="preserve"> 2020]. </w:t>
      </w:r>
      <w:proofErr w:type="spellStart"/>
      <w:r w:rsidRPr="00362AA4">
        <w:rPr>
          <w:rFonts w:ascii="Garamond" w:hAnsi="Garamond"/>
          <w:sz w:val="24"/>
          <w:szCs w:val="24"/>
          <w:lang w:val="en-US"/>
        </w:rPr>
        <w:t>Dostupné</w:t>
      </w:r>
      <w:proofErr w:type="spellEnd"/>
      <w:r w:rsidRPr="00362AA4">
        <w:rPr>
          <w:rFonts w:ascii="Garamond" w:hAnsi="Garamond"/>
          <w:sz w:val="24"/>
          <w:szCs w:val="24"/>
          <w:lang w:val="en-US"/>
        </w:rPr>
        <w:t xml:space="preserve"> </w:t>
      </w:r>
      <w:proofErr w:type="spellStart"/>
      <w:proofErr w:type="gramStart"/>
      <w:r w:rsidRPr="00362AA4">
        <w:rPr>
          <w:rFonts w:ascii="Garamond" w:hAnsi="Garamond"/>
          <w:sz w:val="24"/>
          <w:szCs w:val="24"/>
          <w:lang w:val="en-US"/>
        </w:rPr>
        <w:t>na</w:t>
      </w:r>
      <w:proofErr w:type="spellEnd"/>
      <w:proofErr w:type="gramEnd"/>
      <w:r w:rsidRPr="00362AA4">
        <w:rPr>
          <w:rFonts w:ascii="Garamond" w:hAnsi="Garamond"/>
          <w:sz w:val="24"/>
          <w:szCs w:val="24"/>
          <w:lang w:val="en-US"/>
        </w:rPr>
        <w:t xml:space="preserve"> </w:t>
      </w:r>
      <w:r w:rsidRPr="00362AA4">
        <w:rPr>
          <w:rFonts w:ascii="Garamond" w:hAnsi="Garamond"/>
          <w:sz w:val="24"/>
          <w:szCs w:val="24"/>
        </w:rPr>
        <w:t>&lt;</w:t>
      </w:r>
      <w:hyperlink r:id="rId11" w:history="1">
        <w:r w:rsidRPr="00362AA4">
          <w:rPr>
            <w:rStyle w:val="Hypertextovodkaz"/>
            <w:rFonts w:ascii="Garamond" w:hAnsi="Garamond"/>
            <w:sz w:val="24"/>
            <w:szCs w:val="24"/>
          </w:rPr>
          <w:t>https://droitromain.univ-grenoble-alpes.fr/Anglica/digest_Scott.htm</w:t>
        </w:r>
      </w:hyperlink>
      <w:r w:rsidRPr="00362AA4">
        <w:rPr>
          <w:rFonts w:ascii="Garamond" w:hAnsi="Garamond"/>
          <w:sz w:val="24"/>
          <w:szCs w:val="24"/>
        </w:rPr>
        <w:t>&gt;.</w:t>
      </w:r>
    </w:p>
    <w:p w:rsidR="00362AA4" w:rsidRDefault="002D5D16" w:rsidP="00362AA4">
      <w:pPr>
        <w:spacing w:line="360" w:lineRule="auto"/>
        <w:contextualSpacing/>
        <w:jc w:val="both"/>
        <w:rPr>
          <w:rFonts w:ascii="Garamond" w:hAnsi="Garamond"/>
          <w:sz w:val="24"/>
          <w:szCs w:val="24"/>
        </w:rPr>
      </w:pPr>
      <w:proofErr w:type="spellStart"/>
      <w:r w:rsidRPr="00362AA4">
        <w:rPr>
          <w:rFonts w:ascii="Garamond" w:hAnsi="Garamond"/>
          <w:i/>
          <w:sz w:val="24"/>
          <w:szCs w:val="24"/>
        </w:rPr>
        <w:t>Weights</w:t>
      </w:r>
      <w:proofErr w:type="spellEnd"/>
      <w:r w:rsidRPr="00362AA4">
        <w:rPr>
          <w:rFonts w:ascii="Garamond" w:hAnsi="Garamond"/>
          <w:i/>
          <w:sz w:val="24"/>
          <w:szCs w:val="24"/>
        </w:rPr>
        <w:t xml:space="preserve"> </w:t>
      </w:r>
      <w:proofErr w:type="spellStart"/>
      <w:r w:rsidRPr="00362AA4">
        <w:rPr>
          <w:rFonts w:ascii="Garamond" w:hAnsi="Garamond"/>
          <w:i/>
          <w:sz w:val="24"/>
          <w:szCs w:val="24"/>
        </w:rPr>
        <w:t>and</w:t>
      </w:r>
      <w:proofErr w:type="spellEnd"/>
      <w:r w:rsidRPr="00362AA4">
        <w:rPr>
          <w:rFonts w:ascii="Garamond" w:hAnsi="Garamond"/>
          <w:i/>
          <w:sz w:val="24"/>
          <w:szCs w:val="24"/>
        </w:rPr>
        <w:t xml:space="preserve"> </w:t>
      </w:r>
      <w:proofErr w:type="spellStart"/>
      <w:r w:rsidRPr="00362AA4">
        <w:rPr>
          <w:rFonts w:ascii="Garamond" w:hAnsi="Garamond"/>
          <w:i/>
          <w:sz w:val="24"/>
          <w:szCs w:val="24"/>
        </w:rPr>
        <w:t>Measures</w:t>
      </w:r>
      <w:proofErr w:type="spellEnd"/>
      <w:r w:rsidRPr="00362AA4">
        <w:rPr>
          <w:rFonts w:ascii="Garamond" w:hAnsi="Garamond"/>
          <w:i/>
          <w:sz w:val="24"/>
          <w:szCs w:val="24"/>
        </w:rPr>
        <w:t xml:space="preserve"> </w:t>
      </w:r>
      <w:proofErr w:type="spellStart"/>
      <w:r w:rsidRPr="00362AA4">
        <w:rPr>
          <w:rFonts w:ascii="Garamond" w:hAnsi="Garamond"/>
          <w:i/>
          <w:sz w:val="24"/>
          <w:szCs w:val="24"/>
        </w:rPr>
        <w:t>Used</w:t>
      </w:r>
      <w:proofErr w:type="spellEnd"/>
      <w:r w:rsidRPr="00362AA4">
        <w:rPr>
          <w:rFonts w:ascii="Garamond" w:hAnsi="Garamond"/>
          <w:i/>
          <w:sz w:val="24"/>
          <w:szCs w:val="24"/>
        </w:rPr>
        <w:t xml:space="preserve"> in </w:t>
      </w:r>
      <w:proofErr w:type="spellStart"/>
      <w:r w:rsidRPr="00362AA4">
        <w:rPr>
          <w:rFonts w:ascii="Garamond" w:hAnsi="Garamond"/>
          <w:i/>
          <w:sz w:val="24"/>
          <w:szCs w:val="24"/>
        </w:rPr>
        <w:t>Ancient</w:t>
      </w:r>
      <w:proofErr w:type="spellEnd"/>
      <w:r w:rsidRPr="00362AA4">
        <w:rPr>
          <w:rFonts w:ascii="Garamond" w:hAnsi="Garamond"/>
          <w:i/>
          <w:sz w:val="24"/>
          <w:szCs w:val="24"/>
        </w:rPr>
        <w:t xml:space="preserve"> Rome</w:t>
      </w:r>
      <w:r w:rsidRPr="00362AA4">
        <w:rPr>
          <w:rFonts w:ascii="Garamond" w:hAnsi="Garamond"/>
          <w:sz w:val="24"/>
          <w:szCs w:val="24"/>
        </w:rPr>
        <w:t xml:space="preserve"> [online]. UNRV.com, [cit. 15. března 2020]. Dostupné na &lt;https://www.unrv.com/culture/roman-weights-measures.php&gt;.</w:t>
      </w:r>
    </w:p>
    <w:p w:rsidR="00362AA4" w:rsidRDefault="00362AA4">
      <w:pPr>
        <w:rPr>
          <w:rFonts w:ascii="Garamond" w:hAnsi="Garamond"/>
          <w:sz w:val="24"/>
          <w:szCs w:val="24"/>
        </w:rPr>
      </w:pPr>
      <w:r>
        <w:rPr>
          <w:rFonts w:ascii="Garamond" w:hAnsi="Garamond"/>
          <w:sz w:val="24"/>
          <w:szCs w:val="24"/>
        </w:rPr>
        <w:br w:type="page"/>
      </w:r>
    </w:p>
    <w:p w:rsidR="008C2A1D" w:rsidRPr="00362AA4" w:rsidRDefault="00E81592" w:rsidP="00362AA4">
      <w:pPr>
        <w:pStyle w:val="Nadpis1"/>
        <w:numPr>
          <w:ilvl w:val="0"/>
          <w:numId w:val="0"/>
        </w:numPr>
      </w:pPr>
      <w:bookmarkStart w:id="42" w:name="_Toc36031968"/>
      <w:r>
        <w:lastRenderedPageBreak/>
        <w:t>Shrnutí</w:t>
      </w:r>
      <w:bookmarkEnd w:id="42"/>
    </w:p>
    <w:p w:rsidR="002B5C0B" w:rsidRPr="00FA1FF7" w:rsidRDefault="002B5C0B" w:rsidP="00FA1FF7">
      <w:pPr>
        <w:spacing w:line="360" w:lineRule="auto"/>
        <w:ind w:firstLine="708"/>
        <w:contextualSpacing/>
        <w:jc w:val="both"/>
        <w:rPr>
          <w:rFonts w:ascii="Garamond" w:hAnsi="Garamond"/>
          <w:sz w:val="24"/>
          <w:szCs w:val="24"/>
        </w:rPr>
      </w:pPr>
      <w:r w:rsidRPr="00FA1FF7">
        <w:rPr>
          <w:rFonts w:ascii="Garamond" w:hAnsi="Garamond"/>
          <w:sz w:val="24"/>
          <w:szCs w:val="24"/>
        </w:rPr>
        <w:t xml:space="preserve">Tématem diplomové práce je </w:t>
      </w:r>
      <w:proofErr w:type="spellStart"/>
      <w:r w:rsidRPr="00FA1FF7">
        <w:rPr>
          <w:rFonts w:ascii="Garamond" w:hAnsi="Garamond"/>
          <w:sz w:val="24"/>
          <w:szCs w:val="24"/>
        </w:rPr>
        <w:t>reivindikace</w:t>
      </w:r>
      <w:proofErr w:type="spellEnd"/>
      <w:r w:rsidRPr="00FA1FF7">
        <w:rPr>
          <w:rFonts w:ascii="Garamond" w:hAnsi="Garamond"/>
          <w:sz w:val="24"/>
          <w:szCs w:val="24"/>
        </w:rPr>
        <w:t xml:space="preserve"> v římském právu se zaměřením na civilní proces. Obsahem práce je rozbor toho, jak vypadal v římském právu civilní proces v případě </w:t>
      </w:r>
      <w:proofErr w:type="spellStart"/>
      <w:r w:rsidRPr="00FA1FF7">
        <w:rPr>
          <w:rFonts w:ascii="Garamond" w:hAnsi="Garamond"/>
          <w:sz w:val="24"/>
          <w:szCs w:val="24"/>
        </w:rPr>
        <w:t>reivindikační</w:t>
      </w:r>
      <w:proofErr w:type="spellEnd"/>
      <w:r w:rsidRPr="00FA1FF7">
        <w:rPr>
          <w:rFonts w:ascii="Garamond" w:hAnsi="Garamond"/>
          <w:sz w:val="24"/>
          <w:szCs w:val="24"/>
        </w:rPr>
        <w:t xml:space="preserve"> žaloby a následné poukázání na shody či případné odlišnosti v současné české právní úpravě, jelikož římskoprávní úprava byla východiskem, o které se současná právní úprava opírá. Práce </w:t>
      </w:r>
      <w:r w:rsidR="004E3915">
        <w:rPr>
          <w:rFonts w:ascii="Garamond" w:hAnsi="Garamond"/>
          <w:sz w:val="24"/>
          <w:szCs w:val="24"/>
        </w:rPr>
        <w:t xml:space="preserve">obsahuje celkem sedm kapitol. První </w:t>
      </w:r>
      <w:r w:rsidR="00973C01" w:rsidRPr="00FA1FF7">
        <w:rPr>
          <w:rFonts w:ascii="Garamond" w:hAnsi="Garamond"/>
          <w:sz w:val="24"/>
          <w:szCs w:val="24"/>
        </w:rPr>
        <w:t xml:space="preserve">se zabývá </w:t>
      </w:r>
      <w:r w:rsidR="00647CAC" w:rsidRPr="00FA1FF7">
        <w:rPr>
          <w:rFonts w:ascii="Garamond" w:hAnsi="Garamond"/>
          <w:sz w:val="24"/>
          <w:szCs w:val="24"/>
        </w:rPr>
        <w:t xml:space="preserve">účelem </w:t>
      </w:r>
      <w:proofErr w:type="spellStart"/>
      <w:r w:rsidR="00647CAC" w:rsidRPr="00FA1FF7">
        <w:rPr>
          <w:rFonts w:ascii="Garamond" w:hAnsi="Garamond"/>
          <w:sz w:val="24"/>
          <w:szCs w:val="24"/>
        </w:rPr>
        <w:t>reivindikační</w:t>
      </w:r>
      <w:proofErr w:type="spellEnd"/>
      <w:r w:rsidR="00647CAC" w:rsidRPr="00FA1FF7">
        <w:rPr>
          <w:rFonts w:ascii="Garamond" w:hAnsi="Garamond"/>
          <w:sz w:val="24"/>
          <w:szCs w:val="24"/>
        </w:rPr>
        <w:t xml:space="preserve"> žaloby, jejím vývojem</w:t>
      </w:r>
      <w:r w:rsidR="004E3915">
        <w:rPr>
          <w:rFonts w:ascii="Garamond" w:hAnsi="Garamond"/>
          <w:sz w:val="24"/>
          <w:szCs w:val="24"/>
        </w:rPr>
        <w:t xml:space="preserve"> a</w:t>
      </w:r>
      <w:r w:rsidR="00647CAC" w:rsidRPr="00FA1FF7">
        <w:rPr>
          <w:rFonts w:ascii="Garamond" w:hAnsi="Garamond"/>
          <w:sz w:val="24"/>
          <w:szCs w:val="24"/>
        </w:rPr>
        <w:t xml:space="preserve"> předmětem </w:t>
      </w:r>
      <w:proofErr w:type="spellStart"/>
      <w:r w:rsidR="00647CAC" w:rsidRPr="00FA1FF7">
        <w:rPr>
          <w:rFonts w:ascii="Garamond" w:hAnsi="Garamond"/>
          <w:sz w:val="24"/>
          <w:szCs w:val="24"/>
        </w:rPr>
        <w:t>reivindikace</w:t>
      </w:r>
      <w:proofErr w:type="spellEnd"/>
      <w:r w:rsidR="004E3915">
        <w:rPr>
          <w:rFonts w:ascii="Garamond" w:hAnsi="Garamond"/>
          <w:sz w:val="24"/>
          <w:szCs w:val="24"/>
        </w:rPr>
        <w:t>. Druhá kapitola se zabývá</w:t>
      </w:r>
      <w:r w:rsidR="00647CAC" w:rsidRPr="00FA1FF7">
        <w:rPr>
          <w:rFonts w:ascii="Garamond" w:hAnsi="Garamond"/>
          <w:sz w:val="24"/>
          <w:szCs w:val="24"/>
        </w:rPr>
        <w:t xml:space="preserve"> aktivní </w:t>
      </w:r>
      <w:r w:rsidR="004E3915">
        <w:rPr>
          <w:rFonts w:ascii="Garamond" w:hAnsi="Garamond"/>
          <w:sz w:val="24"/>
          <w:szCs w:val="24"/>
        </w:rPr>
        <w:t xml:space="preserve">legitimací </w:t>
      </w:r>
      <w:r w:rsidR="00647CAC" w:rsidRPr="00FA1FF7">
        <w:rPr>
          <w:rFonts w:ascii="Garamond" w:hAnsi="Garamond"/>
          <w:sz w:val="24"/>
          <w:szCs w:val="24"/>
        </w:rPr>
        <w:t xml:space="preserve">a </w:t>
      </w:r>
      <w:r w:rsidR="004E3915">
        <w:rPr>
          <w:rFonts w:ascii="Garamond" w:hAnsi="Garamond"/>
          <w:sz w:val="24"/>
          <w:szCs w:val="24"/>
        </w:rPr>
        <w:t xml:space="preserve">třetí kapitola </w:t>
      </w:r>
      <w:r w:rsidR="00647CAC" w:rsidRPr="00FA1FF7">
        <w:rPr>
          <w:rFonts w:ascii="Garamond" w:hAnsi="Garamond"/>
          <w:sz w:val="24"/>
          <w:szCs w:val="24"/>
        </w:rPr>
        <w:t>pasivní legitimací</w:t>
      </w:r>
      <w:r w:rsidR="004E3915">
        <w:rPr>
          <w:rFonts w:ascii="Garamond" w:hAnsi="Garamond"/>
          <w:sz w:val="24"/>
          <w:szCs w:val="24"/>
        </w:rPr>
        <w:t>. Čtvrtá kapitola je věnována</w:t>
      </w:r>
      <w:r w:rsidR="00647CAC" w:rsidRPr="00FA1FF7">
        <w:rPr>
          <w:rFonts w:ascii="Garamond" w:hAnsi="Garamond"/>
          <w:sz w:val="24"/>
          <w:szCs w:val="24"/>
        </w:rPr>
        <w:t xml:space="preserve"> dokazování, </w:t>
      </w:r>
      <w:r w:rsidR="004E3915">
        <w:rPr>
          <w:rFonts w:ascii="Garamond" w:hAnsi="Garamond"/>
          <w:sz w:val="24"/>
          <w:szCs w:val="24"/>
        </w:rPr>
        <w:t xml:space="preserve">pátá </w:t>
      </w:r>
      <w:r w:rsidR="00647CAC" w:rsidRPr="00FA1FF7">
        <w:rPr>
          <w:rFonts w:ascii="Garamond" w:hAnsi="Garamond"/>
          <w:sz w:val="24"/>
          <w:szCs w:val="24"/>
        </w:rPr>
        <w:t>náklad</w:t>
      </w:r>
      <w:r w:rsidR="004E3915">
        <w:rPr>
          <w:rFonts w:ascii="Garamond" w:hAnsi="Garamond"/>
          <w:sz w:val="24"/>
          <w:szCs w:val="24"/>
        </w:rPr>
        <w:t>ům</w:t>
      </w:r>
      <w:r w:rsidR="00647CAC" w:rsidRPr="00FA1FF7">
        <w:rPr>
          <w:rFonts w:ascii="Garamond" w:hAnsi="Garamond"/>
          <w:sz w:val="24"/>
          <w:szCs w:val="24"/>
        </w:rPr>
        <w:t xml:space="preserve"> řízení</w:t>
      </w:r>
      <w:r w:rsidR="004E3915">
        <w:rPr>
          <w:rFonts w:ascii="Garamond" w:hAnsi="Garamond"/>
          <w:sz w:val="24"/>
          <w:szCs w:val="24"/>
        </w:rPr>
        <w:t xml:space="preserve"> a šestá kapitola</w:t>
      </w:r>
      <w:r w:rsidR="00647CAC" w:rsidRPr="00FA1FF7">
        <w:rPr>
          <w:rFonts w:ascii="Garamond" w:hAnsi="Garamond"/>
          <w:sz w:val="24"/>
          <w:szCs w:val="24"/>
        </w:rPr>
        <w:t xml:space="preserve"> výkonem rozhodnutí</w:t>
      </w:r>
      <w:r w:rsidR="004E3915">
        <w:rPr>
          <w:rFonts w:ascii="Garamond" w:hAnsi="Garamond"/>
          <w:sz w:val="24"/>
          <w:szCs w:val="24"/>
        </w:rPr>
        <w:t>. Poslední kapitola se zabývá</w:t>
      </w:r>
      <w:r w:rsidR="00647CAC" w:rsidRPr="00FA1FF7">
        <w:rPr>
          <w:rFonts w:ascii="Garamond" w:hAnsi="Garamond"/>
          <w:sz w:val="24"/>
          <w:szCs w:val="24"/>
        </w:rPr>
        <w:t xml:space="preserve"> konkurencí </w:t>
      </w:r>
      <w:proofErr w:type="spellStart"/>
      <w:r w:rsidR="00647CAC" w:rsidRPr="00FA1FF7">
        <w:rPr>
          <w:rFonts w:ascii="Garamond" w:hAnsi="Garamond"/>
          <w:sz w:val="24"/>
          <w:szCs w:val="24"/>
        </w:rPr>
        <w:t>reivindikační</w:t>
      </w:r>
      <w:proofErr w:type="spellEnd"/>
      <w:r w:rsidR="00647CAC" w:rsidRPr="00FA1FF7">
        <w:rPr>
          <w:rFonts w:ascii="Garamond" w:hAnsi="Garamond"/>
          <w:sz w:val="24"/>
          <w:szCs w:val="24"/>
        </w:rPr>
        <w:t xml:space="preserve"> žaloby s jinými žalobami. </w:t>
      </w:r>
      <w:r w:rsidR="00973C01" w:rsidRPr="00FA1FF7">
        <w:rPr>
          <w:rFonts w:ascii="Garamond" w:hAnsi="Garamond"/>
          <w:sz w:val="24"/>
          <w:szCs w:val="24"/>
        </w:rPr>
        <w:t xml:space="preserve"> </w:t>
      </w:r>
    </w:p>
    <w:p w:rsidR="002B5C0B" w:rsidRPr="00FA1FF7" w:rsidRDefault="002B5C0B" w:rsidP="00FA1FF7">
      <w:pPr>
        <w:spacing w:line="360" w:lineRule="auto"/>
        <w:contextualSpacing/>
        <w:jc w:val="both"/>
        <w:rPr>
          <w:rFonts w:ascii="Garamond" w:hAnsi="Garamond"/>
        </w:rPr>
      </w:pPr>
    </w:p>
    <w:p w:rsidR="008C2A1D" w:rsidRPr="00FA1FF7" w:rsidRDefault="008C2A1D" w:rsidP="00FA1FF7">
      <w:pPr>
        <w:pStyle w:val="Nadpis1"/>
        <w:numPr>
          <w:ilvl w:val="0"/>
          <w:numId w:val="0"/>
        </w:numPr>
        <w:contextualSpacing/>
      </w:pPr>
      <w:bookmarkStart w:id="43" w:name="_Toc36031969"/>
      <w:r w:rsidRPr="00FA1FF7">
        <w:t>Klíčová slova</w:t>
      </w:r>
      <w:bookmarkEnd w:id="43"/>
    </w:p>
    <w:p w:rsidR="00082F35" w:rsidRPr="00BE5B1C" w:rsidRDefault="00FA1FF7" w:rsidP="00FA1FF7">
      <w:pPr>
        <w:spacing w:line="360" w:lineRule="auto"/>
        <w:contextualSpacing/>
        <w:jc w:val="both"/>
        <w:rPr>
          <w:rFonts w:ascii="Garamond" w:hAnsi="Garamond"/>
          <w:sz w:val="24"/>
          <w:szCs w:val="24"/>
        </w:rPr>
      </w:pPr>
      <w:proofErr w:type="spellStart"/>
      <w:r w:rsidRPr="00BE5B1C">
        <w:rPr>
          <w:rFonts w:ascii="Garamond" w:hAnsi="Garamond"/>
          <w:sz w:val="24"/>
          <w:szCs w:val="24"/>
        </w:rPr>
        <w:t>reivindikace</w:t>
      </w:r>
      <w:proofErr w:type="spellEnd"/>
      <w:r w:rsidR="00BE5B1C">
        <w:rPr>
          <w:rFonts w:ascii="Garamond" w:hAnsi="Garamond"/>
          <w:sz w:val="24"/>
          <w:szCs w:val="24"/>
        </w:rPr>
        <w:t>, civilní proces, římské právo, žalobce, žalovaný</w:t>
      </w:r>
    </w:p>
    <w:p w:rsidR="008C67EE" w:rsidRDefault="008C67EE">
      <w:pPr>
        <w:rPr>
          <w:rFonts w:ascii="Garamond" w:eastAsiaTheme="majorEastAsia" w:hAnsi="Garamond" w:cstheme="majorBidi"/>
          <w:b/>
          <w:bCs/>
          <w:sz w:val="32"/>
          <w:szCs w:val="28"/>
          <w:lang w:val="en-GB"/>
        </w:rPr>
      </w:pPr>
      <w:r>
        <w:rPr>
          <w:lang w:val="en-GB"/>
        </w:rPr>
        <w:br w:type="page"/>
      </w:r>
    </w:p>
    <w:p w:rsidR="008C2A1D" w:rsidRPr="00BE5B1C" w:rsidRDefault="00E81592" w:rsidP="00FA1FF7">
      <w:pPr>
        <w:pStyle w:val="Nadpis1"/>
        <w:numPr>
          <w:ilvl w:val="0"/>
          <w:numId w:val="0"/>
        </w:numPr>
        <w:contextualSpacing/>
        <w:rPr>
          <w:lang w:val="en-GB"/>
        </w:rPr>
      </w:pPr>
      <w:bookmarkStart w:id="44" w:name="_Toc36031970"/>
      <w:r>
        <w:rPr>
          <w:lang w:val="en-GB"/>
        </w:rPr>
        <w:lastRenderedPageBreak/>
        <w:t>Summary</w:t>
      </w:r>
      <w:bookmarkEnd w:id="44"/>
    </w:p>
    <w:p w:rsidR="00973C01" w:rsidRPr="00FA1FF7" w:rsidRDefault="00973C01" w:rsidP="00FA1FF7">
      <w:pPr>
        <w:spacing w:line="360" w:lineRule="auto"/>
        <w:ind w:firstLine="708"/>
        <w:contextualSpacing/>
        <w:jc w:val="both"/>
        <w:rPr>
          <w:rFonts w:ascii="Garamond" w:hAnsi="Garamond"/>
          <w:sz w:val="24"/>
          <w:szCs w:val="24"/>
          <w:lang w:val="en-GB"/>
        </w:rPr>
      </w:pPr>
      <w:r w:rsidRPr="00FA1FF7">
        <w:rPr>
          <w:rFonts w:ascii="Garamond" w:hAnsi="Garamond"/>
          <w:sz w:val="24"/>
          <w:szCs w:val="24"/>
          <w:lang w:val="en-GB"/>
        </w:rPr>
        <w:t>The topic of the the</w:t>
      </w:r>
      <w:r w:rsidR="001B0EB0" w:rsidRPr="00FA1FF7">
        <w:rPr>
          <w:rFonts w:ascii="Garamond" w:hAnsi="Garamond"/>
          <w:sz w:val="24"/>
          <w:szCs w:val="24"/>
          <w:lang w:val="en-GB"/>
        </w:rPr>
        <w:t>sis</w:t>
      </w:r>
      <w:r w:rsidRPr="00FA1FF7">
        <w:rPr>
          <w:rFonts w:ascii="Garamond" w:hAnsi="Garamond"/>
          <w:sz w:val="24"/>
          <w:szCs w:val="24"/>
          <w:lang w:val="en-GB"/>
        </w:rPr>
        <w:t xml:space="preserve"> is </w:t>
      </w:r>
      <w:proofErr w:type="spellStart"/>
      <w:r w:rsidRPr="00FA1FF7">
        <w:rPr>
          <w:rFonts w:ascii="Garamond" w:hAnsi="Garamond"/>
          <w:sz w:val="24"/>
          <w:szCs w:val="24"/>
          <w:lang w:val="en-GB"/>
        </w:rPr>
        <w:t>rei</w:t>
      </w:r>
      <w:proofErr w:type="spellEnd"/>
      <w:r w:rsidRPr="00FA1FF7">
        <w:rPr>
          <w:rFonts w:ascii="Garamond" w:hAnsi="Garamond"/>
          <w:sz w:val="24"/>
          <w:szCs w:val="24"/>
          <w:lang w:val="en-GB"/>
        </w:rPr>
        <w:t xml:space="preserve"> </w:t>
      </w:r>
      <w:proofErr w:type="spellStart"/>
      <w:r w:rsidRPr="00FA1FF7">
        <w:rPr>
          <w:rFonts w:ascii="Garamond" w:hAnsi="Garamond"/>
          <w:sz w:val="24"/>
          <w:szCs w:val="24"/>
          <w:lang w:val="en-GB"/>
        </w:rPr>
        <w:t>vindicatio</w:t>
      </w:r>
      <w:proofErr w:type="spellEnd"/>
      <w:r w:rsidRPr="00FA1FF7">
        <w:rPr>
          <w:rFonts w:ascii="Garamond" w:hAnsi="Garamond"/>
          <w:sz w:val="24"/>
          <w:szCs w:val="24"/>
          <w:lang w:val="en-GB"/>
        </w:rPr>
        <w:t xml:space="preserve"> in </w:t>
      </w:r>
      <w:proofErr w:type="gramStart"/>
      <w:r w:rsidRPr="00FA1FF7">
        <w:rPr>
          <w:rFonts w:ascii="Garamond" w:hAnsi="Garamond"/>
          <w:sz w:val="24"/>
          <w:szCs w:val="24"/>
          <w:lang w:val="en-GB"/>
        </w:rPr>
        <w:t>roman</w:t>
      </w:r>
      <w:proofErr w:type="gramEnd"/>
      <w:r w:rsidRPr="00FA1FF7">
        <w:rPr>
          <w:rFonts w:ascii="Garamond" w:hAnsi="Garamond"/>
          <w:sz w:val="24"/>
          <w:szCs w:val="24"/>
          <w:lang w:val="en-GB"/>
        </w:rPr>
        <w:t xml:space="preserve"> law focusing on civil procedure. The </w:t>
      </w:r>
      <w:r w:rsidR="00BE5B1C">
        <w:rPr>
          <w:rFonts w:ascii="Garamond" w:hAnsi="Garamond"/>
          <w:sz w:val="24"/>
          <w:szCs w:val="24"/>
          <w:lang w:val="en-GB"/>
        </w:rPr>
        <w:t xml:space="preserve">aim of the </w:t>
      </w:r>
      <w:r w:rsidRPr="00FA1FF7">
        <w:rPr>
          <w:rFonts w:ascii="Garamond" w:hAnsi="Garamond"/>
          <w:sz w:val="24"/>
          <w:szCs w:val="24"/>
          <w:lang w:val="en-GB"/>
        </w:rPr>
        <w:t xml:space="preserve">thesis </w:t>
      </w:r>
      <w:r w:rsidR="00BE5B1C">
        <w:rPr>
          <w:rFonts w:ascii="Garamond" w:hAnsi="Garamond"/>
          <w:sz w:val="24"/>
          <w:szCs w:val="24"/>
          <w:lang w:val="en-GB"/>
        </w:rPr>
        <w:t>is to perform</w:t>
      </w:r>
      <w:r w:rsidRPr="00FA1FF7">
        <w:rPr>
          <w:rFonts w:ascii="Garamond" w:hAnsi="Garamond"/>
          <w:sz w:val="24"/>
          <w:szCs w:val="24"/>
          <w:lang w:val="en-GB"/>
        </w:rPr>
        <w:t xml:space="preserve"> an analysis of </w:t>
      </w:r>
      <w:r w:rsidR="001B0EB0" w:rsidRPr="00FA1FF7">
        <w:rPr>
          <w:rFonts w:ascii="Garamond" w:hAnsi="Garamond"/>
          <w:sz w:val="24"/>
          <w:szCs w:val="24"/>
          <w:lang w:val="en-GB"/>
        </w:rPr>
        <w:t xml:space="preserve">civil procedure in </w:t>
      </w:r>
      <w:proofErr w:type="gramStart"/>
      <w:r w:rsidR="001B0EB0" w:rsidRPr="00FA1FF7">
        <w:rPr>
          <w:rFonts w:ascii="Garamond" w:hAnsi="Garamond"/>
          <w:sz w:val="24"/>
          <w:szCs w:val="24"/>
          <w:lang w:val="en-GB"/>
        </w:rPr>
        <w:t>roman</w:t>
      </w:r>
      <w:proofErr w:type="gramEnd"/>
      <w:r w:rsidR="001B0EB0" w:rsidRPr="00FA1FF7">
        <w:rPr>
          <w:rFonts w:ascii="Garamond" w:hAnsi="Garamond"/>
          <w:sz w:val="24"/>
          <w:szCs w:val="24"/>
          <w:lang w:val="en-GB"/>
        </w:rPr>
        <w:t xml:space="preserve"> law </w:t>
      </w:r>
      <w:r w:rsidR="00BE5B1C">
        <w:rPr>
          <w:rFonts w:ascii="Garamond" w:hAnsi="Garamond"/>
          <w:sz w:val="24"/>
          <w:szCs w:val="24"/>
          <w:lang w:val="en-GB"/>
        </w:rPr>
        <w:t>concerning</w:t>
      </w:r>
      <w:r w:rsidR="001B0EB0" w:rsidRPr="00FA1FF7">
        <w:rPr>
          <w:rFonts w:ascii="Garamond" w:hAnsi="Garamond"/>
          <w:sz w:val="24"/>
          <w:szCs w:val="24"/>
          <w:lang w:val="en-GB"/>
        </w:rPr>
        <w:t xml:space="preserve"> </w:t>
      </w:r>
      <w:proofErr w:type="spellStart"/>
      <w:r w:rsidR="001B0EB0" w:rsidRPr="00FA1FF7">
        <w:rPr>
          <w:rFonts w:ascii="Garamond" w:hAnsi="Garamond"/>
          <w:sz w:val="24"/>
          <w:szCs w:val="24"/>
          <w:lang w:val="en-GB"/>
        </w:rPr>
        <w:t>rei</w:t>
      </w:r>
      <w:proofErr w:type="spellEnd"/>
      <w:r w:rsidR="001B0EB0" w:rsidRPr="00FA1FF7">
        <w:rPr>
          <w:rFonts w:ascii="Garamond" w:hAnsi="Garamond"/>
          <w:sz w:val="24"/>
          <w:szCs w:val="24"/>
          <w:lang w:val="en-GB"/>
        </w:rPr>
        <w:t xml:space="preserve"> </w:t>
      </w:r>
      <w:r w:rsidR="00BE5B1C">
        <w:rPr>
          <w:rFonts w:ascii="Garamond" w:hAnsi="Garamond"/>
          <w:sz w:val="24"/>
          <w:szCs w:val="24"/>
          <w:lang w:val="en-GB"/>
        </w:rPr>
        <w:t>vindication and to</w:t>
      </w:r>
      <w:r w:rsidR="001B0EB0" w:rsidRPr="00FA1FF7">
        <w:rPr>
          <w:rFonts w:ascii="Garamond" w:hAnsi="Garamond"/>
          <w:sz w:val="24"/>
          <w:szCs w:val="24"/>
          <w:lang w:val="en-GB"/>
        </w:rPr>
        <w:t xml:space="preserve"> points out to correspondences and distinctions between roman and current legislation in the Czech Republic</w:t>
      </w:r>
      <w:r w:rsidR="00647CAC" w:rsidRPr="00FA1FF7">
        <w:rPr>
          <w:rFonts w:ascii="Garamond" w:hAnsi="Garamond"/>
          <w:sz w:val="24"/>
          <w:szCs w:val="24"/>
          <w:lang w:val="en-GB"/>
        </w:rPr>
        <w:t xml:space="preserve">, as it derives from the roman legislation. The thesis </w:t>
      </w:r>
      <w:r w:rsidR="004E3915">
        <w:rPr>
          <w:rFonts w:ascii="Garamond" w:hAnsi="Garamond"/>
          <w:sz w:val="24"/>
          <w:szCs w:val="24"/>
          <w:lang w:val="en-GB"/>
        </w:rPr>
        <w:t xml:space="preserve">contains seven chapters. The first chapter </w:t>
      </w:r>
      <w:r w:rsidR="00647CAC" w:rsidRPr="00FA1FF7">
        <w:rPr>
          <w:rFonts w:ascii="Garamond" w:hAnsi="Garamond"/>
          <w:sz w:val="24"/>
          <w:szCs w:val="24"/>
          <w:lang w:val="en-GB"/>
        </w:rPr>
        <w:t xml:space="preserve">focuses on purpose of </w:t>
      </w:r>
      <w:proofErr w:type="spellStart"/>
      <w:r w:rsidR="00647CAC" w:rsidRPr="00FA1FF7">
        <w:rPr>
          <w:rFonts w:ascii="Garamond" w:hAnsi="Garamond"/>
          <w:sz w:val="24"/>
          <w:szCs w:val="24"/>
          <w:lang w:val="en-GB"/>
        </w:rPr>
        <w:t>rei</w:t>
      </w:r>
      <w:proofErr w:type="spellEnd"/>
      <w:r w:rsidR="00647CAC" w:rsidRPr="00FA1FF7">
        <w:rPr>
          <w:rFonts w:ascii="Garamond" w:hAnsi="Garamond"/>
          <w:sz w:val="24"/>
          <w:szCs w:val="24"/>
          <w:lang w:val="en-GB"/>
        </w:rPr>
        <w:t xml:space="preserve"> vindication, its development</w:t>
      </w:r>
      <w:r w:rsidR="004E3915">
        <w:rPr>
          <w:rFonts w:ascii="Garamond" w:hAnsi="Garamond"/>
          <w:sz w:val="24"/>
          <w:szCs w:val="24"/>
          <w:lang w:val="en-GB"/>
        </w:rPr>
        <w:t xml:space="preserve"> and</w:t>
      </w:r>
      <w:r w:rsidR="00647CAC" w:rsidRPr="00FA1FF7">
        <w:rPr>
          <w:rFonts w:ascii="Garamond" w:hAnsi="Garamond"/>
          <w:sz w:val="24"/>
          <w:szCs w:val="24"/>
          <w:lang w:val="en-GB"/>
        </w:rPr>
        <w:t xml:space="preserve"> subject of </w:t>
      </w:r>
      <w:proofErr w:type="spellStart"/>
      <w:r w:rsidR="00647CAC" w:rsidRPr="00FA1FF7">
        <w:rPr>
          <w:rFonts w:ascii="Garamond" w:hAnsi="Garamond"/>
          <w:sz w:val="24"/>
          <w:szCs w:val="24"/>
          <w:lang w:val="en-GB"/>
        </w:rPr>
        <w:t>rei</w:t>
      </w:r>
      <w:proofErr w:type="spellEnd"/>
      <w:r w:rsidR="00647CAC" w:rsidRPr="00FA1FF7">
        <w:rPr>
          <w:rFonts w:ascii="Garamond" w:hAnsi="Garamond"/>
          <w:sz w:val="24"/>
          <w:szCs w:val="24"/>
          <w:lang w:val="en-GB"/>
        </w:rPr>
        <w:t xml:space="preserve"> vindication</w:t>
      </w:r>
      <w:r w:rsidR="004E3915">
        <w:rPr>
          <w:rFonts w:ascii="Garamond" w:hAnsi="Garamond"/>
          <w:sz w:val="24"/>
          <w:szCs w:val="24"/>
          <w:lang w:val="en-GB"/>
        </w:rPr>
        <w:t>. The second chapter deals with</w:t>
      </w:r>
      <w:r w:rsidR="00647CAC" w:rsidRPr="00FA1FF7">
        <w:rPr>
          <w:rFonts w:ascii="Garamond" w:hAnsi="Garamond"/>
          <w:sz w:val="24"/>
          <w:szCs w:val="24"/>
          <w:lang w:val="en-GB"/>
        </w:rPr>
        <w:t xml:space="preserve"> plaintiff</w:t>
      </w:r>
      <w:r w:rsidR="004E3915">
        <w:rPr>
          <w:rFonts w:ascii="Garamond" w:hAnsi="Garamond"/>
          <w:sz w:val="24"/>
          <w:szCs w:val="24"/>
          <w:lang w:val="en-GB"/>
        </w:rPr>
        <w:t xml:space="preserve"> and the third chapter with</w:t>
      </w:r>
      <w:r w:rsidR="00FA1FF7" w:rsidRPr="00FA1FF7">
        <w:rPr>
          <w:rFonts w:ascii="Garamond" w:hAnsi="Garamond"/>
          <w:sz w:val="24"/>
          <w:szCs w:val="24"/>
          <w:lang w:val="en-GB"/>
        </w:rPr>
        <w:t xml:space="preserve"> defendant</w:t>
      </w:r>
      <w:r w:rsidR="004E3915">
        <w:rPr>
          <w:rFonts w:ascii="Garamond" w:hAnsi="Garamond"/>
          <w:sz w:val="24"/>
          <w:szCs w:val="24"/>
          <w:lang w:val="en-GB"/>
        </w:rPr>
        <w:t>. The fourth</w:t>
      </w:r>
      <w:r w:rsidR="00FA1FF7" w:rsidRPr="00FA1FF7">
        <w:rPr>
          <w:rFonts w:ascii="Garamond" w:hAnsi="Garamond"/>
          <w:sz w:val="24"/>
          <w:szCs w:val="24"/>
          <w:lang w:val="en-GB"/>
        </w:rPr>
        <w:t xml:space="preserve"> </w:t>
      </w:r>
      <w:r w:rsidR="004E3915">
        <w:rPr>
          <w:rFonts w:ascii="Garamond" w:hAnsi="Garamond"/>
          <w:sz w:val="24"/>
          <w:szCs w:val="24"/>
          <w:lang w:val="en-GB"/>
        </w:rPr>
        <w:t xml:space="preserve">chapter deals with </w:t>
      </w:r>
      <w:r w:rsidR="00FA1FF7" w:rsidRPr="00FA1FF7">
        <w:rPr>
          <w:rFonts w:ascii="Garamond" w:hAnsi="Garamond"/>
          <w:sz w:val="24"/>
          <w:szCs w:val="24"/>
          <w:lang w:val="en-GB"/>
        </w:rPr>
        <w:t>taking of evidence,</w:t>
      </w:r>
      <w:r w:rsidR="004E3915">
        <w:rPr>
          <w:rFonts w:ascii="Garamond" w:hAnsi="Garamond"/>
          <w:sz w:val="24"/>
          <w:szCs w:val="24"/>
          <w:lang w:val="en-GB"/>
        </w:rPr>
        <w:t xml:space="preserve"> the fifth chapter deals with</w:t>
      </w:r>
      <w:r w:rsidR="00FA1FF7" w:rsidRPr="00FA1FF7">
        <w:rPr>
          <w:rFonts w:ascii="Garamond" w:hAnsi="Garamond"/>
          <w:sz w:val="24"/>
          <w:szCs w:val="24"/>
          <w:lang w:val="en-GB"/>
        </w:rPr>
        <w:t xml:space="preserve"> costs of litigation</w:t>
      </w:r>
      <w:r w:rsidR="004E3915">
        <w:rPr>
          <w:rFonts w:ascii="Garamond" w:hAnsi="Garamond"/>
          <w:sz w:val="24"/>
          <w:szCs w:val="24"/>
          <w:lang w:val="en-GB"/>
        </w:rPr>
        <w:t xml:space="preserve"> and sixth chapter deals with</w:t>
      </w:r>
      <w:r w:rsidR="00FA1FF7" w:rsidRPr="00FA1FF7">
        <w:rPr>
          <w:rFonts w:ascii="Garamond" w:hAnsi="Garamond"/>
          <w:sz w:val="24"/>
          <w:szCs w:val="24"/>
          <w:lang w:val="en-GB"/>
        </w:rPr>
        <w:t xml:space="preserve"> enforcement</w:t>
      </w:r>
      <w:r w:rsidR="004E3915">
        <w:rPr>
          <w:rFonts w:ascii="Garamond" w:hAnsi="Garamond"/>
          <w:sz w:val="24"/>
          <w:szCs w:val="24"/>
          <w:lang w:val="en-GB"/>
        </w:rPr>
        <w:t>.</w:t>
      </w:r>
      <w:r w:rsidR="00FA1FF7" w:rsidRPr="00FA1FF7">
        <w:rPr>
          <w:rFonts w:ascii="Garamond" w:hAnsi="Garamond"/>
          <w:sz w:val="24"/>
          <w:szCs w:val="24"/>
          <w:lang w:val="en-GB"/>
        </w:rPr>
        <w:t xml:space="preserve"> </w:t>
      </w:r>
      <w:r w:rsidR="004E3915">
        <w:rPr>
          <w:rFonts w:ascii="Garamond" w:hAnsi="Garamond"/>
          <w:sz w:val="24"/>
          <w:szCs w:val="24"/>
          <w:lang w:val="en-GB"/>
        </w:rPr>
        <w:t xml:space="preserve">Last chapter deals with </w:t>
      </w:r>
      <w:r w:rsidR="00FA1FF7" w:rsidRPr="00FA1FF7">
        <w:rPr>
          <w:rFonts w:ascii="Garamond" w:hAnsi="Garamond"/>
          <w:sz w:val="24"/>
          <w:szCs w:val="24"/>
          <w:lang w:val="en-GB"/>
        </w:rPr>
        <w:t xml:space="preserve">competition of </w:t>
      </w:r>
      <w:proofErr w:type="spellStart"/>
      <w:r w:rsidR="00FA1FF7" w:rsidRPr="00FA1FF7">
        <w:rPr>
          <w:rFonts w:ascii="Garamond" w:hAnsi="Garamond"/>
          <w:sz w:val="24"/>
          <w:szCs w:val="24"/>
          <w:lang w:val="en-GB"/>
        </w:rPr>
        <w:t>rei</w:t>
      </w:r>
      <w:proofErr w:type="spellEnd"/>
      <w:r w:rsidR="00FA1FF7" w:rsidRPr="00FA1FF7">
        <w:rPr>
          <w:rFonts w:ascii="Garamond" w:hAnsi="Garamond"/>
          <w:sz w:val="24"/>
          <w:szCs w:val="24"/>
          <w:lang w:val="en-GB"/>
        </w:rPr>
        <w:t xml:space="preserve"> vindication with other actions.</w:t>
      </w:r>
    </w:p>
    <w:p w:rsidR="008C2A1D" w:rsidRPr="00FA1FF7" w:rsidRDefault="008C2A1D" w:rsidP="00FA1FF7">
      <w:pPr>
        <w:pStyle w:val="Nadpis1"/>
        <w:numPr>
          <w:ilvl w:val="0"/>
          <w:numId w:val="0"/>
        </w:numPr>
        <w:contextualSpacing/>
      </w:pPr>
      <w:bookmarkStart w:id="45" w:name="_Toc36031971"/>
      <w:proofErr w:type="spellStart"/>
      <w:r w:rsidRPr="00FA1FF7">
        <w:t>Keywords</w:t>
      </w:r>
      <w:bookmarkEnd w:id="45"/>
      <w:proofErr w:type="spellEnd"/>
    </w:p>
    <w:p w:rsidR="008C2A1D" w:rsidRPr="00BE5B1C" w:rsidRDefault="00BE5B1C" w:rsidP="00FA1FF7">
      <w:pPr>
        <w:spacing w:line="360" w:lineRule="auto"/>
        <w:contextualSpacing/>
        <w:jc w:val="both"/>
        <w:rPr>
          <w:rFonts w:ascii="Garamond" w:hAnsi="Garamond"/>
          <w:sz w:val="24"/>
          <w:szCs w:val="24"/>
        </w:rPr>
      </w:pPr>
      <w:proofErr w:type="spellStart"/>
      <w:r>
        <w:rPr>
          <w:rFonts w:ascii="Garamond" w:hAnsi="Garamond"/>
          <w:sz w:val="24"/>
          <w:szCs w:val="24"/>
        </w:rPr>
        <w:t>rei</w:t>
      </w:r>
      <w:proofErr w:type="spellEnd"/>
      <w:r>
        <w:rPr>
          <w:rFonts w:ascii="Garamond" w:hAnsi="Garamond"/>
          <w:sz w:val="24"/>
          <w:szCs w:val="24"/>
        </w:rPr>
        <w:t xml:space="preserve"> </w:t>
      </w:r>
      <w:proofErr w:type="spellStart"/>
      <w:r>
        <w:rPr>
          <w:rFonts w:ascii="Garamond" w:hAnsi="Garamond"/>
          <w:sz w:val="24"/>
          <w:szCs w:val="24"/>
        </w:rPr>
        <w:t>vindicatio</w:t>
      </w:r>
      <w:proofErr w:type="spellEnd"/>
      <w:r>
        <w:rPr>
          <w:rFonts w:ascii="Garamond" w:hAnsi="Garamond"/>
          <w:sz w:val="24"/>
          <w:szCs w:val="24"/>
        </w:rPr>
        <w:t xml:space="preserve">, civil </w:t>
      </w:r>
      <w:proofErr w:type="spellStart"/>
      <w:r>
        <w:rPr>
          <w:rFonts w:ascii="Garamond" w:hAnsi="Garamond"/>
          <w:sz w:val="24"/>
          <w:szCs w:val="24"/>
        </w:rPr>
        <w:t>procedure</w:t>
      </w:r>
      <w:proofErr w:type="spellEnd"/>
      <w:r>
        <w:rPr>
          <w:rFonts w:ascii="Garamond" w:hAnsi="Garamond"/>
          <w:sz w:val="24"/>
          <w:szCs w:val="24"/>
        </w:rPr>
        <w:t xml:space="preserve">, </w:t>
      </w:r>
      <w:proofErr w:type="spellStart"/>
      <w:r>
        <w:rPr>
          <w:rFonts w:ascii="Garamond" w:hAnsi="Garamond"/>
          <w:sz w:val="24"/>
          <w:szCs w:val="24"/>
        </w:rPr>
        <w:t>roman</w:t>
      </w:r>
      <w:proofErr w:type="spellEnd"/>
      <w:r>
        <w:rPr>
          <w:rFonts w:ascii="Garamond" w:hAnsi="Garamond"/>
          <w:sz w:val="24"/>
          <w:szCs w:val="24"/>
        </w:rPr>
        <w:t xml:space="preserve"> </w:t>
      </w:r>
      <w:proofErr w:type="spellStart"/>
      <w:r>
        <w:rPr>
          <w:rFonts w:ascii="Garamond" w:hAnsi="Garamond"/>
          <w:sz w:val="24"/>
          <w:szCs w:val="24"/>
        </w:rPr>
        <w:t>law</w:t>
      </w:r>
      <w:proofErr w:type="spellEnd"/>
      <w:r>
        <w:rPr>
          <w:rFonts w:ascii="Garamond" w:hAnsi="Garamond"/>
          <w:sz w:val="24"/>
          <w:szCs w:val="24"/>
        </w:rPr>
        <w:t xml:space="preserve">, </w:t>
      </w:r>
      <w:proofErr w:type="spellStart"/>
      <w:r>
        <w:rPr>
          <w:rFonts w:ascii="Garamond" w:hAnsi="Garamond"/>
          <w:sz w:val="24"/>
          <w:szCs w:val="24"/>
        </w:rPr>
        <w:t>plaintiff</w:t>
      </w:r>
      <w:proofErr w:type="spellEnd"/>
      <w:r>
        <w:rPr>
          <w:rFonts w:ascii="Garamond" w:hAnsi="Garamond"/>
          <w:sz w:val="24"/>
          <w:szCs w:val="24"/>
        </w:rPr>
        <w:t xml:space="preserve">, </w:t>
      </w:r>
      <w:proofErr w:type="spellStart"/>
      <w:r>
        <w:rPr>
          <w:rFonts w:ascii="Garamond" w:hAnsi="Garamond"/>
          <w:sz w:val="24"/>
          <w:szCs w:val="24"/>
        </w:rPr>
        <w:t>defendant</w:t>
      </w:r>
      <w:proofErr w:type="spellEnd"/>
      <w:r>
        <w:rPr>
          <w:rFonts w:ascii="Garamond" w:hAnsi="Garamond"/>
          <w:sz w:val="24"/>
          <w:szCs w:val="24"/>
        </w:rPr>
        <w:t xml:space="preserve">, </w:t>
      </w:r>
    </w:p>
    <w:sectPr w:rsidR="008C2A1D" w:rsidRPr="00BE5B1C" w:rsidSect="008F15C2">
      <w:footerReference w:type="default" r:id="rId12"/>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A9" w:rsidRDefault="00D776A9" w:rsidP="0016608E">
      <w:pPr>
        <w:spacing w:after="0" w:line="240" w:lineRule="auto"/>
      </w:pPr>
      <w:r>
        <w:separator/>
      </w:r>
    </w:p>
  </w:endnote>
  <w:endnote w:type="continuationSeparator" w:id="0">
    <w:p w:rsidR="00D776A9" w:rsidRDefault="00D776A9" w:rsidP="00166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96502"/>
      <w:docPartObj>
        <w:docPartGallery w:val="Page Numbers (Bottom of Page)"/>
        <w:docPartUnique/>
      </w:docPartObj>
    </w:sdtPr>
    <w:sdtContent>
      <w:p w:rsidR="00646C74" w:rsidRDefault="00646C74">
        <w:pPr>
          <w:pStyle w:val="Zpat"/>
          <w:jc w:val="center"/>
        </w:pPr>
        <w:r>
          <w:rPr>
            <w:noProof/>
          </w:rPr>
          <w:fldChar w:fldCharType="begin"/>
        </w:r>
        <w:r>
          <w:rPr>
            <w:noProof/>
          </w:rPr>
          <w:instrText xml:space="preserve"> PAGE   \* MERGEFORMAT </w:instrText>
        </w:r>
        <w:r>
          <w:rPr>
            <w:noProof/>
          </w:rPr>
          <w:fldChar w:fldCharType="separate"/>
        </w:r>
        <w:r w:rsidR="00365DDE">
          <w:rPr>
            <w:noProof/>
          </w:rPr>
          <w:t>44</w:t>
        </w:r>
        <w:r>
          <w:rPr>
            <w:noProof/>
          </w:rPr>
          <w:fldChar w:fldCharType="end"/>
        </w:r>
      </w:p>
    </w:sdtContent>
  </w:sdt>
  <w:p w:rsidR="00646C74" w:rsidRDefault="00646C7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A9" w:rsidRDefault="00D776A9" w:rsidP="0016608E">
      <w:pPr>
        <w:spacing w:after="0" w:line="240" w:lineRule="auto"/>
      </w:pPr>
      <w:r>
        <w:separator/>
      </w:r>
    </w:p>
  </w:footnote>
  <w:footnote w:type="continuationSeparator" w:id="0">
    <w:p w:rsidR="00D776A9" w:rsidRDefault="00D776A9" w:rsidP="0016608E">
      <w:pPr>
        <w:spacing w:after="0" w:line="240" w:lineRule="auto"/>
      </w:pPr>
      <w:r>
        <w:continuationSeparator/>
      </w:r>
    </w:p>
  </w:footnote>
  <w:footnote w:id="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Jaromír, URFUS, Valentin, SKŘEJPEK, Michal. </w:t>
      </w:r>
      <w:r w:rsidRPr="002C5AFF">
        <w:rPr>
          <w:rFonts w:ascii="Garamond" w:hAnsi="Garamond"/>
          <w:i/>
        </w:rPr>
        <w:t>Římské právo.</w:t>
      </w:r>
      <w:r w:rsidRPr="002C5AFF">
        <w:rPr>
          <w:rFonts w:ascii="Garamond" w:hAnsi="Garamond"/>
        </w:rPr>
        <w:t xml:space="preserve"> Praha: C. H. Beck, 1995, s. 152 – 153.</w:t>
      </w:r>
    </w:p>
  </w:footnote>
  <w:footnote w:id="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182.</w:t>
      </w:r>
    </w:p>
    <w:p w:rsidR="00646C74" w:rsidRPr="002C5AFF" w:rsidRDefault="00646C74" w:rsidP="002C5AFF">
      <w:pPr>
        <w:pStyle w:val="Textpoznpodarou"/>
        <w:keepNext/>
        <w:jc w:val="both"/>
        <w:rPr>
          <w:rFonts w:ascii="Garamond" w:hAnsi="Garamond"/>
        </w:rPr>
      </w:pPr>
      <w:r w:rsidRPr="002C5AFF">
        <w:rPr>
          <w:rFonts w:ascii="Garamond" w:hAnsi="Garamond"/>
        </w:rPr>
        <w:t xml:space="preserve">BARTOŠEK, Milan. </w:t>
      </w:r>
      <w:r w:rsidRPr="002C5AFF">
        <w:rPr>
          <w:rFonts w:ascii="Garamond" w:hAnsi="Garamond"/>
          <w:i/>
        </w:rPr>
        <w:t>Encyklopedie římského práva.</w:t>
      </w:r>
      <w:r w:rsidRPr="002C5AFF">
        <w:rPr>
          <w:rFonts w:ascii="Garamond" w:hAnsi="Garamond"/>
        </w:rPr>
        <w:t xml:space="preserve"> Praha: Academia, 1994, s. 78, 139.</w:t>
      </w:r>
    </w:p>
  </w:footnote>
  <w:footnote w:id="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Jan. </w:t>
      </w:r>
      <w:r w:rsidRPr="002C5AFF">
        <w:rPr>
          <w:rFonts w:ascii="Garamond" w:hAnsi="Garamond"/>
          <w:i/>
        </w:rPr>
        <w:t>Římský proces civilní.</w:t>
      </w:r>
      <w:r w:rsidRPr="002C5AFF">
        <w:rPr>
          <w:rFonts w:ascii="Garamond" w:hAnsi="Garamond"/>
        </w:rPr>
        <w:t xml:space="preserve"> 1. vyd. Praha: Melantrich, 1935, s. 14.</w:t>
      </w:r>
    </w:p>
  </w:footnote>
  <w:footnote w:id="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78, 215.</w:t>
      </w:r>
    </w:p>
  </w:footnote>
  <w:footnote w:id="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Od roku 367 př. n. l.</w:t>
      </w:r>
    </w:p>
  </w:footnote>
  <w:footnote w:id="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I: </w:t>
      </w:r>
      <w:r w:rsidRPr="002C5AFF">
        <w:rPr>
          <w:rFonts w:ascii="Garamond" w:hAnsi="Garamond"/>
          <w:i/>
        </w:rPr>
        <w:t xml:space="preserve">„1. </w:t>
      </w:r>
      <w:proofErr w:type="gramStart"/>
      <w:r w:rsidRPr="002C5AFF">
        <w:rPr>
          <w:rFonts w:ascii="Garamond" w:hAnsi="Garamond"/>
          <w:i/>
        </w:rPr>
        <w:t>Si</w:t>
      </w:r>
      <w:proofErr w:type="gramEnd"/>
      <w:r w:rsidRPr="002C5AFF">
        <w:rPr>
          <w:rFonts w:ascii="Garamond" w:hAnsi="Garamond"/>
          <w:i/>
        </w:rPr>
        <w:t xml:space="preserve"> in ius vocat, ito. Ni it, antestamino: igitur em capito. 2. </w:t>
      </w:r>
      <w:proofErr w:type="gramStart"/>
      <w:r w:rsidRPr="002C5AFF">
        <w:rPr>
          <w:rFonts w:ascii="Garamond" w:hAnsi="Garamond"/>
          <w:i/>
        </w:rPr>
        <w:t>Si</w:t>
      </w:r>
      <w:proofErr w:type="gramEnd"/>
      <w:r w:rsidRPr="002C5AFF">
        <w:rPr>
          <w:rFonts w:ascii="Garamond" w:hAnsi="Garamond"/>
          <w:i/>
        </w:rPr>
        <w:t xml:space="preserve"> calvitur pedemve struit, manum endo iacito. 3. </w:t>
      </w:r>
      <w:proofErr w:type="gramStart"/>
      <w:r w:rsidRPr="002C5AFF">
        <w:rPr>
          <w:rFonts w:ascii="Garamond" w:hAnsi="Garamond"/>
          <w:i/>
        </w:rPr>
        <w:t>Si</w:t>
      </w:r>
      <w:proofErr w:type="gramEnd"/>
      <w:r w:rsidRPr="002C5AFF">
        <w:rPr>
          <w:rFonts w:ascii="Garamond" w:hAnsi="Garamond"/>
          <w:i/>
        </w:rPr>
        <w:t xml:space="preserve"> morbus aevitasve vitium escit, iumentum dato. si </w:t>
      </w:r>
      <w:proofErr w:type="spellStart"/>
      <w:r w:rsidRPr="002C5AFF">
        <w:rPr>
          <w:rFonts w:ascii="Garamond" w:hAnsi="Garamond"/>
          <w:i/>
        </w:rPr>
        <w:t>nolet</w:t>
      </w:r>
      <w:proofErr w:type="spellEnd"/>
      <w:r w:rsidRPr="002C5AFF">
        <w:rPr>
          <w:rFonts w:ascii="Garamond" w:hAnsi="Garamond"/>
          <w:i/>
        </w:rPr>
        <w:t xml:space="preserve">, </w:t>
      </w:r>
      <w:proofErr w:type="spellStart"/>
      <w:r w:rsidRPr="002C5AFF">
        <w:rPr>
          <w:rFonts w:ascii="Garamond" w:hAnsi="Garamond"/>
          <w:i/>
        </w:rPr>
        <w:t>arceram</w:t>
      </w:r>
      <w:proofErr w:type="spellEnd"/>
      <w:r w:rsidRPr="002C5AFF">
        <w:rPr>
          <w:rFonts w:ascii="Garamond" w:hAnsi="Garamond"/>
          <w:i/>
        </w:rPr>
        <w:t xml:space="preserve"> ne </w:t>
      </w:r>
      <w:proofErr w:type="spellStart"/>
      <w:r w:rsidRPr="002C5AFF">
        <w:rPr>
          <w:rFonts w:ascii="Garamond" w:hAnsi="Garamond"/>
          <w:i/>
        </w:rPr>
        <w:t>sternito</w:t>
      </w:r>
      <w:proofErr w:type="spellEnd"/>
      <w:r w:rsidRPr="002C5AFF">
        <w:rPr>
          <w:rFonts w:ascii="Garamond" w:hAnsi="Garamond"/>
          <w:i/>
        </w:rPr>
        <w:t>.“</w:t>
      </w:r>
    </w:p>
  </w:footnote>
  <w:footnote w:id="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Jestliže žalovaný nepopřel žalobcovo právo a mlčel nebo dokonce naopak prohlásil svůj souhlas s vindikací žalobce, mělo toto za následek </w:t>
      </w:r>
      <w:r w:rsidRPr="002C5AFF">
        <w:rPr>
          <w:rFonts w:ascii="Garamond" w:hAnsi="Garamond"/>
          <w:i/>
        </w:rPr>
        <w:t xml:space="preserve">in iure </w:t>
      </w:r>
      <w:proofErr w:type="spellStart"/>
      <w:r w:rsidRPr="002C5AFF">
        <w:rPr>
          <w:rFonts w:ascii="Garamond" w:hAnsi="Garamond"/>
          <w:i/>
        </w:rPr>
        <w:t>cessio</w:t>
      </w:r>
      <w:proofErr w:type="spellEnd"/>
      <w:r w:rsidRPr="002C5AFF">
        <w:rPr>
          <w:rFonts w:ascii="Garamond" w:hAnsi="Garamond"/>
        </w:rPr>
        <w:t xml:space="preserve"> – tedy žalobci bylo přiřknuto vlastnictví k předmětné věci. (VÁŽNÝ: </w:t>
      </w:r>
      <w:r w:rsidRPr="002C5AFF">
        <w:rPr>
          <w:rFonts w:ascii="Garamond" w:hAnsi="Garamond"/>
          <w:i/>
        </w:rPr>
        <w:t>Římský proces civilní.</w:t>
      </w:r>
      <w:r w:rsidRPr="002C5AFF">
        <w:rPr>
          <w:rFonts w:ascii="Garamond" w:hAnsi="Garamond"/>
        </w:rPr>
        <w:t>, s. 16 – 17.)</w:t>
      </w:r>
    </w:p>
  </w:footnote>
  <w:footnote w:id="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19.</w:t>
      </w:r>
    </w:p>
  </w:footnote>
  <w:footnote w:id="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31.</w:t>
      </w:r>
    </w:p>
  </w:footnote>
  <w:footnote w:id="1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BERGER, Adolf. </w:t>
      </w:r>
      <w:proofErr w:type="spellStart"/>
      <w:r w:rsidRPr="002C5AFF">
        <w:rPr>
          <w:rFonts w:ascii="Garamond" w:hAnsi="Garamond"/>
          <w:i/>
        </w:rPr>
        <w:t>Encyclopedic</w:t>
      </w:r>
      <w:proofErr w:type="spellEnd"/>
      <w:r w:rsidRPr="002C5AFF">
        <w:rPr>
          <w:rFonts w:ascii="Garamond" w:hAnsi="Garamond"/>
          <w:i/>
        </w:rPr>
        <w:t xml:space="preserve"> </w:t>
      </w:r>
      <w:proofErr w:type="spellStart"/>
      <w:r w:rsidRPr="002C5AFF">
        <w:rPr>
          <w:rFonts w:ascii="Garamond" w:hAnsi="Garamond"/>
          <w:i/>
        </w:rPr>
        <w:t>dictionary</w:t>
      </w:r>
      <w:proofErr w:type="spellEnd"/>
      <w:r w:rsidRPr="002C5AFF">
        <w:rPr>
          <w:rFonts w:ascii="Garamond" w:hAnsi="Garamond"/>
          <w:i/>
        </w:rPr>
        <w:t xml:space="preserve"> </w:t>
      </w:r>
      <w:proofErr w:type="spellStart"/>
      <w:r w:rsidRPr="002C5AFF">
        <w:rPr>
          <w:rFonts w:ascii="Garamond" w:hAnsi="Garamond"/>
          <w:i/>
        </w:rPr>
        <w:t>of</w:t>
      </w:r>
      <w:proofErr w:type="spellEnd"/>
      <w:r w:rsidRPr="002C5AFF">
        <w:rPr>
          <w:rFonts w:ascii="Garamond" w:hAnsi="Garamond"/>
          <w:i/>
        </w:rPr>
        <w:t xml:space="preserve"> </w:t>
      </w:r>
      <w:proofErr w:type="gramStart"/>
      <w:r w:rsidRPr="002C5AFF">
        <w:rPr>
          <w:rFonts w:ascii="Garamond" w:hAnsi="Garamond"/>
          <w:i/>
        </w:rPr>
        <w:t>Roman</w:t>
      </w:r>
      <w:proofErr w:type="gramEnd"/>
      <w:r w:rsidRPr="002C5AFF">
        <w:rPr>
          <w:rFonts w:ascii="Garamond" w:hAnsi="Garamond"/>
          <w:i/>
        </w:rPr>
        <w:t xml:space="preserve"> </w:t>
      </w:r>
      <w:proofErr w:type="spellStart"/>
      <w:r w:rsidRPr="002C5AFF">
        <w:rPr>
          <w:rFonts w:ascii="Garamond" w:hAnsi="Garamond"/>
          <w:i/>
        </w:rPr>
        <w:t>law</w:t>
      </w:r>
      <w:proofErr w:type="spellEnd"/>
      <w:r w:rsidRPr="002C5AFF">
        <w:rPr>
          <w:rFonts w:ascii="Garamond" w:hAnsi="Garamond"/>
        </w:rPr>
        <w:t xml:space="preserve">. </w:t>
      </w:r>
      <w:proofErr w:type="spellStart"/>
      <w:r w:rsidRPr="002C5AFF">
        <w:rPr>
          <w:rFonts w:ascii="Garamond" w:hAnsi="Garamond"/>
        </w:rPr>
        <w:t>Philadelphia</w:t>
      </w:r>
      <w:proofErr w:type="spellEnd"/>
      <w:r w:rsidRPr="002C5AFF">
        <w:rPr>
          <w:rFonts w:ascii="Garamond" w:hAnsi="Garamond"/>
        </w:rPr>
        <w:t xml:space="preserve">: </w:t>
      </w:r>
      <w:proofErr w:type="spellStart"/>
      <w:r w:rsidRPr="002C5AFF">
        <w:rPr>
          <w:rFonts w:ascii="Garamond" w:hAnsi="Garamond"/>
        </w:rPr>
        <w:t>American</w:t>
      </w:r>
      <w:proofErr w:type="spellEnd"/>
      <w:r w:rsidRPr="002C5AFF">
        <w:rPr>
          <w:rFonts w:ascii="Garamond" w:hAnsi="Garamond"/>
        </w:rPr>
        <w:t xml:space="preserve"> </w:t>
      </w:r>
      <w:proofErr w:type="spellStart"/>
      <w:r w:rsidRPr="002C5AFF">
        <w:rPr>
          <w:rFonts w:ascii="Garamond" w:hAnsi="Garamond"/>
        </w:rPr>
        <w:t>Philosophical</w:t>
      </w:r>
      <w:proofErr w:type="spellEnd"/>
      <w:r w:rsidRPr="002C5AFF">
        <w:rPr>
          <w:rFonts w:ascii="Garamond" w:hAnsi="Garamond"/>
        </w:rPr>
        <w:t xml:space="preserve"> Society, 1968, s. 542</w:t>
      </w:r>
    </w:p>
    <w:p w:rsidR="00646C74" w:rsidRPr="002C5AFF" w:rsidRDefault="00646C74" w:rsidP="002C5AFF">
      <w:pPr>
        <w:pStyle w:val="Textpoznpodarou"/>
        <w:keepNext/>
        <w:jc w:val="both"/>
        <w:rPr>
          <w:rFonts w:ascii="Garamond" w:hAnsi="Garamond"/>
        </w:rPr>
      </w:pPr>
      <w:r w:rsidRPr="002C5AFF">
        <w:rPr>
          <w:rFonts w:ascii="Garamond" w:hAnsi="Garamond"/>
        </w:rPr>
        <w:t xml:space="preserve">BARTOŠEK: </w:t>
      </w:r>
      <w:r w:rsidRPr="002C5AFF">
        <w:rPr>
          <w:rFonts w:ascii="Garamond" w:hAnsi="Garamond"/>
          <w:i/>
        </w:rPr>
        <w:t>Encyklopedie římského práva.</w:t>
      </w:r>
      <w:r w:rsidRPr="002C5AFF">
        <w:rPr>
          <w:rFonts w:ascii="Garamond" w:hAnsi="Garamond"/>
        </w:rPr>
        <w:t>, s. 216.</w:t>
      </w:r>
    </w:p>
  </w:footnote>
  <w:footnote w:id="1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19.</w:t>
      </w:r>
    </w:p>
  </w:footnote>
  <w:footnote w:id="1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w:t>
      </w:r>
    </w:p>
  </w:footnote>
  <w:footnote w:id="1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17 – 20.</w:t>
      </w:r>
    </w:p>
  </w:footnote>
  <w:footnote w:id="1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i/>
        </w:rPr>
        <w:t>Sponsio</w:t>
      </w:r>
      <w:proofErr w:type="spellEnd"/>
      <w:r w:rsidRPr="002C5AFF">
        <w:rPr>
          <w:rFonts w:ascii="Garamond" w:hAnsi="Garamond"/>
          <w:i/>
        </w:rPr>
        <w:t xml:space="preserve"> </w:t>
      </w:r>
      <w:proofErr w:type="spellStart"/>
      <w:r w:rsidRPr="002C5AFF">
        <w:rPr>
          <w:rFonts w:ascii="Garamond" w:hAnsi="Garamond"/>
          <w:i/>
        </w:rPr>
        <w:t>praeiudicialis</w:t>
      </w:r>
      <w:proofErr w:type="spellEnd"/>
      <w:r w:rsidRPr="002C5AFF">
        <w:rPr>
          <w:rFonts w:ascii="Garamond" w:hAnsi="Garamond"/>
        </w:rPr>
        <w:t xml:space="preserve"> byla obvykle v hodnotě 25 </w:t>
      </w:r>
      <w:proofErr w:type="spellStart"/>
      <w:r w:rsidRPr="002C5AFF">
        <w:rPr>
          <w:rFonts w:ascii="Garamond" w:hAnsi="Garamond"/>
        </w:rPr>
        <w:t>sestertiů</w:t>
      </w:r>
      <w:proofErr w:type="spellEnd"/>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299.)</w:t>
      </w:r>
    </w:p>
  </w:footnote>
  <w:footnote w:id="1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23.</w:t>
      </w:r>
    </w:p>
  </w:footnote>
  <w:footnote w:id="1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Případně aby povolil ustavení sporu podle nově sestavené formule.</w:t>
      </w:r>
    </w:p>
  </w:footnote>
  <w:footnote w:id="1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54.</w:t>
      </w:r>
    </w:p>
  </w:footnote>
  <w:footnote w:id="1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Zdá se ale nepravděpodobné, že by bylo pro žalovaného jakkoli výhodné rozporovat správnost žalobcem zvolené formule, jelikož chybný výběr formule žalobcem by znamenal pro </w:t>
      </w:r>
      <w:proofErr w:type="gramStart"/>
      <w:r w:rsidRPr="002C5AFF">
        <w:rPr>
          <w:rFonts w:ascii="Garamond" w:hAnsi="Garamond"/>
        </w:rPr>
        <w:t>žalovaného</w:t>
      </w:r>
      <w:proofErr w:type="gramEnd"/>
      <w:r w:rsidRPr="002C5AFF">
        <w:rPr>
          <w:rFonts w:ascii="Garamond" w:hAnsi="Garamond"/>
        </w:rPr>
        <w:t xml:space="preserve"> úspěch ve sporu.</w:t>
      </w:r>
    </w:p>
  </w:footnote>
  <w:footnote w:id="1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30.</w:t>
      </w:r>
    </w:p>
    <w:p w:rsidR="00646C74" w:rsidRPr="002C5AFF" w:rsidRDefault="00646C74" w:rsidP="002C5AFF">
      <w:pPr>
        <w:pStyle w:val="Textpoznpodarou"/>
        <w:keepNext/>
        <w:jc w:val="both"/>
        <w:rPr>
          <w:rFonts w:ascii="Garamond" w:hAnsi="Garamond"/>
        </w:rPr>
      </w:pPr>
      <w:r w:rsidRPr="002C5AFF">
        <w:rPr>
          <w:rFonts w:ascii="Garamond" w:hAnsi="Garamond"/>
        </w:rPr>
        <w:t xml:space="preserve">KINCL, URFUS, SKŘEJPEK: </w:t>
      </w:r>
      <w:r w:rsidRPr="002C5AFF">
        <w:rPr>
          <w:rFonts w:ascii="Garamond" w:hAnsi="Garamond"/>
          <w:i/>
        </w:rPr>
        <w:t>Římské právo.</w:t>
      </w:r>
      <w:r w:rsidRPr="002C5AFF">
        <w:rPr>
          <w:rFonts w:ascii="Garamond" w:hAnsi="Garamond"/>
        </w:rPr>
        <w:t>, s. 119.</w:t>
      </w:r>
    </w:p>
  </w:footnote>
  <w:footnote w:id="2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 ocenění věci žalobcovou přísahou však docházelo pouze v případě, že bylo věc možno vydat, nebo pokud žalovaný ze zlého úmyslu vydání věci znemožnil. Jestliže ale žalovaný věc vydat nemohl, byl povinen k náhradě škody. Žalovaný, který byl poctivým držitelem (</w:t>
      </w:r>
      <w:proofErr w:type="spellStart"/>
      <w:r w:rsidRPr="002C5AFF">
        <w:rPr>
          <w:rFonts w:ascii="Garamond" w:hAnsi="Garamond"/>
          <w:i/>
        </w:rPr>
        <w:t>bonae</w:t>
      </w:r>
      <w:proofErr w:type="spellEnd"/>
      <w:r w:rsidRPr="002C5AFF">
        <w:rPr>
          <w:rFonts w:ascii="Garamond" w:hAnsi="Garamond"/>
          <w:i/>
        </w:rPr>
        <w:t xml:space="preserve"> </w:t>
      </w:r>
      <w:proofErr w:type="spellStart"/>
      <w:r w:rsidRPr="002C5AFF">
        <w:rPr>
          <w:rFonts w:ascii="Garamond" w:hAnsi="Garamond"/>
          <w:i/>
        </w:rPr>
        <w:t>fidei</w:t>
      </w:r>
      <w:proofErr w:type="spellEnd"/>
      <w:r w:rsidRPr="002C5AFF">
        <w:rPr>
          <w:rFonts w:ascii="Garamond" w:hAnsi="Garamond"/>
          <w:i/>
        </w:rPr>
        <w:t xml:space="preserve"> </w:t>
      </w:r>
      <w:proofErr w:type="spellStart"/>
      <w:r w:rsidRPr="002C5AFF">
        <w:rPr>
          <w:rFonts w:ascii="Garamond" w:hAnsi="Garamond"/>
          <w:i/>
        </w:rPr>
        <w:t>possessor</w:t>
      </w:r>
      <w:proofErr w:type="spellEnd"/>
      <w:r w:rsidRPr="002C5AFF">
        <w:rPr>
          <w:rFonts w:ascii="Garamond" w:hAnsi="Garamond"/>
        </w:rPr>
        <w:t>), byl odpovědný od počátku procesu za nedbalost. Žalovaný, který byl nepoctivým držitelem (</w:t>
      </w:r>
      <w:proofErr w:type="spellStart"/>
      <w:r w:rsidRPr="002C5AFF">
        <w:rPr>
          <w:rFonts w:ascii="Garamond" w:hAnsi="Garamond"/>
          <w:i/>
        </w:rPr>
        <w:t>malae</w:t>
      </w:r>
      <w:proofErr w:type="spellEnd"/>
      <w:r w:rsidRPr="002C5AFF">
        <w:rPr>
          <w:rFonts w:ascii="Garamond" w:hAnsi="Garamond"/>
          <w:i/>
        </w:rPr>
        <w:t xml:space="preserve"> </w:t>
      </w:r>
      <w:proofErr w:type="spellStart"/>
      <w:r w:rsidRPr="002C5AFF">
        <w:rPr>
          <w:rFonts w:ascii="Garamond" w:hAnsi="Garamond"/>
          <w:i/>
        </w:rPr>
        <w:t>fidei</w:t>
      </w:r>
      <w:proofErr w:type="spellEnd"/>
      <w:r w:rsidRPr="002C5AFF">
        <w:rPr>
          <w:rFonts w:ascii="Garamond" w:hAnsi="Garamond"/>
          <w:i/>
        </w:rPr>
        <w:t xml:space="preserve"> </w:t>
      </w:r>
      <w:proofErr w:type="spellStart"/>
      <w:r w:rsidRPr="002C5AFF">
        <w:rPr>
          <w:rFonts w:ascii="Garamond" w:hAnsi="Garamond"/>
          <w:i/>
        </w:rPr>
        <w:t>possessor</w:t>
      </w:r>
      <w:proofErr w:type="spellEnd"/>
      <w:r w:rsidRPr="002C5AFF">
        <w:rPr>
          <w:rFonts w:ascii="Garamond" w:hAnsi="Garamond"/>
        </w:rPr>
        <w:t xml:space="preserve">), byl odpovědný i před počátkem procesu za nedbalost a od počátku procesu navíc i za náhodu. (HEYROVSKÝ, Leopold. </w:t>
      </w:r>
      <w:r w:rsidRPr="002C5AFF">
        <w:rPr>
          <w:rFonts w:ascii="Garamond" w:hAnsi="Garamond"/>
          <w:i/>
        </w:rPr>
        <w:t>Dějiny a systém soukromého práva římského.</w:t>
      </w:r>
      <w:r w:rsidRPr="002C5AFF">
        <w:rPr>
          <w:rFonts w:ascii="Garamond" w:hAnsi="Garamond"/>
        </w:rPr>
        <w:t xml:space="preserve"> Praha: J. Otto, 1910, s. 391 – 392.)</w:t>
      </w:r>
    </w:p>
  </w:footnote>
  <w:footnote w:id="2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32 – 36.</w:t>
      </w:r>
    </w:p>
  </w:footnote>
  <w:footnote w:id="2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118 – 119.</w:t>
      </w:r>
    </w:p>
  </w:footnote>
  <w:footnote w:id="2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 excepcím žalovaného blíže viz kapitola 3.1.1.1.</w:t>
      </w:r>
    </w:p>
  </w:footnote>
  <w:footnote w:id="2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30, 62.</w:t>
      </w:r>
    </w:p>
  </w:footnote>
  <w:footnote w:id="2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70.</w:t>
      </w:r>
    </w:p>
  </w:footnote>
  <w:footnote w:id="2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67.</w:t>
      </w:r>
    </w:p>
  </w:footnote>
  <w:footnote w:id="2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67 – 68.</w:t>
      </w:r>
    </w:p>
  </w:footnote>
  <w:footnote w:id="2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82.</w:t>
      </w:r>
    </w:p>
  </w:footnote>
  <w:footnote w:id="2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69 – 70.</w:t>
      </w:r>
    </w:p>
  </w:footnote>
  <w:footnote w:id="3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125 – 126.</w:t>
      </w:r>
    </w:p>
  </w:footnote>
  <w:footnote w:id="3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Jestliže se žalovaný ani po trojím obeslání nedostavil k řízení, mohl být proti němu vydán odsuzující rozsudek, jestliže to soudce po vyslechnutí přítomné strany shledal po právu. (VÁŽNÝ: </w:t>
      </w:r>
      <w:r w:rsidRPr="002C5AFF">
        <w:rPr>
          <w:rFonts w:ascii="Garamond" w:hAnsi="Garamond"/>
          <w:i/>
        </w:rPr>
        <w:t>Římský proces civilní.</w:t>
      </w:r>
      <w:r w:rsidRPr="002C5AFF">
        <w:rPr>
          <w:rFonts w:ascii="Garamond" w:hAnsi="Garamond"/>
        </w:rPr>
        <w:t>, s. 110.)</w:t>
      </w:r>
    </w:p>
  </w:footnote>
  <w:footnote w:id="3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94 – 95.</w:t>
      </w:r>
    </w:p>
  </w:footnote>
  <w:footnote w:id="3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95 – 97.</w:t>
      </w:r>
    </w:p>
  </w:footnote>
  <w:footnote w:id="3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C 3. 1. 14. 4.: „…</w:t>
      </w:r>
      <w:r w:rsidRPr="002C5AFF">
        <w:rPr>
          <w:rFonts w:ascii="Garamond" w:hAnsi="Garamond"/>
          <w:i/>
        </w:rPr>
        <w:t xml:space="preserve">post </w:t>
      </w:r>
      <w:proofErr w:type="spellStart"/>
      <w:r w:rsidRPr="002C5AFF">
        <w:rPr>
          <w:rFonts w:ascii="Garamond" w:hAnsi="Garamond"/>
          <w:i/>
        </w:rPr>
        <w:t>narrationem</w:t>
      </w:r>
      <w:proofErr w:type="spellEnd"/>
      <w:r w:rsidRPr="002C5AFF">
        <w:rPr>
          <w:rFonts w:ascii="Garamond" w:hAnsi="Garamond"/>
          <w:i/>
        </w:rPr>
        <w:t xml:space="preserve"> </w:t>
      </w:r>
      <w:proofErr w:type="spellStart"/>
      <w:r w:rsidRPr="002C5AFF">
        <w:rPr>
          <w:rFonts w:ascii="Garamond" w:hAnsi="Garamond"/>
          <w:i/>
        </w:rPr>
        <w:t>propositam</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contradictionem</w:t>
      </w:r>
      <w:proofErr w:type="spellEnd"/>
      <w:r w:rsidRPr="002C5AFF">
        <w:rPr>
          <w:rFonts w:ascii="Garamond" w:hAnsi="Garamond"/>
          <w:i/>
        </w:rPr>
        <w:t xml:space="preserve"> </w:t>
      </w:r>
      <w:proofErr w:type="spellStart"/>
      <w:r w:rsidRPr="002C5AFF">
        <w:rPr>
          <w:rFonts w:ascii="Garamond" w:hAnsi="Garamond"/>
          <w:i/>
        </w:rPr>
        <w:t>obiectam</w:t>
      </w:r>
      <w:proofErr w:type="spellEnd"/>
      <w:r w:rsidRPr="002C5AFF">
        <w:rPr>
          <w:rFonts w:ascii="Garamond" w:hAnsi="Garamond"/>
          <w:i/>
        </w:rPr>
        <w:t>…“</w:t>
      </w:r>
    </w:p>
  </w:footnote>
  <w:footnote w:id="3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97 – 101.</w:t>
      </w:r>
    </w:p>
  </w:footnote>
  <w:footnote w:id="3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68.: </w:t>
      </w:r>
      <w:r w:rsidRPr="002C5AFF">
        <w:rPr>
          <w:rFonts w:ascii="Garamond" w:hAnsi="Garamond"/>
          <w:i/>
        </w:rPr>
        <w:t>„</w:t>
      </w:r>
      <w:proofErr w:type="spellStart"/>
      <w:r w:rsidRPr="002C5AFF">
        <w:rPr>
          <w:rFonts w:ascii="Garamond" w:hAnsi="Garamond"/>
          <w:i/>
        </w:rPr>
        <w:t>Ulpianus</w:t>
      </w:r>
      <w:proofErr w:type="spellEnd"/>
      <w:r w:rsidRPr="002C5AFF">
        <w:rPr>
          <w:rFonts w:ascii="Garamond" w:hAnsi="Garamond"/>
          <w:i/>
        </w:rPr>
        <w:t xml:space="preserve"> libro 51 ad </w:t>
      </w:r>
      <w:proofErr w:type="spellStart"/>
      <w:r w:rsidRPr="002C5AFF">
        <w:rPr>
          <w:rFonts w:ascii="Garamond" w:hAnsi="Garamond"/>
          <w:i/>
        </w:rPr>
        <w:t>edictum</w:t>
      </w:r>
      <w:proofErr w:type="spellEnd"/>
      <w:r w:rsidRPr="002C5AFF">
        <w:rPr>
          <w:rFonts w:ascii="Garamond" w:hAnsi="Garamond"/>
          <w:i/>
        </w:rPr>
        <w:t xml:space="preserve">. </w:t>
      </w:r>
      <w:proofErr w:type="spellStart"/>
      <w:r w:rsidRPr="002C5AFF">
        <w:rPr>
          <w:rFonts w:ascii="Garamond" w:hAnsi="Garamond"/>
          <w:i/>
        </w:rPr>
        <w:t>Qui</w:t>
      </w:r>
      <w:proofErr w:type="spellEnd"/>
      <w:r w:rsidRPr="002C5AFF">
        <w:rPr>
          <w:rFonts w:ascii="Garamond" w:hAnsi="Garamond"/>
          <w:i/>
        </w:rPr>
        <w:t xml:space="preserve"> </w:t>
      </w:r>
      <w:proofErr w:type="spellStart"/>
      <w:r w:rsidRPr="002C5AFF">
        <w:rPr>
          <w:rFonts w:ascii="Garamond" w:hAnsi="Garamond"/>
          <w:i/>
        </w:rPr>
        <w:t>restituere</w:t>
      </w:r>
      <w:proofErr w:type="spellEnd"/>
      <w:r w:rsidRPr="002C5AFF">
        <w:rPr>
          <w:rFonts w:ascii="Garamond" w:hAnsi="Garamond"/>
          <w:i/>
        </w:rPr>
        <w:t xml:space="preserve"> </w:t>
      </w:r>
      <w:proofErr w:type="spellStart"/>
      <w:r w:rsidRPr="002C5AFF">
        <w:rPr>
          <w:rFonts w:ascii="Garamond" w:hAnsi="Garamond"/>
          <w:i/>
        </w:rPr>
        <w:t>iussus</w:t>
      </w:r>
      <w:proofErr w:type="spellEnd"/>
      <w:r w:rsidRPr="002C5AFF">
        <w:rPr>
          <w:rFonts w:ascii="Garamond" w:hAnsi="Garamond"/>
          <w:i/>
        </w:rPr>
        <w:t xml:space="preserve"> </w:t>
      </w:r>
      <w:proofErr w:type="spellStart"/>
      <w:r w:rsidRPr="002C5AFF">
        <w:rPr>
          <w:rFonts w:ascii="Garamond" w:hAnsi="Garamond"/>
          <w:i/>
        </w:rPr>
        <w:t>iudici</w:t>
      </w:r>
      <w:proofErr w:type="spellEnd"/>
      <w:r w:rsidRPr="002C5AFF">
        <w:rPr>
          <w:rFonts w:ascii="Garamond" w:hAnsi="Garamond"/>
          <w:i/>
        </w:rPr>
        <w:t xml:space="preserve"> non </w:t>
      </w:r>
      <w:proofErr w:type="spellStart"/>
      <w:r w:rsidRPr="002C5AFF">
        <w:rPr>
          <w:rFonts w:ascii="Garamond" w:hAnsi="Garamond"/>
          <w:i/>
        </w:rPr>
        <w:t>paret</w:t>
      </w:r>
      <w:proofErr w:type="spellEnd"/>
      <w:r w:rsidRPr="002C5AFF">
        <w:rPr>
          <w:rFonts w:ascii="Garamond" w:hAnsi="Garamond"/>
          <w:i/>
        </w:rPr>
        <w:t xml:space="preserve"> </w:t>
      </w:r>
      <w:proofErr w:type="spellStart"/>
      <w:r w:rsidRPr="002C5AFF">
        <w:rPr>
          <w:rFonts w:ascii="Garamond" w:hAnsi="Garamond"/>
          <w:i/>
        </w:rPr>
        <w:t>contendens</w:t>
      </w:r>
      <w:proofErr w:type="spellEnd"/>
      <w:r w:rsidRPr="002C5AFF">
        <w:rPr>
          <w:rFonts w:ascii="Garamond" w:hAnsi="Garamond"/>
          <w:i/>
        </w:rPr>
        <w:t xml:space="preserve"> non </w:t>
      </w:r>
      <w:proofErr w:type="spellStart"/>
      <w:r w:rsidRPr="002C5AFF">
        <w:rPr>
          <w:rFonts w:ascii="Garamond" w:hAnsi="Garamond"/>
          <w:i/>
        </w:rPr>
        <w:t>posse</w:t>
      </w:r>
      <w:proofErr w:type="spellEnd"/>
      <w:r w:rsidRPr="002C5AFF">
        <w:rPr>
          <w:rFonts w:ascii="Garamond" w:hAnsi="Garamond"/>
          <w:i/>
        </w:rPr>
        <w:t xml:space="preserve"> </w:t>
      </w:r>
      <w:proofErr w:type="spellStart"/>
      <w:r w:rsidRPr="002C5AFF">
        <w:rPr>
          <w:rFonts w:ascii="Garamond" w:hAnsi="Garamond"/>
          <w:i/>
        </w:rPr>
        <w:t>restituere</w:t>
      </w:r>
      <w:proofErr w:type="spellEnd"/>
      <w:r w:rsidRPr="002C5AFF">
        <w:rPr>
          <w:rFonts w:ascii="Garamond" w:hAnsi="Garamond"/>
          <w:i/>
        </w:rPr>
        <w:t xml:space="preserve">, si </w:t>
      </w:r>
      <w:proofErr w:type="spellStart"/>
      <w:r w:rsidRPr="002C5AFF">
        <w:rPr>
          <w:rFonts w:ascii="Garamond" w:hAnsi="Garamond"/>
          <w:i/>
        </w:rPr>
        <w:t>quidem</w:t>
      </w:r>
      <w:proofErr w:type="spellEnd"/>
      <w:r w:rsidRPr="002C5AFF">
        <w:rPr>
          <w:rFonts w:ascii="Garamond" w:hAnsi="Garamond"/>
          <w:i/>
        </w:rPr>
        <w:t xml:space="preserve"> </w:t>
      </w:r>
      <w:proofErr w:type="spellStart"/>
      <w:r w:rsidRPr="002C5AFF">
        <w:rPr>
          <w:rFonts w:ascii="Garamond" w:hAnsi="Garamond"/>
          <w:i/>
        </w:rPr>
        <w:t>habeat</w:t>
      </w:r>
      <w:proofErr w:type="spellEnd"/>
      <w:r w:rsidRPr="002C5AFF">
        <w:rPr>
          <w:rFonts w:ascii="Garamond" w:hAnsi="Garamond"/>
          <w:i/>
        </w:rPr>
        <w:t xml:space="preserve"> </w:t>
      </w:r>
      <w:proofErr w:type="spellStart"/>
      <w:r w:rsidRPr="002C5AFF">
        <w:rPr>
          <w:rFonts w:ascii="Garamond" w:hAnsi="Garamond"/>
          <w:i/>
        </w:rPr>
        <w:t>rem</w:t>
      </w:r>
      <w:proofErr w:type="spellEnd"/>
      <w:r w:rsidRPr="002C5AFF">
        <w:rPr>
          <w:rFonts w:ascii="Garamond" w:hAnsi="Garamond"/>
          <w:i/>
        </w:rPr>
        <w:t xml:space="preserve">, manu </w:t>
      </w:r>
      <w:proofErr w:type="spellStart"/>
      <w:r w:rsidRPr="002C5AFF">
        <w:rPr>
          <w:rFonts w:ascii="Garamond" w:hAnsi="Garamond"/>
          <w:i/>
        </w:rPr>
        <w:t>militari</w:t>
      </w:r>
      <w:proofErr w:type="spellEnd"/>
      <w:r w:rsidRPr="002C5AFF">
        <w:rPr>
          <w:rFonts w:ascii="Garamond" w:hAnsi="Garamond"/>
          <w:i/>
        </w:rPr>
        <w:t xml:space="preserve"> </w:t>
      </w:r>
      <w:proofErr w:type="spellStart"/>
      <w:r w:rsidRPr="002C5AFF">
        <w:rPr>
          <w:rFonts w:ascii="Garamond" w:hAnsi="Garamond"/>
          <w:i/>
        </w:rPr>
        <w:t>officio</w:t>
      </w:r>
      <w:proofErr w:type="spellEnd"/>
      <w:r w:rsidRPr="002C5AFF">
        <w:rPr>
          <w:rFonts w:ascii="Garamond" w:hAnsi="Garamond"/>
          <w:i/>
        </w:rPr>
        <w:t xml:space="preserve"> </w:t>
      </w:r>
      <w:proofErr w:type="spellStart"/>
      <w:r w:rsidRPr="002C5AFF">
        <w:rPr>
          <w:rFonts w:ascii="Garamond" w:hAnsi="Garamond"/>
          <w:i/>
        </w:rPr>
        <w:t>iudicis</w:t>
      </w:r>
      <w:proofErr w:type="spellEnd"/>
      <w:r w:rsidRPr="002C5AFF">
        <w:rPr>
          <w:rFonts w:ascii="Garamond" w:hAnsi="Garamond"/>
          <w:i/>
        </w:rPr>
        <w:t xml:space="preserve"> ab </w:t>
      </w:r>
      <w:proofErr w:type="spellStart"/>
      <w:r w:rsidRPr="002C5AFF">
        <w:rPr>
          <w:rFonts w:ascii="Garamond" w:hAnsi="Garamond"/>
          <w:i/>
        </w:rPr>
        <w:t>eo</w:t>
      </w:r>
      <w:proofErr w:type="spellEnd"/>
      <w:r w:rsidRPr="002C5AFF">
        <w:rPr>
          <w:rFonts w:ascii="Garamond" w:hAnsi="Garamond"/>
          <w:i/>
        </w:rPr>
        <w:t xml:space="preserve"> </w:t>
      </w:r>
      <w:proofErr w:type="spellStart"/>
      <w:r w:rsidRPr="002C5AFF">
        <w:rPr>
          <w:rFonts w:ascii="Garamond" w:hAnsi="Garamond"/>
          <w:i/>
        </w:rPr>
        <w:t>possessio</w:t>
      </w:r>
      <w:proofErr w:type="spellEnd"/>
      <w:r w:rsidRPr="002C5AFF">
        <w:rPr>
          <w:rFonts w:ascii="Garamond" w:hAnsi="Garamond"/>
          <w:i/>
        </w:rPr>
        <w:t xml:space="preserve"> </w:t>
      </w:r>
      <w:proofErr w:type="spellStart"/>
      <w:r w:rsidRPr="002C5AFF">
        <w:rPr>
          <w:rFonts w:ascii="Garamond" w:hAnsi="Garamond"/>
          <w:i/>
        </w:rPr>
        <w:t>transfertur</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fructuum</w:t>
      </w:r>
      <w:proofErr w:type="spellEnd"/>
      <w:r w:rsidRPr="002C5AFF">
        <w:rPr>
          <w:rFonts w:ascii="Garamond" w:hAnsi="Garamond"/>
          <w:i/>
        </w:rPr>
        <w:t xml:space="preserve"> </w:t>
      </w:r>
      <w:proofErr w:type="spellStart"/>
      <w:r w:rsidRPr="002C5AFF">
        <w:rPr>
          <w:rFonts w:ascii="Garamond" w:hAnsi="Garamond"/>
          <w:i/>
        </w:rPr>
        <w:t>dumtaxat</w:t>
      </w:r>
      <w:proofErr w:type="spellEnd"/>
      <w:r w:rsidRPr="002C5AFF">
        <w:rPr>
          <w:rFonts w:ascii="Garamond" w:hAnsi="Garamond"/>
          <w:i/>
        </w:rPr>
        <w:t xml:space="preserve"> </w:t>
      </w:r>
      <w:proofErr w:type="spellStart"/>
      <w:r w:rsidRPr="002C5AFF">
        <w:rPr>
          <w:rFonts w:ascii="Garamond" w:hAnsi="Garamond"/>
          <w:i/>
        </w:rPr>
        <w:t>omnisque</w:t>
      </w:r>
      <w:proofErr w:type="spellEnd"/>
      <w:r w:rsidRPr="002C5AFF">
        <w:rPr>
          <w:rFonts w:ascii="Garamond" w:hAnsi="Garamond"/>
          <w:i/>
        </w:rPr>
        <w:t xml:space="preserve"> </w:t>
      </w:r>
      <w:proofErr w:type="spellStart"/>
      <w:r w:rsidRPr="002C5AFF">
        <w:rPr>
          <w:rFonts w:ascii="Garamond" w:hAnsi="Garamond"/>
          <w:i/>
        </w:rPr>
        <w:t>causae</w:t>
      </w:r>
      <w:proofErr w:type="spellEnd"/>
      <w:r w:rsidRPr="002C5AFF">
        <w:rPr>
          <w:rFonts w:ascii="Garamond" w:hAnsi="Garamond"/>
          <w:i/>
        </w:rPr>
        <w:t xml:space="preserve"> </w:t>
      </w:r>
      <w:proofErr w:type="spellStart"/>
      <w:r w:rsidRPr="002C5AFF">
        <w:rPr>
          <w:rFonts w:ascii="Garamond" w:hAnsi="Garamond"/>
          <w:i/>
        </w:rPr>
        <w:t>nomine</w:t>
      </w:r>
      <w:proofErr w:type="spellEnd"/>
      <w:r w:rsidRPr="002C5AFF">
        <w:rPr>
          <w:rFonts w:ascii="Garamond" w:hAnsi="Garamond"/>
          <w:i/>
        </w:rPr>
        <w:t xml:space="preserve"> </w:t>
      </w:r>
      <w:proofErr w:type="spellStart"/>
      <w:r w:rsidRPr="002C5AFF">
        <w:rPr>
          <w:rFonts w:ascii="Garamond" w:hAnsi="Garamond"/>
          <w:i/>
        </w:rPr>
        <w:t>condemnatio</w:t>
      </w:r>
      <w:proofErr w:type="spellEnd"/>
      <w:r w:rsidRPr="002C5AFF">
        <w:rPr>
          <w:rFonts w:ascii="Garamond" w:hAnsi="Garamond"/>
          <w:i/>
        </w:rPr>
        <w:t xml:space="preserve"> fit. </w:t>
      </w:r>
      <w:proofErr w:type="gramStart"/>
      <w:r w:rsidRPr="002C5AFF">
        <w:rPr>
          <w:rFonts w:ascii="Garamond" w:hAnsi="Garamond"/>
          <w:i/>
        </w:rPr>
        <w:t>Si</w:t>
      </w:r>
      <w:proofErr w:type="gramEnd"/>
      <w:r w:rsidRPr="002C5AFF">
        <w:rPr>
          <w:rFonts w:ascii="Garamond" w:hAnsi="Garamond"/>
          <w:i/>
        </w:rPr>
        <w:t xml:space="preserve"> </w:t>
      </w:r>
      <w:proofErr w:type="spellStart"/>
      <w:r w:rsidRPr="002C5AFF">
        <w:rPr>
          <w:rFonts w:ascii="Garamond" w:hAnsi="Garamond"/>
          <w:i/>
        </w:rPr>
        <w:t>vero</w:t>
      </w:r>
      <w:proofErr w:type="spellEnd"/>
      <w:r w:rsidRPr="002C5AFF">
        <w:rPr>
          <w:rFonts w:ascii="Garamond" w:hAnsi="Garamond"/>
          <w:i/>
        </w:rPr>
        <w:t xml:space="preserve"> non </w:t>
      </w:r>
      <w:proofErr w:type="spellStart"/>
      <w:r w:rsidRPr="002C5AFF">
        <w:rPr>
          <w:rFonts w:ascii="Garamond" w:hAnsi="Garamond"/>
          <w:i/>
        </w:rPr>
        <w:t>potest</w:t>
      </w:r>
      <w:proofErr w:type="spellEnd"/>
      <w:r w:rsidRPr="002C5AFF">
        <w:rPr>
          <w:rFonts w:ascii="Garamond" w:hAnsi="Garamond"/>
          <w:i/>
        </w:rPr>
        <w:t xml:space="preserve"> </w:t>
      </w:r>
      <w:proofErr w:type="spellStart"/>
      <w:r w:rsidRPr="002C5AFF">
        <w:rPr>
          <w:rFonts w:ascii="Garamond" w:hAnsi="Garamond"/>
          <w:i/>
        </w:rPr>
        <w:t>restituere</w:t>
      </w:r>
      <w:proofErr w:type="spellEnd"/>
      <w:r w:rsidRPr="002C5AFF">
        <w:rPr>
          <w:rFonts w:ascii="Garamond" w:hAnsi="Garamond"/>
          <w:i/>
        </w:rPr>
        <w:t xml:space="preserve">, si </w:t>
      </w:r>
      <w:proofErr w:type="spellStart"/>
      <w:r w:rsidRPr="002C5AFF">
        <w:rPr>
          <w:rFonts w:ascii="Garamond" w:hAnsi="Garamond"/>
          <w:i/>
        </w:rPr>
        <w:t>quidem</w:t>
      </w:r>
      <w:proofErr w:type="spellEnd"/>
      <w:r w:rsidRPr="002C5AFF">
        <w:rPr>
          <w:rFonts w:ascii="Garamond" w:hAnsi="Garamond"/>
          <w:i/>
        </w:rPr>
        <w:t xml:space="preserve"> </w:t>
      </w:r>
      <w:proofErr w:type="spellStart"/>
      <w:r w:rsidRPr="002C5AFF">
        <w:rPr>
          <w:rFonts w:ascii="Garamond" w:hAnsi="Garamond"/>
          <w:i/>
        </w:rPr>
        <w:t>dolo</w:t>
      </w:r>
      <w:proofErr w:type="spellEnd"/>
      <w:r w:rsidRPr="002C5AFF">
        <w:rPr>
          <w:rFonts w:ascii="Garamond" w:hAnsi="Garamond"/>
          <w:i/>
        </w:rPr>
        <w:t xml:space="preserve"> </w:t>
      </w:r>
      <w:proofErr w:type="spellStart"/>
      <w:r w:rsidRPr="002C5AFF">
        <w:rPr>
          <w:rFonts w:ascii="Garamond" w:hAnsi="Garamond"/>
          <w:i/>
        </w:rPr>
        <w:t>fecit</w:t>
      </w:r>
      <w:proofErr w:type="spellEnd"/>
      <w:r w:rsidRPr="002C5AFF">
        <w:rPr>
          <w:rFonts w:ascii="Garamond" w:hAnsi="Garamond"/>
          <w:i/>
        </w:rPr>
        <w:t xml:space="preserve"> quo minus </w:t>
      </w:r>
      <w:proofErr w:type="spellStart"/>
      <w:r w:rsidRPr="002C5AFF">
        <w:rPr>
          <w:rFonts w:ascii="Garamond" w:hAnsi="Garamond"/>
          <w:i/>
        </w:rPr>
        <w:t>possit</w:t>
      </w:r>
      <w:proofErr w:type="spellEnd"/>
      <w:r w:rsidRPr="002C5AFF">
        <w:rPr>
          <w:rFonts w:ascii="Garamond" w:hAnsi="Garamond"/>
          <w:i/>
        </w:rPr>
        <w:t xml:space="preserve">, </w:t>
      </w:r>
      <w:proofErr w:type="spellStart"/>
      <w:r w:rsidRPr="002C5AFF">
        <w:rPr>
          <w:rFonts w:ascii="Garamond" w:hAnsi="Garamond"/>
          <w:i/>
        </w:rPr>
        <w:t>is</w:t>
      </w:r>
      <w:proofErr w:type="spellEnd"/>
      <w:r w:rsidRPr="002C5AFF">
        <w:rPr>
          <w:rFonts w:ascii="Garamond" w:hAnsi="Garamond"/>
          <w:i/>
        </w:rPr>
        <w:t xml:space="preserve">, </w:t>
      </w:r>
      <w:proofErr w:type="spellStart"/>
      <w:r w:rsidRPr="002C5AFF">
        <w:rPr>
          <w:rFonts w:ascii="Garamond" w:hAnsi="Garamond"/>
          <w:i/>
        </w:rPr>
        <w:t>quantum</w:t>
      </w:r>
      <w:proofErr w:type="spellEnd"/>
      <w:r w:rsidRPr="002C5AFF">
        <w:rPr>
          <w:rFonts w:ascii="Garamond" w:hAnsi="Garamond"/>
          <w:i/>
        </w:rPr>
        <w:t xml:space="preserve"> </w:t>
      </w:r>
      <w:proofErr w:type="spellStart"/>
      <w:r w:rsidRPr="002C5AFF">
        <w:rPr>
          <w:rFonts w:ascii="Garamond" w:hAnsi="Garamond"/>
          <w:i/>
        </w:rPr>
        <w:t>adversarius</w:t>
      </w:r>
      <w:proofErr w:type="spellEnd"/>
      <w:r w:rsidRPr="002C5AFF">
        <w:rPr>
          <w:rFonts w:ascii="Garamond" w:hAnsi="Garamond"/>
          <w:i/>
        </w:rPr>
        <w:t xml:space="preserve"> in litem sine </w:t>
      </w:r>
      <w:proofErr w:type="spellStart"/>
      <w:r w:rsidRPr="002C5AFF">
        <w:rPr>
          <w:rFonts w:ascii="Garamond" w:hAnsi="Garamond"/>
          <w:i/>
        </w:rPr>
        <w:t>ulla</w:t>
      </w:r>
      <w:proofErr w:type="spellEnd"/>
      <w:r w:rsidRPr="002C5AFF">
        <w:rPr>
          <w:rFonts w:ascii="Garamond" w:hAnsi="Garamond"/>
          <w:i/>
        </w:rPr>
        <w:t xml:space="preserve"> </w:t>
      </w:r>
      <w:proofErr w:type="spellStart"/>
      <w:r w:rsidRPr="002C5AFF">
        <w:rPr>
          <w:rFonts w:ascii="Garamond" w:hAnsi="Garamond"/>
          <w:i/>
        </w:rPr>
        <w:t>taxatione</w:t>
      </w:r>
      <w:proofErr w:type="spellEnd"/>
      <w:r w:rsidRPr="002C5AFF">
        <w:rPr>
          <w:rFonts w:ascii="Garamond" w:hAnsi="Garamond"/>
          <w:i/>
        </w:rPr>
        <w:t xml:space="preserve"> in infinitum </w:t>
      </w:r>
      <w:proofErr w:type="spellStart"/>
      <w:r w:rsidRPr="002C5AFF">
        <w:rPr>
          <w:rFonts w:ascii="Garamond" w:hAnsi="Garamond"/>
          <w:i/>
        </w:rPr>
        <w:t>iuraverit</w:t>
      </w:r>
      <w:proofErr w:type="spellEnd"/>
      <w:r w:rsidRPr="002C5AFF">
        <w:rPr>
          <w:rFonts w:ascii="Garamond" w:hAnsi="Garamond"/>
          <w:i/>
        </w:rPr>
        <w:t xml:space="preserve">, </w:t>
      </w:r>
      <w:proofErr w:type="spellStart"/>
      <w:r w:rsidRPr="002C5AFF">
        <w:rPr>
          <w:rFonts w:ascii="Garamond" w:hAnsi="Garamond"/>
          <w:i/>
        </w:rPr>
        <w:t>damnandus</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gramStart"/>
      <w:r w:rsidRPr="002C5AFF">
        <w:rPr>
          <w:rFonts w:ascii="Garamond" w:hAnsi="Garamond"/>
          <w:i/>
        </w:rPr>
        <w:t>Si</w:t>
      </w:r>
      <w:proofErr w:type="gramEnd"/>
      <w:r w:rsidRPr="002C5AFF">
        <w:rPr>
          <w:rFonts w:ascii="Garamond" w:hAnsi="Garamond"/>
          <w:i/>
        </w:rPr>
        <w:t xml:space="preserve"> </w:t>
      </w:r>
      <w:proofErr w:type="spellStart"/>
      <w:r w:rsidRPr="002C5AFF">
        <w:rPr>
          <w:rFonts w:ascii="Garamond" w:hAnsi="Garamond"/>
          <w:i/>
        </w:rPr>
        <w:t>vero</w:t>
      </w:r>
      <w:proofErr w:type="spellEnd"/>
      <w:r w:rsidRPr="002C5AFF">
        <w:rPr>
          <w:rFonts w:ascii="Garamond" w:hAnsi="Garamond"/>
          <w:i/>
        </w:rPr>
        <w:t xml:space="preserve"> </w:t>
      </w:r>
      <w:proofErr w:type="spellStart"/>
      <w:r w:rsidRPr="002C5AFF">
        <w:rPr>
          <w:rFonts w:ascii="Garamond" w:hAnsi="Garamond"/>
          <w:i/>
        </w:rPr>
        <w:t>nec</w:t>
      </w:r>
      <w:proofErr w:type="spellEnd"/>
      <w:r w:rsidRPr="002C5AFF">
        <w:rPr>
          <w:rFonts w:ascii="Garamond" w:hAnsi="Garamond"/>
          <w:i/>
        </w:rPr>
        <w:t xml:space="preserve"> </w:t>
      </w:r>
      <w:proofErr w:type="spellStart"/>
      <w:r w:rsidRPr="002C5AFF">
        <w:rPr>
          <w:rFonts w:ascii="Garamond" w:hAnsi="Garamond"/>
          <w:i/>
        </w:rPr>
        <w:t>potest</w:t>
      </w:r>
      <w:proofErr w:type="spellEnd"/>
      <w:r w:rsidRPr="002C5AFF">
        <w:rPr>
          <w:rFonts w:ascii="Garamond" w:hAnsi="Garamond"/>
          <w:i/>
        </w:rPr>
        <w:t xml:space="preserve"> </w:t>
      </w:r>
      <w:proofErr w:type="spellStart"/>
      <w:r w:rsidRPr="002C5AFF">
        <w:rPr>
          <w:rFonts w:ascii="Garamond" w:hAnsi="Garamond"/>
          <w:i/>
        </w:rPr>
        <w:t>restituere</w:t>
      </w:r>
      <w:proofErr w:type="spellEnd"/>
      <w:r w:rsidRPr="002C5AFF">
        <w:rPr>
          <w:rFonts w:ascii="Garamond" w:hAnsi="Garamond"/>
          <w:i/>
        </w:rPr>
        <w:t xml:space="preserve"> </w:t>
      </w:r>
      <w:proofErr w:type="spellStart"/>
      <w:r w:rsidRPr="002C5AFF">
        <w:rPr>
          <w:rFonts w:ascii="Garamond" w:hAnsi="Garamond"/>
          <w:i/>
        </w:rPr>
        <w:t>nec</w:t>
      </w:r>
      <w:proofErr w:type="spellEnd"/>
      <w:r w:rsidRPr="002C5AFF">
        <w:rPr>
          <w:rFonts w:ascii="Garamond" w:hAnsi="Garamond"/>
          <w:i/>
        </w:rPr>
        <w:t xml:space="preserve"> </w:t>
      </w:r>
      <w:proofErr w:type="spellStart"/>
      <w:r w:rsidRPr="002C5AFF">
        <w:rPr>
          <w:rFonts w:ascii="Garamond" w:hAnsi="Garamond"/>
          <w:i/>
        </w:rPr>
        <w:t>dolo</w:t>
      </w:r>
      <w:proofErr w:type="spellEnd"/>
      <w:r w:rsidRPr="002C5AFF">
        <w:rPr>
          <w:rFonts w:ascii="Garamond" w:hAnsi="Garamond"/>
          <w:i/>
        </w:rPr>
        <w:t xml:space="preserve"> </w:t>
      </w:r>
      <w:proofErr w:type="spellStart"/>
      <w:r w:rsidRPr="002C5AFF">
        <w:rPr>
          <w:rFonts w:ascii="Garamond" w:hAnsi="Garamond"/>
          <w:i/>
        </w:rPr>
        <w:t>fecit</w:t>
      </w:r>
      <w:proofErr w:type="spellEnd"/>
      <w:r w:rsidRPr="002C5AFF">
        <w:rPr>
          <w:rFonts w:ascii="Garamond" w:hAnsi="Garamond"/>
          <w:i/>
        </w:rPr>
        <w:t xml:space="preserve"> quo minus </w:t>
      </w:r>
      <w:proofErr w:type="spellStart"/>
      <w:r w:rsidRPr="002C5AFF">
        <w:rPr>
          <w:rFonts w:ascii="Garamond" w:hAnsi="Garamond"/>
          <w:i/>
        </w:rPr>
        <w:t>possit</w:t>
      </w:r>
      <w:proofErr w:type="spellEnd"/>
      <w:r w:rsidRPr="002C5AFF">
        <w:rPr>
          <w:rFonts w:ascii="Garamond" w:hAnsi="Garamond"/>
          <w:i/>
        </w:rPr>
        <w:t xml:space="preserve">, non </w:t>
      </w:r>
      <w:proofErr w:type="spellStart"/>
      <w:r w:rsidRPr="002C5AFF">
        <w:rPr>
          <w:rFonts w:ascii="Garamond" w:hAnsi="Garamond"/>
          <w:i/>
        </w:rPr>
        <w:t>pluris</w:t>
      </w:r>
      <w:proofErr w:type="spellEnd"/>
      <w:r w:rsidRPr="002C5AFF">
        <w:rPr>
          <w:rFonts w:ascii="Garamond" w:hAnsi="Garamond"/>
          <w:i/>
        </w:rPr>
        <w:t xml:space="preserve"> </w:t>
      </w:r>
      <w:proofErr w:type="spellStart"/>
      <w:r w:rsidRPr="002C5AFF">
        <w:rPr>
          <w:rFonts w:ascii="Garamond" w:hAnsi="Garamond"/>
          <w:i/>
        </w:rPr>
        <w:t>quam</w:t>
      </w:r>
      <w:proofErr w:type="spellEnd"/>
      <w:r w:rsidRPr="002C5AFF">
        <w:rPr>
          <w:rFonts w:ascii="Garamond" w:hAnsi="Garamond"/>
          <w:i/>
        </w:rPr>
        <w:t xml:space="preserve"> </w:t>
      </w:r>
      <w:proofErr w:type="spellStart"/>
      <w:r w:rsidRPr="002C5AFF">
        <w:rPr>
          <w:rFonts w:ascii="Garamond" w:hAnsi="Garamond"/>
          <w:i/>
        </w:rPr>
        <w:t>quanti</w:t>
      </w:r>
      <w:proofErr w:type="spellEnd"/>
      <w:r w:rsidRPr="002C5AFF">
        <w:rPr>
          <w:rFonts w:ascii="Garamond" w:hAnsi="Garamond"/>
          <w:i/>
        </w:rPr>
        <w:t xml:space="preserve"> res </w:t>
      </w:r>
      <w:proofErr w:type="spellStart"/>
      <w:r w:rsidRPr="002C5AFF">
        <w:rPr>
          <w:rFonts w:ascii="Garamond" w:hAnsi="Garamond"/>
          <w:i/>
        </w:rPr>
        <w:t>est</w:t>
      </w:r>
      <w:proofErr w:type="spellEnd"/>
      <w:r w:rsidRPr="002C5AFF">
        <w:rPr>
          <w:rFonts w:ascii="Garamond" w:hAnsi="Garamond"/>
          <w:i/>
        </w:rPr>
        <w:t xml:space="preserve">, id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quanti</w:t>
      </w:r>
      <w:proofErr w:type="spellEnd"/>
      <w:r w:rsidRPr="002C5AFF">
        <w:rPr>
          <w:rFonts w:ascii="Garamond" w:hAnsi="Garamond"/>
          <w:i/>
        </w:rPr>
        <w:t xml:space="preserve"> </w:t>
      </w:r>
      <w:proofErr w:type="spellStart"/>
      <w:r w:rsidRPr="002C5AFF">
        <w:rPr>
          <w:rFonts w:ascii="Garamond" w:hAnsi="Garamond"/>
          <w:i/>
        </w:rPr>
        <w:t>adversarii</w:t>
      </w:r>
      <w:proofErr w:type="spellEnd"/>
      <w:r w:rsidRPr="002C5AFF">
        <w:rPr>
          <w:rFonts w:ascii="Garamond" w:hAnsi="Garamond"/>
          <w:i/>
        </w:rPr>
        <w:t xml:space="preserve"> </w:t>
      </w:r>
      <w:proofErr w:type="spellStart"/>
      <w:r w:rsidRPr="002C5AFF">
        <w:rPr>
          <w:rFonts w:ascii="Garamond" w:hAnsi="Garamond"/>
          <w:i/>
        </w:rPr>
        <w:t>interfuit</w:t>
      </w:r>
      <w:proofErr w:type="spellEnd"/>
      <w:r w:rsidRPr="002C5AFF">
        <w:rPr>
          <w:rFonts w:ascii="Garamond" w:hAnsi="Garamond"/>
          <w:i/>
        </w:rPr>
        <w:t xml:space="preserve">, </w:t>
      </w:r>
      <w:proofErr w:type="spellStart"/>
      <w:r w:rsidRPr="002C5AFF">
        <w:rPr>
          <w:rFonts w:ascii="Garamond" w:hAnsi="Garamond"/>
          <w:i/>
        </w:rPr>
        <w:t>condemnandus</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Haec</w:t>
      </w:r>
      <w:proofErr w:type="spellEnd"/>
      <w:r w:rsidRPr="002C5AFF">
        <w:rPr>
          <w:rFonts w:ascii="Garamond" w:hAnsi="Garamond"/>
          <w:i/>
        </w:rPr>
        <w:t xml:space="preserve"> </w:t>
      </w:r>
      <w:proofErr w:type="spellStart"/>
      <w:r w:rsidRPr="002C5AFF">
        <w:rPr>
          <w:rFonts w:ascii="Garamond" w:hAnsi="Garamond"/>
          <w:i/>
        </w:rPr>
        <w:t>sententia</w:t>
      </w:r>
      <w:proofErr w:type="spellEnd"/>
      <w:r w:rsidRPr="002C5AFF">
        <w:rPr>
          <w:rFonts w:ascii="Garamond" w:hAnsi="Garamond"/>
          <w:i/>
        </w:rPr>
        <w:t xml:space="preserve"> </w:t>
      </w:r>
      <w:proofErr w:type="spellStart"/>
      <w:r w:rsidRPr="002C5AFF">
        <w:rPr>
          <w:rFonts w:ascii="Garamond" w:hAnsi="Garamond"/>
          <w:i/>
        </w:rPr>
        <w:t>generalis</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ad omnia, </w:t>
      </w:r>
      <w:proofErr w:type="spellStart"/>
      <w:r w:rsidRPr="002C5AFF">
        <w:rPr>
          <w:rFonts w:ascii="Garamond" w:hAnsi="Garamond"/>
          <w:i/>
        </w:rPr>
        <w:t>sive</w:t>
      </w:r>
      <w:proofErr w:type="spellEnd"/>
      <w:r w:rsidRPr="002C5AFF">
        <w:rPr>
          <w:rFonts w:ascii="Garamond" w:hAnsi="Garamond"/>
          <w:i/>
        </w:rPr>
        <w:t xml:space="preserve"> </w:t>
      </w:r>
      <w:proofErr w:type="spellStart"/>
      <w:r w:rsidRPr="002C5AFF">
        <w:rPr>
          <w:rFonts w:ascii="Garamond" w:hAnsi="Garamond"/>
          <w:i/>
        </w:rPr>
        <w:t>interdicta</w:t>
      </w:r>
      <w:proofErr w:type="spellEnd"/>
      <w:r w:rsidRPr="002C5AFF">
        <w:rPr>
          <w:rFonts w:ascii="Garamond" w:hAnsi="Garamond"/>
          <w:i/>
        </w:rPr>
        <w:t xml:space="preserve">, </w:t>
      </w:r>
      <w:proofErr w:type="spellStart"/>
      <w:r w:rsidRPr="002C5AFF">
        <w:rPr>
          <w:rFonts w:ascii="Garamond" w:hAnsi="Garamond"/>
          <w:i/>
        </w:rPr>
        <w:t>sive</w:t>
      </w:r>
      <w:proofErr w:type="spellEnd"/>
      <w:r w:rsidRPr="002C5AFF">
        <w:rPr>
          <w:rFonts w:ascii="Garamond" w:hAnsi="Garamond"/>
          <w:i/>
        </w:rPr>
        <w:t xml:space="preserve"> </w:t>
      </w:r>
      <w:proofErr w:type="spellStart"/>
      <w:r w:rsidRPr="002C5AFF">
        <w:rPr>
          <w:rFonts w:ascii="Garamond" w:hAnsi="Garamond"/>
          <w:i/>
        </w:rPr>
        <w:t>actiones</w:t>
      </w:r>
      <w:proofErr w:type="spellEnd"/>
      <w:r w:rsidRPr="002C5AFF">
        <w:rPr>
          <w:rFonts w:ascii="Garamond" w:hAnsi="Garamond"/>
          <w:i/>
        </w:rPr>
        <w:t xml:space="preserve"> in </w:t>
      </w:r>
      <w:proofErr w:type="spellStart"/>
      <w:r w:rsidRPr="002C5AFF">
        <w:rPr>
          <w:rFonts w:ascii="Garamond" w:hAnsi="Garamond"/>
          <w:i/>
        </w:rPr>
        <w:t>rem</w:t>
      </w:r>
      <w:proofErr w:type="spellEnd"/>
      <w:r w:rsidRPr="002C5AFF">
        <w:rPr>
          <w:rFonts w:ascii="Garamond" w:hAnsi="Garamond"/>
          <w:i/>
        </w:rPr>
        <w:t xml:space="preserve"> </w:t>
      </w:r>
      <w:proofErr w:type="spellStart"/>
      <w:r w:rsidRPr="002C5AFF">
        <w:rPr>
          <w:rFonts w:ascii="Garamond" w:hAnsi="Garamond"/>
          <w:i/>
        </w:rPr>
        <w:t>sive</w:t>
      </w:r>
      <w:proofErr w:type="spellEnd"/>
      <w:r w:rsidRPr="002C5AFF">
        <w:rPr>
          <w:rFonts w:ascii="Garamond" w:hAnsi="Garamond"/>
          <w:i/>
        </w:rPr>
        <w:t xml:space="preserve"> in personam </w:t>
      </w:r>
      <w:proofErr w:type="spellStart"/>
      <w:r w:rsidRPr="002C5AFF">
        <w:rPr>
          <w:rFonts w:ascii="Garamond" w:hAnsi="Garamond"/>
          <w:i/>
        </w:rPr>
        <w:t>sunt</w:t>
      </w:r>
      <w:proofErr w:type="spellEnd"/>
      <w:r w:rsidRPr="002C5AFF">
        <w:rPr>
          <w:rFonts w:ascii="Garamond" w:hAnsi="Garamond"/>
          <w:i/>
        </w:rPr>
        <w:t xml:space="preserve">, ex </w:t>
      </w:r>
      <w:proofErr w:type="spellStart"/>
      <w:r w:rsidRPr="002C5AFF">
        <w:rPr>
          <w:rFonts w:ascii="Garamond" w:hAnsi="Garamond"/>
          <w:i/>
        </w:rPr>
        <w:t>quibus</w:t>
      </w:r>
      <w:proofErr w:type="spellEnd"/>
      <w:r w:rsidRPr="002C5AFF">
        <w:rPr>
          <w:rFonts w:ascii="Garamond" w:hAnsi="Garamond"/>
          <w:i/>
        </w:rPr>
        <w:t xml:space="preserve"> </w:t>
      </w:r>
      <w:proofErr w:type="spellStart"/>
      <w:r w:rsidRPr="002C5AFF">
        <w:rPr>
          <w:rFonts w:ascii="Garamond" w:hAnsi="Garamond"/>
          <w:i/>
        </w:rPr>
        <w:t>arbitratu</w:t>
      </w:r>
      <w:proofErr w:type="spellEnd"/>
      <w:r w:rsidRPr="002C5AFF">
        <w:rPr>
          <w:rFonts w:ascii="Garamond" w:hAnsi="Garamond"/>
          <w:i/>
        </w:rPr>
        <w:t xml:space="preserve"> </w:t>
      </w:r>
      <w:proofErr w:type="spellStart"/>
      <w:r w:rsidRPr="002C5AFF">
        <w:rPr>
          <w:rFonts w:ascii="Garamond" w:hAnsi="Garamond"/>
          <w:i/>
        </w:rPr>
        <w:t>iudicis</w:t>
      </w:r>
      <w:proofErr w:type="spellEnd"/>
      <w:r w:rsidRPr="002C5AFF">
        <w:rPr>
          <w:rFonts w:ascii="Garamond" w:hAnsi="Garamond"/>
          <w:i/>
        </w:rPr>
        <w:t xml:space="preserve"> </w:t>
      </w:r>
      <w:proofErr w:type="spellStart"/>
      <w:r w:rsidRPr="002C5AFF">
        <w:rPr>
          <w:rFonts w:ascii="Garamond" w:hAnsi="Garamond"/>
          <w:i/>
        </w:rPr>
        <w:t>quid</w:t>
      </w:r>
      <w:proofErr w:type="spellEnd"/>
      <w:r w:rsidRPr="002C5AFF">
        <w:rPr>
          <w:rFonts w:ascii="Garamond" w:hAnsi="Garamond"/>
          <w:i/>
        </w:rPr>
        <w:t xml:space="preserve"> </w:t>
      </w:r>
      <w:proofErr w:type="spellStart"/>
      <w:r w:rsidRPr="002C5AFF">
        <w:rPr>
          <w:rFonts w:ascii="Garamond" w:hAnsi="Garamond"/>
          <w:i/>
        </w:rPr>
        <w:t>restituitur</w:t>
      </w:r>
      <w:proofErr w:type="spellEnd"/>
      <w:r w:rsidRPr="002C5AFF">
        <w:rPr>
          <w:rFonts w:ascii="Garamond" w:hAnsi="Garamond"/>
          <w:i/>
        </w:rPr>
        <w:t xml:space="preserve">, </w:t>
      </w:r>
      <w:proofErr w:type="spellStart"/>
      <w:r w:rsidRPr="002C5AFF">
        <w:rPr>
          <w:rFonts w:ascii="Garamond" w:hAnsi="Garamond"/>
          <w:i/>
        </w:rPr>
        <w:t>locum</w:t>
      </w:r>
      <w:proofErr w:type="spellEnd"/>
      <w:r w:rsidRPr="002C5AFF">
        <w:rPr>
          <w:rFonts w:ascii="Garamond" w:hAnsi="Garamond"/>
          <w:i/>
        </w:rPr>
        <w:t xml:space="preserve"> </w:t>
      </w:r>
      <w:proofErr w:type="spellStart"/>
      <w:r w:rsidRPr="002C5AFF">
        <w:rPr>
          <w:rFonts w:ascii="Garamond" w:hAnsi="Garamond"/>
          <w:i/>
        </w:rPr>
        <w:t>habet</w:t>
      </w:r>
      <w:proofErr w:type="spellEnd"/>
      <w:r w:rsidRPr="002C5AFF">
        <w:rPr>
          <w:rFonts w:ascii="Garamond" w:hAnsi="Garamond"/>
          <w:i/>
        </w:rPr>
        <w:t>.“</w:t>
      </w:r>
    </w:p>
  </w:footnote>
  <w:footnote w:id="3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 dřívějších dobách bylo možno dosáhnout pouze zrušení vydaného rozsudku </w:t>
      </w:r>
      <w:proofErr w:type="spellStart"/>
      <w:r w:rsidRPr="002C5AFF">
        <w:rPr>
          <w:rFonts w:ascii="Garamond" w:hAnsi="Garamond"/>
        </w:rPr>
        <w:t>intercessí</w:t>
      </w:r>
      <w:proofErr w:type="spellEnd"/>
      <w:r w:rsidRPr="002C5AFF">
        <w:rPr>
          <w:rFonts w:ascii="Garamond" w:hAnsi="Garamond"/>
        </w:rPr>
        <w:t xml:space="preserve"> </w:t>
      </w:r>
      <w:proofErr w:type="spellStart"/>
      <w:r w:rsidRPr="002C5AFF">
        <w:rPr>
          <w:rFonts w:ascii="Garamond" w:hAnsi="Garamond"/>
        </w:rPr>
        <w:t>magistráta</w:t>
      </w:r>
      <w:proofErr w:type="spellEnd"/>
      <w:r w:rsidRPr="002C5AFF">
        <w:rPr>
          <w:rFonts w:ascii="Garamond" w:hAnsi="Garamond"/>
        </w:rPr>
        <w:t xml:space="preserve"> nebo zákrokem plebejského tribuna. (KINCL, URFUS, SKŘEJPEK: </w:t>
      </w:r>
      <w:r w:rsidRPr="002C5AFF">
        <w:rPr>
          <w:rFonts w:ascii="Garamond" w:hAnsi="Garamond"/>
          <w:i/>
        </w:rPr>
        <w:t>Římské právo.</w:t>
      </w:r>
      <w:r w:rsidRPr="002C5AFF">
        <w:rPr>
          <w:rFonts w:ascii="Garamond" w:hAnsi="Garamond"/>
        </w:rPr>
        <w:t>, s. 126.)</w:t>
      </w:r>
    </w:p>
  </w:footnote>
  <w:footnote w:id="3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1. 3.: </w:t>
      </w:r>
      <w:r w:rsidRPr="002C5AFF">
        <w:rPr>
          <w:rFonts w:ascii="Garamond" w:hAnsi="Garamond"/>
          <w:i/>
        </w:rPr>
        <w:t xml:space="preserve">„Per </w:t>
      </w:r>
      <w:proofErr w:type="spellStart"/>
      <w:r w:rsidRPr="002C5AFF">
        <w:rPr>
          <w:rFonts w:ascii="Garamond" w:hAnsi="Garamond"/>
          <w:i/>
        </w:rPr>
        <w:t>hanc</w:t>
      </w:r>
      <w:proofErr w:type="spellEnd"/>
      <w:r w:rsidRPr="002C5AFF">
        <w:rPr>
          <w:rFonts w:ascii="Garamond" w:hAnsi="Garamond"/>
          <w:i/>
        </w:rPr>
        <w:t xml:space="preserve"> autem </w:t>
      </w:r>
      <w:proofErr w:type="spellStart"/>
      <w:r w:rsidRPr="002C5AFF">
        <w:rPr>
          <w:rFonts w:ascii="Garamond" w:hAnsi="Garamond"/>
          <w:i/>
        </w:rPr>
        <w:t>actionem</w:t>
      </w:r>
      <w:proofErr w:type="spellEnd"/>
      <w:r w:rsidRPr="002C5AFF">
        <w:rPr>
          <w:rFonts w:ascii="Garamond" w:hAnsi="Garamond"/>
          <w:i/>
        </w:rPr>
        <w:t xml:space="preserve"> non </w:t>
      </w:r>
      <w:proofErr w:type="spellStart"/>
      <w:r w:rsidRPr="002C5AFF">
        <w:rPr>
          <w:rFonts w:ascii="Garamond" w:hAnsi="Garamond"/>
          <w:i/>
        </w:rPr>
        <w:t>solum</w:t>
      </w:r>
      <w:proofErr w:type="spellEnd"/>
      <w:r w:rsidRPr="002C5AFF">
        <w:rPr>
          <w:rFonts w:ascii="Garamond" w:hAnsi="Garamond"/>
          <w:i/>
        </w:rPr>
        <w:t xml:space="preserve"> </w:t>
      </w:r>
      <w:proofErr w:type="spellStart"/>
      <w:r w:rsidRPr="002C5AFF">
        <w:rPr>
          <w:rFonts w:ascii="Garamond" w:hAnsi="Garamond"/>
          <w:i/>
        </w:rPr>
        <w:t>singulae</w:t>
      </w:r>
      <w:proofErr w:type="spellEnd"/>
      <w:r w:rsidRPr="002C5AFF">
        <w:rPr>
          <w:rFonts w:ascii="Garamond" w:hAnsi="Garamond"/>
          <w:i/>
        </w:rPr>
        <w:t xml:space="preserve"> res </w:t>
      </w:r>
      <w:proofErr w:type="spellStart"/>
      <w:r w:rsidRPr="002C5AFF">
        <w:rPr>
          <w:rFonts w:ascii="Garamond" w:hAnsi="Garamond"/>
          <w:i/>
        </w:rPr>
        <w:t>vindicabuntur</w:t>
      </w:r>
      <w:proofErr w:type="spellEnd"/>
      <w:r w:rsidRPr="002C5AFF">
        <w:rPr>
          <w:rFonts w:ascii="Garamond" w:hAnsi="Garamond"/>
          <w:i/>
        </w:rPr>
        <w:t xml:space="preserve">, sed </w:t>
      </w:r>
      <w:proofErr w:type="spellStart"/>
      <w:r w:rsidRPr="002C5AFF">
        <w:rPr>
          <w:rFonts w:ascii="Garamond" w:hAnsi="Garamond"/>
          <w:i/>
        </w:rPr>
        <w:t>posse</w:t>
      </w:r>
      <w:proofErr w:type="spellEnd"/>
      <w:r w:rsidRPr="002C5AFF">
        <w:rPr>
          <w:rFonts w:ascii="Garamond" w:hAnsi="Garamond"/>
          <w:i/>
        </w:rPr>
        <w:t xml:space="preserve"> </w:t>
      </w:r>
      <w:proofErr w:type="spellStart"/>
      <w:r w:rsidRPr="002C5AFF">
        <w:rPr>
          <w:rFonts w:ascii="Garamond" w:hAnsi="Garamond"/>
          <w:i/>
        </w:rPr>
        <w:t>etiam</w:t>
      </w:r>
      <w:proofErr w:type="spellEnd"/>
      <w:r w:rsidRPr="002C5AFF">
        <w:rPr>
          <w:rFonts w:ascii="Garamond" w:hAnsi="Garamond"/>
          <w:i/>
        </w:rPr>
        <w:t xml:space="preserve"> </w:t>
      </w:r>
      <w:proofErr w:type="spellStart"/>
      <w:r w:rsidRPr="002C5AFF">
        <w:rPr>
          <w:rFonts w:ascii="Garamond" w:hAnsi="Garamond"/>
          <w:i/>
        </w:rPr>
        <w:t>gregem</w:t>
      </w:r>
      <w:proofErr w:type="spellEnd"/>
      <w:r w:rsidRPr="002C5AFF">
        <w:rPr>
          <w:rFonts w:ascii="Garamond" w:hAnsi="Garamond"/>
          <w:i/>
        </w:rPr>
        <w:t xml:space="preserve"> </w:t>
      </w:r>
      <w:proofErr w:type="spellStart"/>
      <w:r w:rsidRPr="002C5AFF">
        <w:rPr>
          <w:rFonts w:ascii="Garamond" w:hAnsi="Garamond"/>
          <w:i/>
        </w:rPr>
        <w:t>vindicari</w:t>
      </w:r>
      <w:proofErr w:type="spellEnd"/>
      <w:r w:rsidRPr="002C5AFF">
        <w:rPr>
          <w:rFonts w:ascii="Garamond" w:hAnsi="Garamond"/>
          <w:i/>
        </w:rPr>
        <w:t xml:space="preserve"> </w:t>
      </w:r>
      <w:proofErr w:type="spellStart"/>
      <w:r w:rsidRPr="002C5AFF">
        <w:rPr>
          <w:rFonts w:ascii="Garamond" w:hAnsi="Garamond"/>
          <w:i/>
        </w:rPr>
        <w:t>Pomponius</w:t>
      </w:r>
      <w:proofErr w:type="spellEnd"/>
      <w:r w:rsidRPr="002C5AFF">
        <w:rPr>
          <w:rFonts w:ascii="Garamond" w:hAnsi="Garamond"/>
          <w:i/>
        </w:rPr>
        <w:t xml:space="preserve"> libro </w:t>
      </w:r>
      <w:proofErr w:type="spellStart"/>
      <w:r w:rsidRPr="002C5AFF">
        <w:rPr>
          <w:rFonts w:ascii="Garamond" w:hAnsi="Garamond"/>
          <w:i/>
        </w:rPr>
        <w:t>lectionum</w:t>
      </w:r>
      <w:proofErr w:type="spellEnd"/>
      <w:r w:rsidRPr="002C5AFF">
        <w:rPr>
          <w:rFonts w:ascii="Garamond" w:hAnsi="Garamond"/>
          <w:i/>
        </w:rPr>
        <w:t xml:space="preserve"> </w:t>
      </w:r>
      <w:proofErr w:type="spellStart"/>
      <w:r w:rsidRPr="002C5AFF">
        <w:rPr>
          <w:rFonts w:ascii="Garamond" w:hAnsi="Garamond"/>
          <w:i/>
        </w:rPr>
        <w:t>vicensimo</w:t>
      </w:r>
      <w:proofErr w:type="spellEnd"/>
      <w:r w:rsidRPr="002C5AFF">
        <w:rPr>
          <w:rFonts w:ascii="Garamond" w:hAnsi="Garamond"/>
          <w:i/>
        </w:rPr>
        <w:t xml:space="preserve"> </w:t>
      </w:r>
      <w:proofErr w:type="spellStart"/>
      <w:r w:rsidRPr="002C5AFF">
        <w:rPr>
          <w:rFonts w:ascii="Garamond" w:hAnsi="Garamond"/>
          <w:i/>
        </w:rPr>
        <w:t>quinto</w:t>
      </w:r>
      <w:proofErr w:type="spellEnd"/>
      <w:r w:rsidRPr="002C5AFF">
        <w:rPr>
          <w:rFonts w:ascii="Garamond" w:hAnsi="Garamond"/>
          <w:i/>
        </w:rPr>
        <w:t xml:space="preserve"> </w:t>
      </w:r>
      <w:proofErr w:type="spellStart"/>
      <w:r w:rsidRPr="002C5AFF">
        <w:rPr>
          <w:rFonts w:ascii="Garamond" w:hAnsi="Garamond"/>
          <w:i/>
        </w:rPr>
        <w:t>scribit</w:t>
      </w:r>
      <w:proofErr w:type="spellEnd"/>
      <w:r w:rsidRPr="002C5AFF">
        <w:rPr>
          <w:rFonts w:ascii="Garamond" w:hAnsi="Garamond"/>
          <w:i/>
        </w:rPr>
        <w:t xml:space="preserve">. </w:t>
      </w:r>
      <w:proofErr w:type="spellStart"/>
      <w:r w:rsidRPr="002C5AFF">
        <w:rPr>
          <w:rFonts w:ascii="Garamond" w:hAnsi="Garamond"/>
          <w:i/>
        </w:rPr>
        <w:t>Idem</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de </w:t>
      </w:r>
      <w:proofErr w:type="spellStart"/>
      <w:r w:rsidRPr="002C5AFF">
        <w:rPr>
          <w:rFonts w:ascii="Garamond" w:hAnsi="Garamond"/>
          <w:i/>
        </w:rPr>
        <w:t>armento</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de </w:t>
      </w:r>
      <w:proofErr w:type="spellStart"/>
      <w:r w:rsidRPr="002C5AFF">
        <w:rPr>
          <w:rFonts w:ascii="Garamond" w:hAnsi="Garamond"/>
          <w:i/>
        </w:rPr>
        <w:t>equitio</w:t>
      </w:r>
      <w:proofErr w:type="spellEnd"/>
      <w:r w:rsidRPr="002C5AFF">
        <w:rPr>
          <w:rFonts w:ascii="Garamond" w:hAnsi="Garamond"/>
          <w:i/>
        </w:rPr>
        <w:t xml:space="preserve"> </w:t>
      </w:r>
      <w:proofErr w:type="spellStart"/>
      <w:r w:rsidRPr="002C5AFF">
        <w:rPr>
          <w:rFonts w:ascii="Garamond" w:hAnsi="Garamond"/>
          <w:i/>
        </w:rPr>
        <w:t>ceterisque</w:t>
      </w:r>
      <w:proofErr w:type="spellEnd"/>
      <w:r w:rsidRPr="002C5AFF">
        <w:rPr>
          <w:rFonts w:ascii="Garamond" w:hAnsi="Garamond"/>
          <w:i/>
        </w:rPr>
        <w:t xml:space="preserve">, </w:t>
      </w:r>
      <w:proofErr w:type="spellStart"/>
      <w:r w:rsidRPr="002C5AFF">
        <w:rPr>
          <w:rFonts w:ascii="Garamond" w:hAnsi="Garamond"/>
          <w:i/>
        </w:rPr>
        <w:t>quae</w:t>
      </w:r>
      <w:proofErr w:type="spellEnd"/>
      <w:r w:rsidRPr="002C5AFF">
        <w:rPr>
          <w:rFonts w:ascii="Garamond" w:hAnsi="Garamond"/>
          <w:i/>
        </w:rPr>
        <w:t xml:space="preserve"> </w:t>
      </w:r>
      <w:proofErr w:type="spellStart"/>
      <w:r w:rsidRPr="002C5AFF">
        <w:rPr>
          <w:rFonts w:ascii="Garamond" w:hAnsi="Garamond"/>
          <w:i/>
        </w:rPr>
        <w:t>gregatim</w:t>
      </w:r>
      <w:proofErr w:type="spellEnd"/>
      <w:r w:rsidRPr="002C5AFF">
        <w:rPr>
          <w:rFonts w:ascii="Garamond" w:hAnsi="Garamond"/>
          <w:i/>
        </w:rPr>
        <w:t xml:space="preserve"> </w:t>
      </w:r>
      <w:proofErr w:type="spellStart"/>
      <w:r w:rsidRPr="002C5AFF">
        <w:rPr>
          <w:rFonts w:ascii="Garamond" w:hAnsi="Garamond"/>
          <w:i/>
        </w:rPr>
        <w:t>habentur</w:t>
      </w:r>
      <w:proofErr w:type="spellEnd"/>
      <w:r w:rsidRPr="002C5AFF">
        <w:rPr>
          <w:rFonts w:ascii="Garamond" w:hAnsi="Garamond"/>
          <w:i/>
        </w:rPr>
        <w:t xml:space="preserve">, </w:t>
      </w:r>
      <w:proofErr w:type="spellStart"/>
      <w:r w:rsidRPr="002C5AFF">
        <w:rPr>
          <w:rFonts w:ascii="Garamond" w:hAnsi="Garamond"/>
          <w:i/>
        </w:rPr>
        <w:t>dicendum</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Sed </w:t>
      </w:r>
      <w:proofErr w:type="spellStart"/>
      <w:r w:rsidRPr="002C5AFF">
        <w:rPr>
          <w:rFonts w:ascii="Garamond" w:hAnsi="Garamond"/>
          <w:i/>
        </w:rPr>
        <w:t>enim</w:t>
      </w:r>
      <w:proofErr w:type="spellEnd"/>
      <w:r w:rsidRPr="002C5AFF">
        <w:rPr>
          <w:rFonts w:ascii="Garamond" w:hAnsi="Garamond"/>
          <w:i/>
        </w:rPr>
        <w:t xml:space="preserve"> </w:t>
      </w:r>
      <w:proofErr w:type="spellStart"/>
      <w:r w:rsidRPr="002C5AFF">
        <w:rPr>
          <w:rFonts w:ascii="Garamond" w:hAnsi="Garamond"/>
          <w:i/>
        </w:rPr>
        <w:t>gregem</w:t>
      </w:r>
      <w:proofErr w:type="spellEnd"/>
      <w:r w:rsidRPr="002C5AFF">
        <w:rPr>
          <w:rFonts w:ascii="Garamond" w:hAnsi="Garamond"/>
          <w:i/>
        </w:rPr>
        <w:t xml:space="preserve"> </w:t>
      </w:r>
      <w:proofErr w:type="spellStart"/>
      <w:r w:rsidRPr="002C5AFF">
        <w:rPr>
          <w:rFonts w:ascii="Garamond" w:hAnsi="Garamond"/>
          <w:i/>
        </w:rPr>
        <w:t>sufficiet</w:t>
      </w:r>
      <w:proofErr w:type="spellEnd"/>
      <w:r w:rsidRPr="002C5AFF">
        <w:rPr>
          <w:rFonts w:ascii="Garamond" w:hAnsi="Garamond"/>
          <w:i/>
        </w:rPr>
        <w:t xml:space="preserve"> </w:t>
      </w:r>
      <w:proofErr w:type="spellStart"/>
      <w:r w:rsidRPr="002C5AFF">
        <w:rPr>
          <w:rFonts w:ascii="Garamond" w:hAnsi="Garamond"/>
          <w:i/>
        </w:rPr>
        <w:t>ipsum</w:t>
      </w:r>
      <w:proofErr w:type="spellEnd"/>
      <w:r w:rsidRPr="002C5AFF">
        <w:rPr>
          <w:rFonts w:ascii="Garamond" w:hAnsi="Garamond"/>
          <w:i/>
        </w:rPr>
        <w:t xml:space="preserve"> </w:t>
      </w:r>
      <w:proofErr w:type="spellStart"/>
      <w:r w:rsidRPr="002C5AFF">
        <w:rPr>
          <w:rFonts w:ascii="Garamond" w:hAnsi="Garamond"/>
          <w:i/>
        </w:rPr>
        <w:t>nostrum</w:t>
      </w:r>
      <w:proofErr w:type="spellEnd"/>
      <w:r w:rsidRPr="002C5AFF">
        <w:rPr>
          <w:rFonts w:ascii="Garamond" w:hAnsi="Garamond"/>
          <w:i/>
        </w:rPr>
        <w:t xml:space="preserve"> </w:t>
      </w:r>
      <w:proofErr w:type="spellStart"/>
      <w:r w:rsidRPr="002C5AFF">
        <w:rPr>
          <w:rFonts w:ascii="Garamond" w:hAnsi="Garamond"/>
          <w:i/>
        </w:rPr>
        <w:t>esse</w:t>
      </w:r>
      <w:proofErr w:type="spellEnd"/>
      <w:r w:rsidRPr="002C5AFF">
        <w:rPr>
          <w:rFonts w:ascii="Garamond" w:hAnsi="Garamond"/>
          <w:i/>
        </w:rPr>
        <w:t xml:space="preserve">, </w:t>
      </w:r>
      <w:proofErr w:type="spellStart"/>
      <w:r w:rsidRPr="002C5AFF">
        <w:rPr>
          <w:rFonts w:ascii="Garamond" w:hAnsi="Garamond"/>
          <w:i/>
        </w:rPr>
        <w:t>licet</w:t>
      </w:r>
      <w:proofErr w:type="spellEnd"/>
      <w:r w:rsidRPr="002C5AFF">
        <w:rPr>
          <w:rFonts w:ascii="Garamond" w:hAnsi="Garamond"/>
          <w:i/>
        </w:rPr>
        <w:t xml:space="preserve"> </w:t>
      </w:r>
      <w:proofErr w:type="spellStart"/>
      <w:r w:rsidRPr="002C5AFF">
        <w:rPr>
          <w:rFonts w:ascii="Garamond" w:hAnsi="Garamond"/>
          <w:i/>
        </w:rPr>
        <w:t>singula</w:t>
      </w:r>
      <w:proofErr w:type="spellEnd"/>
      <w:r w:rsidRPr="002C5AFF">
        <w:rPr>
          <w:rFonts w:ascii="Garamond" w:hAnsi="Garamond"/>
          <w:i/>
        </w:rPr>
        <w:t xml:space="preserve"> </w:t>
      </w:r>
      <w:proofErr w:type="spellStart"/>
      <w:r w:rsidRPr="002C5AFF">
        <w:rPr>
          <w:rFonts w:ascii="Garamond" w:hAnsi="Garamond"/>
          <w:i/>
        </w:rPr>
        <w:t>capita</w:t>
      </w:r>
      <w:proofErr w:type="spellEnd"/>
      <w:r w:rsidRPr="002C5AFF">
        <w:rPr>
          <w:rFonts w:ascii="Garamond" w:hAnsi="Garamond"/>
          <w:i/>
        </w:rPr>
        <w:t xml:space="preserve"> </w:t>
      </w:r>
      <w:proofErr w:type="spellStart"/>
      <w:r w:rsidRPr="002C5AFF">
        <w:rPr>
          <w:rFonts w:ascii="Garamond" w:hAnsi="Garamond"/>
          <w:i/>
        </w:rPr>
        <w:t>nostra</w:t>
      </w:r>
      <w:proofErr w:type="spellEnd"/>
      <w:r w:rsidRPr="002C5AFF">
        <w:rPr>
          <w:rFonts w:ascii="Garamond" w:hAnsi="Garamond"/>
          <w:i/>
        </w:rPr>
        <w:t xml:space="preserve"> non </w:t>
      </w:r>
      <w:proofErr w:type="spellStart"/>
      <w:r w:rsidRPr="002C5AFF">
        <w:rPr>
          <w:rFonts w:ascii="Garamond" w:hAnsi="Garamond"/>
          <w:i/>
        </w:rPr>
        <w:t>sint</w:t>
      </w:r>
      <w:proofErr w:type="spellEnd"/>
      <w:r w:rsidRPr="002C5AFF">
        <w:rPr>
          <w:rFonts w:ascii="Garamond" w:hAnsi="Garamond"/>
          <w:i/>
        </w:rPr>
        <w:t xml:space="preserve">: </w:t>
      </w:r>
      <w:proofErr w:type="spellStart"/>
      <w:r w:rsidRPr="002C5AFF">
        <w:rPr>
          <w:rFonts w:ascii="Garamond" w:hAnsi="Garamond"/>
          <w:i/>
        </w:rPr>
        <w:t>grex</w:t>
      </w:r>
      <w:proofErr w:type="spellEnd"/>
      <w:r w:rsidRPr="002C5AFF">
        <w:rPr>
          <w:rFonts w:ascii="Garamond" w:hAnsi="Garamond"/>
          <w:i/>
        </w:rPr>
        <w:t xml:space="preserve"> </w:t>
      </w:r>
      <w:proofErr w:type="spellStart"/>
      <w:r w:rsidRPr="002C5AFF">
        <w:rPr>
          <w:rFonts w:ascii="Garamond" w:hAnsi="Garamond"/>
          <w:i/>
        </w:rPr>
        <w:t>enim</w:t>
      </w:r>
      <w:proofErr w:type="spellEnd"/>
      <w:r w:rsidRPr="002C5AFF">
        <w:rPr>
          <w:rFonts w:ascii="Garamond" w:hAnsi="Garamond"/>
          <w:i/>
        </w:rPr>
        <w:t xml:space="preserve">, non </w:t>
      </w:r>
      <w:proofErr w:type="spellStart"/>
      <w:r w:rsidRPr="002C5AFF">
        <w:rPr>
          <w:rFonts w:ascii="Garamond" w:hAnsi="Garamond"/>
          <w:i/>
        </w:rPr>
        <w:t>singula</w:t>
      </w:r>
      <w:proofErr w:type="spellEnd"/>
      <w:r w:rsidRPr="002C5AFF">
        <w:rPr>
          <w:rFonts w:ascii="Garamond" w:hAnsi="Garamond"/>
          <w:i/>
        </w:rPr>
        <w:t xml:space="preserve"> </w:t>
      </w:r>
      <w:proofErr w:type="spellStart"/>
      <w:r w:rsidRPr="002C5AFF">
        <w:rPr>
          <w:rFonts w:ascii="Garamond" w:hAnsi="Garamond"/>
          <w:i/>
        </w:rPr>
        <w:t>corpora</w:t>
      </w:r>
      <w:proofErr w:type="spellEnd"/>
      <w:r w:rsidRPr="002C5AFF">
        <w:rPr>
          <w:rFonts w:ascii="Garamond" w:hAnsi="Garamond"/>
          <w:i/>
        </w:rPr>
        <w:t xml:space="preserve"> </w:t>
      </w:r>
      <w:proofErr w:type="spellStart"/>
      <w:r w:rsidRPr="002C5AFF">
        <w:rPr>
          <w:rFonts w:ascii="Garamond" w:hAnsi="Garamond"/>
          <w:i/>
        </w:rPr>
        <w:t>vindicabuntur</w:t>
      </w:r>
      <w:proofErr w:type="spellEnd"/>
      <w:r w:rsidRPr="002C5AFF">
        <w:rPr>
          <w:rFonts w:ascii="Garamond" w:hAnsi="Garamond"/>
          <w:i/>
        </w:rPr>
        <w:t>.“</w:t>
      </w:r>
    </w:p>
  </w:footnote>
  <w:footnote w:id="3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49. 1.: </w:t>
      </w:r>
      <w:r w:rsidRPr="002C5AFF">
        <w:rPr>
          <w:rFonts w:ascii="Garamond" w:hAnsi="Garamond"/>
          <w:i/>
        </w:rPr>
        <w:t>„</w:t>
      </w:r>
      <w:proofErr w:type="spellStart"/>
      <w:r w:rsidRPr="002C5AFF">
        <w:rPr>
          <w:rFonts w:ascii="Garamond" w:hAnsi="Garamond"/>
          <w:i/>
        </w:rPr>
        <w:t>Meum</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quod</w:t>
      </w:r>
      <w:proofErr w:type="spellEnd"/>
      <w:r w:rsidRPr="002C5AFF">
        <w:rPr>
          <w:rFonts w:ascii="Garamond" w:hAnsi="Garamond"/>
          <w:i/>
        </w:rPr>
        <w:t xml:space="preserve"> ex re </w:t>
      </w:r>
      <w:proofErr w:type="spellStart"/>
      <w:r w:rsidRPr="002C5AFF">
        <w:rPr>
          <w:rFonts w:ascii="Garamond" w:hAnsi="Garamond"/>
          <w:i/>
        </w:rPr>
        <w:t>mea</w:t>
      </w:r>
      <w:proofErr w:type="spellEnd"/>
      <w:r w:rsidRPr="002C5AFF">
        <w:rPr>
          <w:rFonts w:ascii="Garamond" w:hAnsi="Garamond"/>
          <w:i/>
        </w:rPr>
        <w:t xml:space="preserve"> </w:t>
      </w:r>
      <w:proofErr w:type="spellStart"/>
      <w:r w:rsidRPr="002C5AFF">
        <w:rPr>
          <w:rFonts w:ascii="Garamond" w:hAnsi="Garamond"/>
          <w:i/>
        </w:rPr>
        <w:t>superest</w:t>
      </w:r>
      <w:proofErr w:type="spellEnd"/>
      <w:r w:rsidRPr="002C5AFF">
        <w:rPr>
          <w:rFonts w:ascii="Garamond" w:hAnsi="Garamond"/>
          <w:i/>
        </w:rPr>
        <w:t xml:space="preserve">, </w:t>
      </w:r>
      <w:proofErr w:type="spellStart"/>
      <w:r w:rsidRPr="002C5AFF">
        <w:rPr>
          <w:rFonts w:ascii="Garamond" w:hAnsi="Garamond"/>
          <w:i/>
        </w:rPr>
        <w:t>cuius</w:t>
      </w:r>
      <w:proofErr w:type="spellEnd"/>
      <w:r w:rsidRPr="002C5AFF">
        <w:rPr>
          <w:rFonts w:ascii="Garamond" w:hAnsi="Garamond"/>
          <w:i/>
        </w:rPr>
        <w:t xml:space="preserve"> </w:t>
      </w:r>
      <w:proofErr w:type="spellStart"/>
      <w:r w:rsidRPr="002C5AFF">
        <w:rPr>
          <w:rFonts w:ascii="Garamond" w:hAnsi="Garamond"/>
          <w:i/>
        </w:rPr>
        <w:t>vindicandi</w:t>
      </w:r>
      <w:proofErr w:type="spellEnd"/>
      <w:r w:rsidRPr="002C5AFF">
        <w:rPr>
          <w:rFonts w:ascii="Garamond" w:hAnsi="Garamond"/>
          <w:i/>
        </w:rPr>
        <w:t xml:space="preserve"> </w:t>
      </w:r>
      <w:proofErr w:type="spellStart"/>
      <w:r w:rsidRPr="002C5AFF">
        <w:rPr>
          <w:rFonts w:ascii="Garamond" w:hAnsi="Garamond"/>
          <w:i/>
        </w:rPr>
        <w:t>ius</w:t>
      </w:r>
      <w:proofErr w:type="spellEnd"/>
      <w:r w:rsidRPr="002C5AFF">
        <w:rPr>
          <w:rFonts w:ascii="Garamond" w:hAnsi="Garamond"/>
          <w:i/>
        </w:rPr>
        <w:t xml:space="preserve"> </w:t>
      </w:r>
      <w:proofErr w:type="spellStart"/>
      <w:r w:rsidRPr="002C5AFF">
        <w:rPr>
          <w:rFonts w:ascii="Garamond" w:hAnsi="Garamond"/>
          <w:i/>
        </w:rPr>
        <w:t>habeo</w:t>
      </w:r>
      <w:proofErr w:type="spellEnd"/>
      <w:r w:rsidRPr="002C5AFF">
        <w:rPr>
          <w:rFonts w:ascii="Garamond" w:hAnsi="Garamond"/>
          <w:i/>
        </w:rPr>
        <w:t>.“</w:t>
      </w:r>
    </w:p>
  </w:footnote>
  <w:footnote w:id="40">
    <w:p w:rsidR="00646C74" w:rsidRPr="002C5AFF" w:rsidRDefault="00646C74" w:rsidP="002C5AFF">
      <w:pPr>
        <w:pStyle w:val="Textpoznpodarou"/>
        <w:keepNext/>
        <w:jc w:val="both"/>
        <w:rPr>
          <w:rFonts w:ascii="Garamond" w:hAnsi="Garamond"/>
          <w:b/>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323.</w:t>
      </w:r>
    </w:p>
  </w:footnote>
  <w:footnote w:id="41">
    <w:p w:rsidR="00646C74" w:rsidRPr="002C5AFF" w:rsidRDefault="00646C74" w:rsidP="002C5AFF">
      <w:pPr>
        <w:pStyle w:val="Textpoznpodarou"/>
        <w:keepNext/>
        <w:jc w:val="both"/>
        <w:rPr>
          <w:rFonts w:ascii="Garamond" w:hAnsi="Garamond"/>
          <w:i/>
        </w:rPr>
      </w:pPr>
      <w:r w:rsidRPr="002C5AFF">
        <w:rPr>
          <w:rStyle w:val="Znakapoznpodarou"/>
          <w:rFonts w:ascii="Garamond" w:hAnsi="Garamond"/>
        </w:rPr>
        <w:footnoteRef/>
      </w:r>
      <w:r w:rsidRPr="002C5AFF">
        <w:rPr>
          <w:rFonts w:ascii="Garamond" w:hAnsi="Garamond"/>
        </w:rPr>
        <w:t xml:space="preserve"> D 6. 1. 5. </w:t>
      </w:r>
      <w:proofErr w:type="spellStart"/>
      <w:r w:rsidRPr="002C5AFF">
        <w:rPr>
          <w:rFonts w:ascii="Garamond" w:hAnsi="Garamond"/>
        </w:rPr>
        <w:t>pr</w:t>
      </w:r>
      <w:proofErr w:type="spellEnd"/>
      <w:r w:rsidRPr="002C5AFF">
        <w:rPr>
          <w:rFonts w:ascii="Garamond" w:hAnsi="Garamond"/>
        </w:rPr>
        <w:t xml:space="preserve">.: </w:t>
      </w:r>
      <w:r w:rsidRPr="002C5AFF">
        <w:rPr>
          <w:rFonts w:ascii="Garamond" w:hAnsi="Garamond"/>
          <w:i/>
        </w:rPr>
        <w:t>„</w:t>
      </w:r>
      <w:proofErr w:type="spellStart"/>
      <w:r w:rsidRPr="002C5AFF">
        <w:rPr>
          <w:rFonts w:ascii="Garamond" w:hAnsi="Garamond"/>
          <w:i/>
        </w:rPr>
        <w:t>Ulpianus</w:t>
      </w:r>
      <w:proofErr w:type="spellEnd"/>
      <w:r w:rsidRPr="002C5AFF">
        <w:rPr>
          <w:rFonts w:ascii="Garamond" w:hAnsi="Garamond"/>
          <w:i/>
        </w:rPr>
        <w:t xml:space="preserve"> libro 16 ad </w:t>
      </w:r>
      <w:proofErr w:type="spellStart"/>
      <w:r w:rsidRPr="002C5AFF">
        <w:rPr>
          <w:rFonts w:ascii="Garamond" w:hAnsi="Garamond"/>
          <w:i/>
        </w:rPr>
        <w:t>edictum</w:t>
      </w:r>
      <w:proofErr w:type="spellEnd"/>
      <w:r w:rsidRPr="002C5AFF">
        <w:rPr>
          <w:rFonts w:ascii="Garamond" w:hAnsi="Garamond"/>
          <w:i/>
        </w:rPr>
        <w:t xml:space="preserve">. </w:t>
      </w:r>
      <w:proofErr w:type="spellStart"/>
      <w:r w:rsidRPr="002C5AFF">
        <w:rPr>
          <w:rFonts w:ascii="Garamond" w:hAnsi="Garamond"/>
          <w:i/>
        </w:rPr>
        <w:t>Idem</w:t>
      </w:r>
      <w:proofErr w:type="spellEnd"/>
      <w:r w:rsidRPr="002C5AFF">
        <w:rPr>
          <w:rFonts w:ascii="Garamond" w:hAnsi="Garamond"/>
          <w:i/>
        </w:rPr>
        <w:t xml:space="preserve"> </w:t>
      </w:r>
      <w:proofErr w:type="spellStart"/>
      <w:r w:rsidRPr="002C5AFF">
        <w:rPr>
          <w:rFonts w:ascii="Garamond" w:hAnsi="Garamond"/>
          <w:i/>
        </w:rPr>
        <w:t>Pomponius</w:t>
      </w:r>
      <w:proofErr w:type="spellEnd"/>
      <w:r w:rsidRPr="002C5AFF">
        <w:rPr>
          <w:rFonts w:ascii="Garamond" w:hAnsi="Garamond"/>
          <w:i/>
        </w:rPr>
        <w:t xml:space="preserve"> </w:t>
      </w:r>
      <w:proofErr w:type="spellStart"/>
      <w:r w:rsidRPr="002C5AFF">
        <w:rPr>
          <w:rFonts w:ascii="Garamond" w:hAnsi="Garamond"/>
          <w:i/>
        </w:rPr>
        <w:t>scribit</w:t>
      </w:r>
      <w:proofErr w:type="spellEnd"/>
      <w:r w:rsidRPr="002C5AFF">
        <w:rPr>
          <w:rFonts w:ascii="Garamond" w:hAnsi="Garamond"/>
          <w:i/>
        </w:rPr>
        <w:t xml:space="preserve">: si </w:t>
      </w:r>
      <w:proofErr w:type="spellStart"/>
      <w:r w:rsidRPr="002C5AFF">
        <w:rPr>
          <w:rFonts w:ascii="Garamond" w:hAnsi="Garamond"/>
          <w:i/>
        </w:rPr>
        <w:t>frumentum</w:t>
      </w:r>
      <w:proofErr w:type="spellEnd"/>
      <w:r w:rsidRPr="002C5AFF">
        <w:rPr>
          <w:rFonts w:ascii="Garamond" w:hAnsi="Garamond"/>
          <w:i/>
        </w:rPr>
        <w:t xml:space="preserve"> </w:t>
      </w:r>
      <w:proofErr w:type="spellStart"/>
      <w:r w:rsidRPr="002C5AFF">
        <w:rPr>
          <w:rFonts w:ascii="Garamond" w:hAnsi="Garamond"/>
          <w:i/>
        </w:rPr>
        <w:t>duorum</w:t>
      </w:r>
      <w:proofErr w:type="spellEnd"/>
      <w:r w:rsidRPr="002C5AFF">
        <w:rPr>
          <w:rFonts w:ascii="Garamond" w:hAnsi="Garamond"/>
          <w:i/>
        </w:rPr>
        <w:t xml:space="preserve"> non </w:t>
      </w:r>
      <w:proofErr w:type="spellStart"/>
      <w:r w:rsidRPr="002C5AFF">
        <w:rPr>
          <w:rFonts w:ascii="Garamond" w:hAnsi="Garamond"/>
          <w:i/>
        </w:rPr>
        <w:t>voluntate</w:t>
      </w:r>
      <w:proofErr w:type="spellEnd"/>
      <w:r w:rsidRPr="002C5AFF">
        <w:rPr>
          <w:rFonts w:ascii="Garamond" w:hAnsi="Garamond"/>
          <w:i/>
        </w:rPr>
        <w:t xml:space="preserve"> </w:t>
      </w:r>
      <w:proofErr w:type="spellStart"/>
      <w:r w:rsidRPr="002C5AFF">
        <w:rPr>
          <w:rFonts w:ascii="Garamond" w:hAnsi="Garamond"/>
          <w:i/>
        </w:rPr>
        <w:t>eorum</w:t>
      </w:r>
      <w:proofErr w:type="spellEnd"/>
      <w:r w:rsidRPr="002C5AFF">
        <w:rPr>
          <w:rFonts w:ascii="Garamond" w:hAnsi="Garamond"/>
          <w:i/>
        </w:rPr>
        <w:t xml:space="preserve"> </w:t>
      </w:r>
      <w:proofErr w:type="spellStart"/>
      <w:r w:rsidRPr="002C5AFF">
        <w:rPr>
          <w:rFonts w:ascii="Garamond" w:hAnsi="Garamond"/>
          <w:i/>
        </w:rPr>
        <w:t>confusum</w:t>
      </w:r>
      <w:proofErr w:type="spellEnd"/>
      <w:r w:rsidRPr="002C5AFF">
        <w:rPr>
          <w:rFonts w:ascii="Garamond" w:hAnsi="Garamond"/>
          <w:i/>
        </w:rPr>
        <w:t xml:space="preserve"> </w:t>
      </w:r>
      <w:proofErr w:type="spellStart"/>
      <w:r w:rsidRPr="002C5AFF">
        <w:rPr>
          <w:rFonts w:ascii="Garamond" w:hAnsi="Garamond"/>
          <w:i/>
        </w:rPr>
        <w:t>sit</w:t>
      </w:r>
      <w:proofErr w:type="spellEnd"/>
      <w:r w:rsidRPr="002C5AFF">
        <w:rPr>
          <w:rFonts w:ascii="Garamond" w:hAnsi="Garamond"/>
          <w:i/>
        </w:rPr>
        <w:t xml:space="preserve">, </w:t>
      </w:r>
      <w:proofErr w:type="spellStart"/>
      <w:r w:rsidRPr="002C5AFF">
        <w:rPr>
          <w:rFonts w:ascii="Garamond" w:hAnsi="Garamond"/>
          <w:i/>
        </w:rPr>
        <w:t>competit</w:t>
      </w:r>
      <w:proofErr w:type="spellEnd"/>
      <w:r w:rsidRPr="002C5AFF">
        <w:rPr>
          <w:rFonts w:ascii="Garamond" w:hAnsi="Garamond"/>
          <w:i/>
        </w:rPr>
        <w:t xml:space="preserve"> </w:t>
      </w:r>
      <w:proofErr w:type="spellStart"/>
      <w:r w:rsidRPr="002C5AFF">
        <w:rPr>
          <w:rFonts w:ascii="Garamond" w:hAnsi="Garamond"/>
          <w:i/>
        </w:rPr>
        <w:t>singulis</w:t>
      </w:r>
      <w:proofErr w:type="spellEnd"/>
      <w:r w:rsidRPr="002C5AFF">
        <w:rPr>
          <w:rFonts w:ascii="Garamond" w:hAnsi="Garamond"/>
          <w:i/>
        </w:rPr>
        <w:t xml:space="preserve"> in </w:t>
      </w:r>
      <w:proofErr w:type="spellStart"/>
      <w:r w:rsidRPr="002C5AFF">
        <w:rPr>
          <w:rFonts w:ascii="Garamond" w:hAnsi="Garamond"/>
          <w:i/>
        </w:rPr>
        <w:t>rem</w:t>
      </w:r>
      <w:proofErr w:type="spellEnd"/>
      <w:r w:rsidRPr="002C5AFF">
        <w:rPr>
          <w:rFonts w:ascii="Garamond" w:hAnsi="Garamond"/>
          <w:i/>
        </w:rPr>
        <w:t xml:space="preserve"> </w:t>
      </w:r>
      <w:proofErr w:type="spellStart"/>
      <w:r w:rsidRPr="002C5AFF">
        <w:rPr>
          <w:rFonts w:ascii="Garamond" w:hAnsi="Garamond"/>
          <w:i/>
        </w:rPr>
        <w:t>actio</w:t>
      </w:r>
      <w:proofErr w:type="spellEnd"/>
      <w:r w:rsidRPr="002C5AFF">
        <w:rPr>
          <w:rFonts w:ascii="Garamond" w:hAnsi="Garamond"/>
          <w:i/>
        </w:rPr>
        <w:t xml:space="preserve"> in id, in </w:t>
      </w:r>
      <w:proofErr w:type="spellStart"/>
      <w:r w:rsidRPr="002C5AFF">
        <w:rPr>
          <w:rFonts w:ascii="Garamond" w:hAnsi="Garamond"/>
          <w:i/>
        </w:rPr>
        <w:t>quantum</w:t>
      </w:r>
      <w:proofErr w:type="spellEnd"/>
      <w:r w:rsidRPr="002C5AFF">
        <w:rPr>
          <w:rFonts w:ascii="Garamond" w:hAnsi="Garamond"/>
          <w:i/>
        </w:rPr>
        <w:t xml:space="preserve"> </w:t>
      </w:r>
      <w:proofErr w:type="spellStart"/>
      <w:r w:rsidRPr="002C5AFF">
        <w:rPr>
          <w:rFonts w:ascii="Garamond" w:hAnsi="Garamond"/>
          <w:i/>
        </w:rPr>
        <w:t>paret</w:t>
      </w:r>
      <w:proofErr w:type="spellEnd"/>
      <w:r w:rsidRPr="002C5AFF">
        <w:rPr>
          <w:rFonts w:ascii="Garamond" w:hAnsi="Garamond"/>
          <w:i/>
        </w:rPr>
        <w:t xml:space="preserve"> in </w:t>
      </w:r>
      <w:proofErr w:type="spellStart"/>
      <w:r w:rsidRPr="002C5AFF">
        <w:rPr>
          <w:rFonts w:ascii="Garamond" w:hAnsi="Garamond"/>
          <w:i/>
        </w:rPr>
        <w:t>illo</w:t>
      </w:r>
      <w:proofErr w:type="spellEnd"/>
      <w:r w:rsidRPr="002C5AFF">
        <w:rPr>
          <w:rFonts w:ascii="Garamond" w:hAnsi="Garamond"/>
          <w:i/>
        </w:rPr>
        <w:t xml:space="preserve"> </w:t>
      </w:r>
      <w:proofErr w:type="spellStart"/>
      <w:r w:rsidRPr="002C5AFF">
        <w:rPr>
          <w:rFonts w:ascii="Garamond" w:hAnsi="Garamond"/>
          <w:i/>
        </w:rPr>
        <w:t>acervo</w:t>
      </w:r>
      <w:proofErr w:type="spellEnd"/>
      <w:r w:rsidRPr="002C5AFF">
        <w:rPr>
          <w:rFonts w:ascii="Garamond" w:hAnsi="Garamond"/>
          <w:i/>
        </w:rPr>
        <w:t xml:space="preserve"> </w:t>
      </w:r>
      <w:proofErr w:type="spellStart"/>
      <w:r w:rsidRPr="002C5AFF">
        <w:rPr>
          <w:rFonts w:ascii="Garamond" w:hAnsi="Garamond"/>
          <w:i/>
        </w:rPr>
        <w:t>suum</w:t>
      </w:r>
      <w:proofErr w:type="spellEnd"/>
      <w:r w:rsidRPr="002C5AFF">
        <w:rPr>
          <w:rFonts w:ascii="Garamond" w:hAnsi="Garamond"/>
          <w:i/>
        </w:rPr>
        <w:t xml:space="preserve"> </w:t>
      </w:r>
      <w:proofErr w:type="spellStart"/>
      <w:r w:rsidRPr="002C5AFF">
        <w:rPr>
          <w:rFonts w:ascii="Garamond" w:hAnsi="Garamond"/>
          <w:i/>
        </w:rPr>
        <w:t>cuiusque</w:t>
      </w:r>
      <w:proofErr w:type="spellEnd"/>
      <w:r w:rsidRPr="002C5AFF">
        <w:rPr>
          <w:rFonts w:ascii="Garamond" w:hAnsi="Garamond"/>
          <w:i/>
        </w:rPr>
        <w:t xml:space="preserve"> </w:t>
      </w:r>
      <w:proofErr w:type="spellStart"/>
      <w:r w:rsidRPr="002C5AFF">
        <w:rPr>
          <w:rFonts w:ascii="Garamond" w:hAnsi="Garamond"/>
          <w:i/>
        </w:rPr>
        <w:t>esse</w:t>
      </w:r>
      <w:proofErr w:type="spellEnd"/>
      <w:r w:rsidRPr="002C5AFF">
        <w:rPr>
          <w:rFonts w:ascii="Garamond" w:hAnsi="Garamond"/>
          <w:i/>
        </w:rPr>
        <w:t xml:space="preserve">: </w:t>
      </w:r>
      <w:proofErr w:type="spellStart"/>
      <w:r w:rsidRPr="002C5AFF">
        <w:rPr>
          <w:rFonts w:ascii="Garamond" w:hAnsi="Garamond"/>
          <w:i/>
        </w:rPr>
        <w:t>quod</w:t>
      </w:r>
      <w:proofErr w:type="spellEnd"/>
      <w:r w:rsidRPr="002C5AFF">
        <w:rPr>
          <w:rFonts w:ascii="Garamond" w:hAnsi="Garamond"/>
          <w:i/>
        </w:rPr>
        <w:t xml:space="preserve"> si </w:t>
      </w:r>
      <w:proofErr w:type="spellStart"/>
      <w:r w:rsidRPr="002C5AFF">
        <w:rPr>
          <w:rFonts w:ascii="Garamond" w:hAnsi="Garamond"/>
          <w:i/>
        </w:rPr>
        <w:t>voluntate</w:t>
      </w:r>
      <w:proofErr w:type="spellEnd"/>
      <w:r w:rsidRPr="002C5AFF">
        <w:rPr>
          <w:rFonts w:ascii="Garamond" w:hAnsi="Garamond"/>
          <w:i/>
        </w:rPr>
        <w:t xml:space="preserve"> </w:t>
      </w:r>
      <w:proofErr w:type="spellStart"/>
      <w:r w:rsidRPr="002C5AFF">
        <w:rPr>
          <w:rFonts w:ascii="Garamond" w:hAnsi="Garamond"/>
          <w:i/>
        </w:rPr>
        <w:t>eorum</w:t>
      </w:r>
      <w:proofErr w:type="spellEnd"/>
      <w:r w:rsidRPr="002C5AFF">
        <w:rPr>
          <w:rFonts w:ascii="Garamond" w:hAnsi="Garamond"/>
          <w:i/>
        </w:rPr>
        <w:t xml:space="preserve"> </w:t>
      </w:r>
      <w:proofErr w:type="spellStart"/>
      <w:r w:rsidRPr="002C5AFF">
        <w:rPr>
          <w:rFonts w:ascii="Garamond" w:hAnsi="Garamond"/>
          <w:i/>
        </w:rPr>
        <w:t>commixta</w:t>
      </w:r>
      <w:proofErr w:type="spellEnd"/>
      <w:r w:rsidRPr="002C5AFF">
        <w:rPr>
          <w:rFonts w:ascii="Garamond" w:hAnsi="Garamond"/>
          <w:i/>
        </w:rPr>
        <w:t xml:space="preserve"> </w:t>
      </w:r>
      <w:proofErr w:type="spellStart"/>
      <w:r w:rsidRPr="002C5AFF">
        <w:rPr>
          <w:rFonts w:ascii="Garamond" w:hAnsi="Garamond"/>
          <w:i/>
        </w:rPr>
        <w:t>sunt</w:t>
      </w:r>
      <w:proofErr w:type="spellEnd"/>
      <w:r w:rsidRPr="002C5AFF">
        <w:rPr>
          <w:rFonts w:ascii="Garamond" w:hAnsi="Garamond"/>
          <w:i/>
        </w:rPr>
        <w:t xml:space="preserve">, </w:t>
      </w:r>
      <w:proofErr w:type="spellStart"/>
      <w:r w:rsidRPr="002C5AFF">
        <w:rPr>
          <w:rFonts w:ascii="Garamond" w:hAnsi="Garamond"/>
          <w:i/>
        </w:rPr>
        <w:t>tunc</w:t>
      </w:r>
      <w:proofErr w:type="spellEnd"/>
      <w:r w:rsidRPr="002C5AFF">
        <w:rPr>
          <w:rFonts w:ascii="Garamond" w:hAnsi="Garamond"/>
          <w:i/>
        </w:rPr>
        <w:t xml:space="preserve"> </w:t>
      </w:r>
      <w:proofErr w:type="spellStart"/>
      <w:r w:rsidRPr="002C5AFF">
        <w:rPr>
          <w:rFonts w:ascii="Garamond" w:hAnsi="Garamond"/>
          <w:i/>
        </w:rPr>
        <w:t>communicata</w:t>
      </w:r>
      <w:proofErr w:type="spellEnd"/>
      <w:r w:rsidRPr="002C5AFF">
        <w:rPr>
          <w:rFonts w:ascii="Garamond" w:hAnsi="Garamond"/>
          <w:i/>
        </w:rPr>
        <w:t xml:space="preserve"> </w:t>
      </w:r>
      <w:proofErr w:type="spellStart"/>
      <w:r w:rsidRPr="002C5AFF">
        <w:rPr>
          <w:rFonts w:ascii="Garamond" w:hAnsi="Garamond"/>
          <w:i/>
        </w:rPr>
        <w:t>videbuntur</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erit</w:t>
      </w:r>
      <w:proofErr w:type="spellEnd"/>
      <w:r w:rsidRPr="002C5AFF">
        <w:rPr>
          <w:rFonts w:ascii="Garamond" w:hAnsi="Garamond"/>
          <w:i/>
        </w:rPr>
        <w:t xml:space="preserve"> </w:t>
      </w:r>
      <w:proofErr w:type="spellStart"/>
      <w:r w:rsidRPr="002C5AFF">
        <w:rPr>
          <w:rFonts w:ascii="Garamond" w:hAnsi="Garamond"/>
          <w:i/>
        </w:rPr>
        <w:t>communi</w:t>
      </w:r>
      <w:proofErr w:type="spellEnd"/>
      <w:r w:rsidRPr="002C5AFF">
        <w:rPr>
          <w:rFonts w:ascii="Garamond" w:hAnsi="Garamond"/>
          <w:i/>
        </w:rPr>
        <w:t xml:space="preserve"> </w:t>
      </w:r>
      <w:proofErr w:type="spellStart"/>
      <w:r w:rsidRPr="002C5AFF">
        <w:rPr>
          <w:rFonts w:ascii="Garamond" w:hAnsi="Garamond"/>
          <w:i/>
        </w:rPr>
        <w:t>dividundo</w:t>
      </w:r>
      <w:proofErr w:type="spellEnd"/>
      <w:r w:rsidRPr="002C5AFF">
        <w:rPr>
          <w:rFonts w:ascii="Garamond" w:hAnsi="Garamond"/>
          <w:i/>
        </w:rPr>
        <w:t xml:space="preserve"> </w:t>
      </w:r>
      <w:proofErr w:type="spellStart"/>
      <w:r w:rsidRPr="002C5AFF">
        <w:rPr>
          <w:rFonts w:ascii="Garamond" w:hAnsi="Garamond"/>
          <w:i/>
        </w:rPr>
        <w:t>actio</w:t>
      </w:r>
      <w:proofErr w:type="spellEnd"/>
      <w:r w:rsidRPr="002C5AFF">
        <w:rPr>
          <w:rFonts w:ascii="Garamond" w:hAnsi="Garamond"/>
          <w:i/>
        </w:rPr>
        <w:t>.“</w:t>
      </w:r>
    </w:p>
  </w:footnote>
  <w:footnote w:id="42">
    <w:p w:rsidR="00646C74" w:rsidRPr="002C5AFF" w:rsidRDefault="00646C74" w:rsidP="002C5AFF">
      <w:pPr>
        <w:pStyle w:val="Textpoznpodarou"/>
        <w:keepNext/>
        <w:jc w:val="both"/>
        <w:rPr>
          <w:rFonts w:ascii="Garamond" w:hAnsi="Garamond"/>
        </w:rPr>
      </w:pPr>
      <w:r w:rsidRPr="002C5AFF">
        <w:rPr>
          <w:rStyle w:val="Znakapoznpodarou"/>
          <w:rFonts w:ascii="Garamond" w:hAnsi="Garamond"/>
          <w:i/>
        </w:rPr>
        <w:footnoteRef/>
      </w:r>
      <w:r w:rsidRPr="002C5AFF">
        <w:rPr>
          <w:rFonts w:ascii="Garamond" w:hAnsi="Garamond"/>
          <w:i/>
        </w:rPr>
        <w:t xml:space="preserve"> </w:t>
      </w:r>
      <w:r w:rsidRPr="002C5AFF">
        <w:rPr>
          <w:rFonts w:ascii="Garamond" w:hAnsi="Garamond"/>
        </w:rPr>
        <w:t>D 6. 1. 23. 2.:</w:t>
      </w:r>
      <w:r w:rsidRPr="002C5AFF">
        <w:rPr>
          <w:rFonts w:ascii="Garamond" w:hAnsi="Garamond"/>
          <w:i/>
        </w:rPr>
        <w:t xml:space="preserve"> „</w:t>
      </w:r>
      <w:proofErr w:type="gramStart"/>
      <w:r w:rsidRPr="002C5AFF">
        <w:rPr>
          <w:rFonts w:ascii="Garamond" w:hAnsi="Garamond"/>
          <w:i/>
        </w:rPr>
        <w:t>Si</w:t>
      </w:r>
      <w:proofErr w:type="gramEnd"/>
      <w:r w:rsidRPr="002C5AFF">
        <w:rPr>
          <w:rFonts w:ascii="Garamond" w:hAnsi="Garamond"/>
          <w:i/>
        </w:rPr>
        <w:t xml:space="preserve"> </w:t>
      </w:r>
      <w:proofErr w:type="spellStart"/>
      <w:r w:rsidRPr="002C5AFF">
        <w:rPr>
          <w:rFonts w:ascii="Garamond" w:hAnsi="Garamond"/>
          <w:i/>
        </w:rPr>
        <w:t>quis</w:t>
      </w:r>
      <w:proofErr w:type="spellEnd"/>
      <w:r w:rsidRPr="002C5AFF">
        <w:rPr>
          <w:rFonts w:ascii="Garamond" w:hAnsi="Garamond"/>
          <w:i/>
        </w:rPr>
        <w:t xml:space="preserve"> </w:t>
      </w:r>
      <w:proofErr w:type="spellStart"/>
      <w:r w:rsidRPr="002C5AFF">
        <w:rPr>
          <w:rFonts w:ascii="Garamond" w:hAnsi="Garamond"/>
          <w:i/>
        </w:rPr>
        <w:t>rei</w:t>
      </w:r>
      <w:proofErr w:type="spellEnd"/>
      <w:r w:rsidRPr="002C5AFF">
        <w:rPr>
          <w:rFonts w:ascii="Garamond" w:hAnsi="Garamond"/>
          <w:i/>
        </w:rPr>
        <w:t xml:space="preserve"> </w:t>
      </w:r>
      <w:proofErr w:type="spellStart"/>
      <w:r w:rsidRPr="002C5AFF">
        <w:rPr>
          <w:rFonts w:ascii="Garamond" w:hAnsi="Garamond"/>
          <w:i/>
        </w:rPr>
        <w:t>suae</w:t>
      </w:r>
      <w:proofErr w:type="spellEnd"/>
      <w:r w:rsidRPr="002C5AFF">
        <w:rPr>
          <w:rFonts w:ascii="Garamond" w:hAnsi="Garamond"/>
          <w:i/>
        </w:rPr>
        <w:t xml:space="preserve"> </w:t>
      </w:r>
      <w:proofErr w:type="spellStart"/>
      <w:r w:rsidRPr="002C5AFF">
        <w:rPr>
          <w:rFonts w:ascii="Garamond" w:hAnsi="Garamond"/>
          <w:i/>
        </w:rPr>
        <w:t>alienam</w:t>
      </w:r>
      <w:proofErr w:type="spellEnd"/>
      <w:r w:rsidRPr="002C5AFF">
        <w:rPr>
          <w:rFonts w:ascii="Garamond" w:hAnsi="Garamond"/>
          <w:i/>
        </w:rPr>
        <w:t xml:space="preserve"> </w:t>
      </w:r>
      <w:proofErr w:type="spellStart"/>
      <w:r w:rsidRPr="002C5AFF">
        <w:rPr>
          <w:rFonts w:ascii="Garamond" w:hAnsi="Garamond"/>
          <w:i/>
        </w:rPr>
        <w:t>rem</w:t>
      </w:r>
      <w:proofErr w:type="spellEnd"/>
      <w:r w:rsidRPr="002C5AFF">
        <w:rPr>
          <w:rFonts w:ascii="Garamond" w:hAnsi="Garamond"/>
          <w:i/>
        </w:rPr>
        <w:t xml:space="preserve"> </w:t>
      </w:r>
      <w:proofErr w:type="spellStart"/>
      <w:r w:rsidRPr="002C5AFF">
        <w:rPr>
          <w:rFonts w:ascii="Garamond" w:hAnsi="Garamond"/>
          <w:i/>
        </w:rPr>
        <w:t>ita</w:t>
      </w:r>
      <w:proofErr w:type="spellEnd"/>
      <w:r w:rsidRPr="002C5AFF">
        <w:rPr>
          <w:rFonts w:ascii="Garamond" w:hAnsi="Garamond"/>
          <w:i/>
        </w:rPr>
        <w:t xml:space="preserve"> </w:t>
      </w:r>
      <w:proofErr w:type="spellStart"/>
      <w:r w:rsidRPr="002C5AFF">
        <w:rPr>
          <w:rFonts w:ascii="Garamond" w:hAnsi="Garamond"/>
          <w:i/>
        </w:rPr>
        <w:t>adiecerit</w:t>
      </w:r>
      <w:proofErr w:type="spellEnd"/>
      <w:r w:rsidRPr="002C5AFF">
        <w:rPr>
          <w:rFonts w:ascii="Garamond" w:hAnsi="Garamond"/>
          <w:i/>
        </w:rPr>
        <w:t xml:space="preserve">, </w:t>
      </w:r>
      <w:proofErr w:type="spellStart"/>
      <w:r w:rsidRPr="002C5AFF">
        <w:rPr>
          <w:rFonts w:ascii="Garamond" w:hAnsi="Garamond"/>
          <w:i/>
        </w:rPr>
        <w:t>ut</w:t>
      </w:r>
      <w:proofErr w:type="spellEnd"/>
      <w:r w:rsidRPr="002C5AFF">
        <w:rPr>
          <w:rFonts w:ascii="Garamond" w:hAnsi="Garamond"/>
          <w:i/>
        </w:rPr>
        <w:t xml:space="preserve"> </w:t>
      </w:r>
      <w:proofErr w:type="spellStart"/>
      <w:r w:rsidRPr="002C5AFF">
        <w:rPr>
          <w:rFonts w:ascii="Garamond" w:hAnsi="Garamond"/>
          <w:i/>
        </w:rPr>
        <w:t>pars</w:t>
      </w:r>
      <w:proofErr w:type="spellEnd"/>
      <w:r w:rsidRPr="002C5AFF">
        <w:rPr>
          <w:rFonts w:ascii="Garamond" w:hAnsi="Garamond"/>
          <w:i/>
        </w:rPr>
        <w:t xml:space="preserve"> </w:t>
      </w:r>
      <w:proofErr w:type="spellStart"/>
      <w:r w:rsidRPr="002C5AFF">
        <w:rPr>
          <w:rFonts w:ascii="Garamond" w:hAnsi="Garamond"/>
          <w:i/>
        </w:rPr>
        <w:t>eius</w:t>
      </w:r>
      <w:proofErr w:type="spellEnd"/>
      <w:r w:rsidRPr="002C5AFF">
        <w:rPr>
          <w:rFonts w:ascii="Garamond" w:hAnsi="Garamond"/>
          <w:i/>
        </w:rPr>
        <w:t xml:space="preserve"> </w:t>
      </w:r>
      <w:proofErr w:type="spellStart"/>
      <w:r w:rsidRPr="002C5AFF">
        <w:rPr>
          <w:rFonts w:ascii="Garamond" w:hAnsi="Garamond"/>
          <w:i/>
        </w:rPr>
        <w:t>fieret</w:t>
      </w:r>
      <w:proofErr w:type="spellEnd"/>
      <w:r w:rsidRPr="002C5AFF">
        <w:rPr>
          <w:rFonts w:ascii="Garamond" w:hAnsi="Garamond"/>
          <w:i/>
        </w:rPr>
        <w:t xml:space="preserve">, </w:t>
      </w:r>
      <w:proofErr w:type="spellStart"/>
      <w:r w:rsidRPr="002C5AFF">
        <w:rPr>
          <w:rFonts w:ascii="Garamond" w:hAnsi="Garamond"/>
          <w:i/>
        </w:rPr>
        <w:t>veluti</w:t>
      </w:r>
      <w:proofErr w:type="spellEnd"/>
      <w:r w:rsidRPr="002C5AFF">
        <w:rPr>
          <w:rFonts w:ascii="Garamond" w:hAnsi="Garamond"/>
          <w:i/>
        </w:rPr>
        <w:t xml:space="preserve"> si </w:t>
      </w:r>
      <w:proofErr w:type="spellStart"/>
      <w:r w:rsidRPr="002C5AFF">
        <w:rPr>
          <w:rFonts w:ascii="Garamond" w:hAnsi="Garamond"/>
          <w:i/>
        </w:rPr>
        <w:t>quis</w:t>
      </w:r>
      <w:proofErr w:type="spellEnd"/>
      <w:r w:rsidRPr="002C5AFF">
        <w:rPr>
          <w:rFonts w:ascii="Garamond" w:hAnsi="Garamond"/>
          <w:i/>
        </w:rPr>
        <w:t xml:space="preserve"> </w:t>
      </w:r>
      <w:proofErr w:type="spellStart"/>
      <w:r w:rsidRPr="002C5AFF">
        <w:rPr>
          <w:rFonts w:ascii="Garamond" w:hAnsi="Garamond"/>
          <w:i/>
        </w:rPr>
        <w:t>statuae</w:t>
      </w:r>
      <w:proofErr w:type="spellEnd"/>
      <w:r w:rsidRPr="002C5AFF">
        <w:rPr>
          <w:rFonts w:ascii="Garamond" w:hAnsi="Garamond"/>
          <w:i/>
        </w:rPr>
        <w:t xml:space="preserve"> </w:t>
      </w:r>
      <w:proofErr w:type="spellStart"/>
      <w:r w:rsidRPr="002C5AFF">
        <w:rPr>
          <w:rFonts w:ascii="Garamond" w:hAnsi="Garamond"/>
          <w:i/>
        </w:rPr>
        <w:t>suae</w:t>
      </w:r>
      <w:proofErr w:type="spellEnd"/>
      <w:r w:rsidRPr="002C5AFF">
        <w:rPr>
          <w:rFonts w:ascii="Garamond" w:hAnsi="Garamond"/>
          <w:i/>
        </w:rPr>
        <w:t xml:space="preserve"> </w:t>
      </w:r>
      <w:proofErr w:type="spellStart"/>
      <w:r w:rsidRPr="002C5AFF">
        <w:rPr>
          <w:rFonts w:ascii="Garamond" w:hAnsi="Garamond"/>
          <w:i/>
        </w:rPr>
        <w:t>bracchium</w:t>
      </w:r>
      <w:proofErr w:type="spellEnd"/>
      <w:r w:rsidRPr="002C5AFF">
        <w:rPr>
          <w:rFonts w:ascii="Garamond" w:hAnsi="Garamond"/>
          <w:i/>
        </w:rPr>
        <w:t xml:space="preserve"> aut </w:t>
      </w:r>
      <w:proofErr w:type="spellStart"/>
      <w:r w:rsidRPr="002C5AFF">
        <w:rPr>
          <w:rFonts w:ascii="Garamond" w:hAnsi="Garamond"/>
          <w:i/>
        </w:rPr>
        <w:t>pedem</w:t>
      </w:r>
      <w:proofErr w:type="spellEnd"/>
      <w:r w:rsidRPr="002C5AFF">
        <w:rPr>
          <w:rFonts w:ascii="Garamond" w:hAnsi="Garamond"/>
          <w:i/>
        </w:rPr>
        <w:t xml:space="preserve"> </w:t>
      </w:r>
      <w:proofErr w:type="spellStart"/>
      <w:r w:rsidRPr="002C5AFF">
        <w:rPr>
          <w:rFonts w:ascii="Garamond" w:hAnsi="Garamond"/>
          <w:i/>
        </w:rPr>
        <w:t>alienum</w:t>
      </w:r>
      <w:proofErr w:type="spellEnd"/>
      <w:r w:rsidRPr="002C5AFF">
        <w:rPr>
          <w:rFonts w:ascii="Garamond" w:hAnsi="Garamond"/>
          <w:i/>
        </w:rPr>
        <w:t xml:space="preserve"> </w:t>
      </w:r>
      <w:proofErr w:type="spellStart"/>
      <w:r w:rsidRPr="002C5AFF">
        <w:rPr>
          <w:rFonts w:ascii="Garamond" w:hAnsi="Garamond"/>
          <w:i/>
        </w:rPr>
        <w:t>adiecerit</w:t>
      </w:r>
      <w:proofErr w:type="spellEnd"/>
      <w:r w:rsidRPr="002C5AFF">
        <w:rPr>
          <w:rFonts w:ascii="Garamond" w:hAnsi="Garamond"/>
          <w:i/>
        </w:rPr>
        <w:t xml:space="preserve">, aut </w:t>
      </w:r>
      <w:proofErr w:type="spellStart"/>
      <w:r w:rsidRPr="002C5AFF">
        <w:rPr>
          <w:rFonts w:ascii="Garamond" w:hAnsi="Garamond"/>
          <w:i/>
        </w:rPr>
        <w:t>scypho</w:t>
      </w:r>
      <w:proofErr w:type="spellEnd"/>
      <w:r w:rsidRPr="002C5AFF">
        <w:rPr>
          <w:rFonts w:ascii="Garamond" w:hAnsi="Garamond"/>
          <w:i/>
        </w:rPr>
        <w:t xml:space="preserve"> </w:t>
      </w:r>
      <w:proofErr w:type="spellStart"/>
      <w:r w:rsidRPr="002C5AFF">
        <w:rPr>
          <w:rFonts w:ascii="Garamond" w:hAnsi="Garamond"/>
          <w:i/>
        </w:rPr>
        <w:t>ansam</w:t>
      </w:r>
      <w:proofErr w:type="spellEnd"/>
      <w:r w:rsidRPr="002C5AFF">
        <w:rPr>
          <w:rFonts w:ascii="Garamond" w:hAnsi="Garamond"/>
          <w:i/>
        </w:rPr>
        <w:t xml:space="preserve"> vel </w:t>
      </w:r>
      <w:proofErr w:type="spellStart"/>
      <w:r w:rsidRPr="002C5AFF">
        <w:rPr>
          <w:rFonts w:ascii="Garamond" w:hAnsi="Garamond"/>
          <w:i/>
        </w:rPr>
        <w:t>fundum</w:t>
      </w:r>
      <w:proofErr w:type="spellEnd"/>
      <w:r w:rsidRPr="002C5AFF">
        <w:rPr>
          <w:rFonts w:ascii="Garamond" w:hAnsi="Garamond"/>
          <w:i/>
        </w:rPr>
        <w:t xml:space="preserve">, vel </w:t>
      </w:r>
      <w:proofErr w:type="spellStart"/>
      <w:r w:rsidRPr="002C5AFF">
        <w:rPr>
          <w:rFonts w:ascii="Garamond" w:hAnsi="Garamond"/>
          <w:i/>
        </w:rPr>
        <w:t>candelabro</w:t>
      </w:r>
      <w:proofErr w:type="spellEnd"/>
      <w:r w:rsidRPr="002C5AFF">
        <w:rPr>
          <w:rFonts w:ascii="Garamond" w:hAnsi="Garamond"/>
          <w:i/>
        </w:rPr>
        <w:t xml:space="preserve"> </w:t>
      </w:r>
      <w:proofErr w:type="spellStart"/>
      <w:r w:rsidRPr="002C5AFF">
        <w:rPr>
          <w:rFonts w:ascii="Garamond" w:hAnsi="Garamond"/>
          <w:i/>
        </w:rPr>
        <w:t>sigillum</w:t>
      </w:r>
      <w:proofErr w:type="spellEnd"/>
      <w:r w:rsidRPr="002C5AFF">
        <w:rPr>
          <w:rFonts w:ascii="Garamond" w:hAnsi="Garamond"/>
          <w:i/>
        </w:rPr>
        <w:t xml:space="preserve">, aut </w:t>
      </w:r>
      <w:proofErr w:type="spellStart"/>
      <w:r w:rsidRPr="002C5AFF">
        <w:rPr>
          <w:rFonts w:ascii="Garamond" w:hAnsi="Garamond"/>
          <w:i/>
        </w:rPr>
        <w:t>mensae</w:t>
      </w:r>
      <w:proofErr w:type="spellEnd"/>
      <w:r w:rsidRPr="002C5AFF">
        <w:rPr>
          <w:rFonts w:ascii="Garamond" w:hAnsi="Garamond"/>
          <w:i/>
        </w:rPr>
        <w:t xml:space="preserve"> </w:t>
      </w:r>
      <w:proofErr w:type="spellStart"/>
      <w:r w:rsidRPr="002C5AFF">
        <w:rPr>
          <w:rFonts w:ascii="Garamond" w:hAnsi="Garamond"/>
          <w:i/>
        </w:rPr>
        <w:t>pedem</w:t>
      </w:r>
      <w:proofErr w:type="spellEnd"/>
      <w:r w:rsidRPr="002C5AFF">
        <w:rPr>
          <w:rFonts w:ascii="Garamond" w:hAnsi="Garamond"/>
          <w:i/>
        </w:rPr>
        <w:t xml:space="preserve">, </w:t>
      </w:r>
      <w:proofErr w:type="spellStart"/>
      <w:r w:rsidRPr="002C5AFF">
        <w:rPr>
          <w:rFonts w:ascii="Garamond" w:hAnsi="Garamond"/>
          <w:i/>
        </w:rPr>
        <w:t>dominum</w:t>
      </w:r>
      <w:proofErr w:type="spellEnd"/>
      <w:r w:rsidRPr="002C5AFF">
        <w:rPr>
          <w:rFonts w:ascii="Garamond" w:hAnsi="Garamond"/>
          <w:i/>
        </w:rPr>
        <w:t xml:space="preserve"> </w:t>
      </w:r>
      <w:proofErr w:type="spellStart"/>
      <w:r w:rsidRPr="002C5AFF">
        <w:rPr>
          <w:rFonts w:ascii="Garamond" w:hAnsi="Garamond"/>
          <w:i/>
        </w:rPr>
        <w:t>eius</w:t>
      </w:r>
      <w:proofErr w:type="spellEnd"/>
      <w:r w:rsidRPr="002C5AFF">
        <w:rPr>
          <w:rFonts w:ascii="Garamond" w:hAnsi="Garamond"/>
          <w:i/>
        </w:rPr>
        <w:t xml:space="preserve"> </w:t>
      </w:r>
      <w:proofErr w:type="spellStart"/>
      <w:r w:rsidRPr="002C5AFF">
        <w:rPr>
          <w:rFonts w:ascii="Garamond" w:hAnsi="Garamond"/>
          <w:i/>
        </w:rPr>
        <w:t>totius</w:t>
      </w:r>
      <w:proofErr w:type="spellEnd"/>
      <w:r w:rsidRPr="002C5AFF">
        <w:rPr>
          <w:rFonts w:ascii="Garamond" w:hAnsi="Garamond"/>
          <w:i/>
        </w:rPr>
        <w:t xml:space="preserve"> </w:t>
      </w:r>
      <w:proofErr w:type="spellStart"/>
      <w:r w:rsidRPr="002C5AFF">
        <w:rPr>
          <w:rFonts w:ascii="Garamond" w:hAnsi="Garamond"/>
          <w:i/>
        </w:rPr>
        <w:t>rei</w:t>
      </w:r>
      <w:proofErr w:type="spellEnd"/>
      <w:r w:rsidRPr="002C5AFF">
        <w:rPr>
          <w:rFonts w:ascii="Garamond" w:hAnsi="Garamond"/>
          <w:i/>
        </w:rPr>
        <w:t xml:space="preserve"> </w:t>
      </w:r>
      <w:proofErr w:type="spellStart"/>
      <w:r w:rsidRPr="002C5AFF">
        <w:rPr>
          <w:rFonts w:ascii="Garamond" w:hAnsi="Garamond"/>
          <w:i/>
        </w:rPr>
        <w:t>effici</w:t>
      </w:r>
      <w:proofErr w:type="spellEnd"/>
      <w:r w:rsidRPr="002C5AFF">
        <w:rPr>
          <w:rFonts w:ascii="Garamond" w:hAnsi="Garamond"/>
          <w:i/>
        </w:rPr>
        <w:t xml:space="preserve"> </w:t>
      </w:r>
      <w:proofErr w:type="spellStart"/>
      <w:r w:rsidRPr="002C5AFF">
        <w:rPr>
          <w:rFonts w:ascii="Garamond" w:hAnsi="Garamond"/>
          <w:i/>
        </w:rPr>
        <w:t>vereque</w:t>
      </w:r>
      <w:proofErr w:type="spellEnd"/>
      <w:r w:rsidRPr="002C5AFF">
        <w:rPr>
          <w:rFonts w:ascii="Garamond" w:hAnsi="Garamond"/>
          <w:i/>
        </w:rPr>
        <w:t xml:space="preserve"> </w:t>
      </w:r>
      <w:proofErr w:type="spellStart"/>
      <w:r w:rsidRPr="002C5AFF">
        <w:rPr>
          <w:rFonts w:ascii="Garamond" w:hAnsi="Garamond"/>
          <w:i/>
        </w:rPr>
        <w:t>statuam</w:t>
      </w:r>
      <w:proofErr w:type="spellEnd"/>
      <w:r w:rsidRPr="002C5AFF">
        <w:rPr>
          <w:rFonts w:ascii="Garamond" w:hAnsi="Garamond"/>
          <w:i/>
        </w:rPr>
        <w:t xml:space="preserve"> </w:t>
      </w:r>
      <w:proofErr w:type="spellStart"/>
      <w:r w:rsidRPr="002C5AFF">
        <w:rPr>
          <w:rFonts w:ascii="Garamond" w:hAnsi="Garamond"/>
          <w:i/>
        </w:rPr>
        <w:t>suam</w:t>
      </w:r>
      <w:proofErr w:type="spellEnd"/>
      <w:r w:rsidRPr="002C5AFF">
        <w:rPr>
          <w:rFonts w:ascii="Garamond" w:hAnsi="Garamond"/>
          <w:i/>
        </w:rPr>
        <w:t xml:space="preserve"> </w:t>
      </w:r>
      <w:proofErr w:type="spellStart"/>
      <w:r w:rsidRPr="002C5AFF">
        <w:rPr>
          <w:rFonts w:ascii="Garamond" w:hAnsi="Garamond"/>
          <w:i/>
        </w:rPr>
        <w:t>dicturum</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scyphum</w:t>
      </w:r>
      <w:proofErr w:type="spellEnd"/>
      <w:r w:rsidRPr="002C5AFF">
        <w:rPr>
          <w:rFonts w:ascii="Garamond" w:hAnsi="Garamond"/>
          <w:i/>
        </w:rPr>
        <w:t xml:space="preserve"> </w:t>
      </w:r>
      <w:proofErr w:type="spellStart"/>
      <w:r w:rsidRPr="002C5AFF">
        <w:rPr>
          <w:rFonts w:ascii="Garamond" w:hAnsi="Garamond"/>
          <w:i/>
        </w:rPr>
        <w:t>plerique</w:t>
      </w:r>
      <w:proofErr w:type="spellEnd"/>
      <w:r w:rsidRPr="002C5AFF">
        <w:rPr>
          <w:rFonts w:ascii="Garamond" w:hAnsi="Garamond"/>
          <w:i/>
        </w:rPr>
        <w:t xml:space="preserve"> </w:t>
      </w:r>
      <w:proofErr w:type="spellStart"/>
      <w:r w:rsidRPr="002C5AFF">
        <w:rPr>
          <w:rFonts w:ascii="Garamond" w:hAnsi="Garamond"/>
          <w:i/>
        </w:rPr>
        <w:t>recte</w:t>
      </w:r>
      <w:proofErr w:type="spellEnd"/>
      <w:r w:rsidRPr="002C5AFF">
        <w:rPr>
          <w:rFonts w:ascii="Garamond" w:hAnsi="Garamond"/>
          <w:i/>
        </w:rPr>
        <w:t xml:space="preserve"> </w:t>
      </w:r>
      <w:proofErr w:type="spellStart"/>
      <w:r w:rsidRPr="002C5AFF">
        <w:rPr>
          <w:rFonts w:ascii="Garamond" w:hAnsi="Garamond"/>
          <w:i/>
        </w:rPr>
        <w:t>dicunt</w:t>
      </w:r>
      <w:proofErr w:type="spellEnd"/>
      <w:r w:rsidRPr="002C5AFF">
        <w:rPr>
          <w:rFonts w:ascii="Garamond" w:hAnsi="Garamond"/>
          <w:i/>
        </w:rPr>
        <w:t>.“</w:t>
      </w:r>
    </w:p>
  </w:footnote>
  <w:footnote w:id="4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BONFANTE, </w:t>
      </w:r>
      <w:proofErr w:type="spellStart"/>
      <w:r w:rsidRPr="002C5AFF">
        <w:rPr>
          <w:rFonts w:ascii="Garamond" w:hAnsi="Garamond"/>
        </w:rPr>
        <w:t>Pietro</w:t>
      </w:r>
      <w:proofErr w:type="spellEnd"/>
      <w:r w:rsidRPr="002C5AFF">
        <w:rPr>
          <w:rFonts w:ascii="Garamond" w:hAnsi="Garamond"/>
        </w:rPr>
        <w:t xml:space="preserve">. </w:t>
      </w:r>
      <w:r w:rsidRPr="002C5AFF">
        <w:rPr>
          <w:rFonts w:ascii="Garamond" w:hAnsi="Garamond"/>
          <w:i/>
        </w:rPr>
        <w:t>Instituce římského práva</w:t>
      </w:r>
      <w:r w:rsidRPr="002C5AFF">
        <w:rPr>
          <w:rFonts w:ascii="Garamond" w:hAnsi="Garamond"/>
        </w:rPr>
        <w:t xml:space="preserve">. 9. </w:t>
      </w:r>
      <w:proofErr w:type="spellStart"/>
      <w:r w:rsidRPr="002C5AFF">
        <w:rPr>
          <w:rFonts w:ascii="Garamond" w:hAnsi="Garamond"/>
        </w:rPr>
        <w:t>vyd</w:t>
      </w:r>
      <w:proofErr w:type="spellEnd"/>
      <w:r w:rsidRPr="002C5AFF">
        <w:rPr>
          <w:rFonts w:ascii="Garamond" w:hAnsi="Garamond"/>
        </w:rPr>
        <w:t>. Brno: ČS. A. S. Právník. 1932, s. 318.</w:t>
      </w:r>
    </w:p>
  </w:footnote>
  <w:footnote w:id="4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392.</w:t>
      </w:r>
    </w:p>
    <w:p w:rsidR="00646C74" w:rsidRPr="002C5AFF" w:rsidRDefault="00646C74" w:rsidP="002C5AFF">
      <w:pPr>
        <w:pStyle w:val="Textpoznpodarou"/>
        <w:keepNext/>
        <w:jc w:val="both"/>
        <w:rPr>
          <w:rFonts w:ascii="Garamond" w:hAnsi="Garamond"/>
        </w:rPr>
      </w:pPr>
      <w:r w:rsidRPr="002C5AFF">
        <w:rPr>
          <w:rFonts w:ascii="Garamond" w:hAnsi="Garamond"/>
        </w:rPr>
        <w:t xml:space="preserve">Jak ale uvádí </w:t>
      </w:r>
      <w:proofErr w:type="spellStart"/>
      <w:r w:rsidRPr="002C5AFF">
        <w:rPr>
          <w:rFonts w:ascii="Garamond" w:hAnsi="Garamond"/>
        </w:rPr>
        <w:t>Bonfante</w:t>
      </w:r>
      <w:proofErr w:type="spellEnd"/>
      <w:r w:rsidRPr="002C5AFF">
        <w:rPr>
          <w:rFonts w:ascii="Garamond" w:hAnsi="Garamond"/>
        </w:rPr>
        <w:t xml:space="preserve">, za dob klasického procesu bylo potřeba plody vytěžené před </w:t>
      </w:r>
      <w:proofErr w:type="spellStart"/>
      <w:r w:rsidRPr="002C5AFF">
        <w:rPr>
          <w:rFonts w:ascii="Garamond" w:hAnsi="Garamond"/>
        </w:rPr>
        <w:t>litiskontestací</w:t>
      </w:r>
      <w:proofErr w:type="spellEnd"/>
      <w:r w:rsidRPr="002C5AFF">
        <w:rPr>
          <w:rFonts w:ascii="Garamond" w:hAnsi="Garamond"/>
        </w:rPr>
        <w:t xml:space="preserve"> vymáhat zvlášť skrze </w:t>
      </w:r>
      <w:proofErr w:type="spellStart"/>
      <w:r w:rsidRPr="002C5AFF">
        <w:rPr>
          <w:rFonts w:ascii="Garamond" w:hAnsi="Garamond"/>
        </w:rPr>
        <w:t>vindicatio</w:t>
      </w:r>
      <w:proofErr w:type="spellEnd"/>
      <w:r w:rsidRPr="002C5AFF">
        <w:rPr>
          <w:rFonts w:ascii="Garamond" w:hAnsi="Garamond"/>
        </w:rPr>
        <w:t xml:space="preserve"> nebo </w:t>
      </w:r>
      <w:proofErr w:type="spellStart"/>
      <w:r w:rsidRPr="002C5AFF">
        <w:rPr>
          <w:rFonts w:ascii="Garamond" w:hAnsi="Garamond"/>
        </w:rPr>
        <w:t>condictio</w:t>
      </w:r>
      <w:proofErr w:type="spellEnd"/>
      <w:r w:rsidRPr="002C5AFF">
        <w:rPr>
          <w:rFonts w:ascii="Garamond" w:hAnsi="Garamond"/>
        </w:rPr>
        <w:t xml:space="preserve">. (BONFANTE: </w:t>
      </w:r>
      <w:r w:rsidRPr="002C5AFF">
        <w:rPr>
          <w:rFonts w:ascii="Garamond" w:hAnsi="Garamond"/>
          <w:i/>
        </w:rPr>
        <w:t>Instituce římského práva.</w:t>
      </w:r>
      <w:r w:rsidRPr="002C5AFF">
        <w:rPr>
          <w:rFonts w:ascii="Garamond" w:hAnsi="Garamond"/>
        </w:rPr>
        <w:t>, s. 318.)</w:t>
      </w:r>
    </w:p>
  </w:footnote>
  <w:footnote w:id="4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183.</w:t>
      </w:r>
    </w:p>
  </w:footnote>
  <w:footnote w:id="4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6.: </w:t>
      </w:r>
      <w:r w:rsidRPr="002C5AFF">
        <w:rPr>
          <w:rFonts w:ascii="Garamond" w:hAnsi="Garamond"/>
          <w:i/>
        </w:rPr>
        <w:t>„</w:t>
      </w:r>
      <w:proofErr w:type="spellStart"/>
      <w:r w:rsidRPr="002C5AFF">
        <w:rPr>
          <w:rFonts w:ascii="Garamond" w:hAnsi="Garamond"/>
          <w:i/>
        </w:rPr>
        <w:t>Paulus</w:t>
      </w:r>
      <w:proofErr w:type="spellEnd"/>
      <w:r w:rsidRPr="002C5AFF">
        <w:rPr>
          <w:rFonts w:ascii="Garamond" w:hAnsi="Garamond"/>
          <w:i/>
        </w:rPr>
        <w:t xml:space="preserve"> libro sexto ad </w:t>
      </w:r>
      <w:proofErr w:type="spellStart"/>
      <w:r w:rsidRPr="002C5AFF">
        <w:rPr>
          <w:rFonts w:ascii="Garamond" w:hAnsi="Garamond"/>
          <w:i/>
        </w:rPr>
        <w:t>edictum</w:t>
      </w:r>
      <w:proofErr w:type="spellEnd"/>
      <w:r w:rsidRPr="002C5AFF">
        <w:rPr>
          <w:rFonts w:ascii="Garamond" w:hAnsi="Garamond"/>
          <w:i/>
        </w:rPr>
        <w:t xml:space="preserve">. </w:t>
      </w:r>
      <w:proofErr w:type="gramStart"/>
      <w:r w:rsidRPr="002C5AFF">
        <w:rPr>
          <w:rFonts w:ascii="Garamond" w:hAnsi="Garamond"/>
          <w:i/>
        </w:rPr>
        <w:t>Si</w:t>
      </w:r>
      <w:proofErr w:type="gramEnd"/>
      <w:r w:rsidRPr="002C5AFF">
        <w:rPr>
          <w:rFonts w:ascii="Garamond" w:hAnsi="Garamond"/>
          <w:i/>
        </w:rPr>
        <w:t xml:space="preserve"> in </w:t>
      </w:r>
      <w:proofErr w:type="spellStart"/>
      <w:r w:rsidRPr="002C5AFF">
        <w:rPr>
          <w:rFonts w:ascii="Garamond" w:hAnsi="Garamond"/>
          <w:i/>
        </w:rPr>
        <w:t>rem</w:t>
      </w:r>
      <w:proofErr w:type="spellEnd"/>
      <w:r w:rsidRPr="002C5AFF">
        <w:rPr>
          <w:rFonts w:ascii="Garamond" w:hAnsi="Garamond"/>
          <w:i/>
        </w:rPr>
        <w:t xml:space="preserve"> </w:t>
      </w:r>
      <w:proofErr w:type="spellStart"/>
      <w:r w:rsidRPr="002C5AFF">
        <w:rPr>
          <w:rFonts w:ascii="Garamond" w:hAnsi="Garamond"/>
          <w:i/>
        </w:rPr>
        <w:t>aliquis</w:t>
      </w:r>
      <w:proofErr w:type="spellEnd"/>
      <w:r w:rsidRPr="002C5AFF">
        <w:rPr>
          <w:rFonts w:ascii="Garamond" w:hAnsi="Garamond"/>
          <w:i/>
        </w:rPr>
        <w:t xml:space="preserve"> </w:t>
      </w:r>
      <w:proofErr w:type="spellStart"/>
      <w:r w:rsidRPr="002C5AFF">
        <w:rPr>
          <w:rFonts w:ascii="Garamond" w:hAnsi="Garamond"/>
          <w:i/>
        </w:rPr>
        <w:t>agat</w:t>
      </w:r>
      <w:proofErr w:type="spellEnd"/>
      <w:r w:rsidRPr="002C5AFF">
        <w:rPr>
          <w:rFonts w:ascii="Garamond" w:hAnsi="Garamond"/>
          <w:i/>
        </w:rPr>
        <w:t xml:space="preserve">, debet </w:t>
      </w:r>
      <w:proofErr w:type="spellStart"/>
      <w:r w:rsidRPr="002C5AFF">
        <w:rPr>
          <w:rFonts w:ascii="Garamond" w:hAnsi="Garamond"/>
          <w:i/>
        </w:rPr>
        <w:t>designare</w:t>
      </w:r>
      <w:proofErr w:type="spellEnd"/>
      <w:r w:rsidRPr="002C5AFF">
        <w:rPr>
          <w:rFonts w:ascii="Garamond" w:hAnsi="Garamond"/>
          <w:i/>
        </w:rPr>
        <w:t xml:space="preserve"> </w:t>
      </w:r>
      <w:proofErr w:type="spellStart"/>
      <w:r w:rsidRPr="002C5AFF">
        <w:rPr>
          <w:rFonts w:ascii="Garamond" w:hAnsi="Garamond"/>
          <w:i/>
        </w:rPr>
        <w:t>rem</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utrum </w:t>
      </w:r>
      <w:proofErr w:type="spellStart"/>
      <w:r w:rsidRPr="002C5AFF">
        <w:rPr>
          <w:rFonts w:ascii="Garamond" w:hAnsi="Garamond"/>
          <w:i/>
        </w:rPr>
        <w:t>totam</w:t>
      </w:r>
      <w:proofErr w:type="spellEnd"/>
      <w:r w:rsidRPr="002C5AFF">
        <w:rPr>
          <w:rFonts w:ascii="Garamond" w:hAnsi="Garamond"/>
          <w:i/>
        </w:rPr>
        <w:t xml:space="preserve"> </w:t>
      </w:r>
      <w:proofErr w:type="spellStart"/>
      <w:r w:rsidRPr="002C5AFF">
        <w:rPr>
          <w:rFonts w:ascii="Garamond" w:hAnsi="Garamond"/>
          <w:i/>
        </w:rPr>
        <w:t>an</w:t>
      </w:r>
      <w:proofErr w:type="spellEnd"/>
      <w:r w:rsidRPr="002C5AFF">
        <w:rPr>
          <w:rFonts w:ascii="Garamond" w:hAnsi="Garamond"/>
          <w:i/>
        </w:rPr>
        <w:t xml:space="preserve"> partem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quotam</w:t>
      </w:r>
      <w:proofErr w:type="spellEnd"/>
      <w:r w:rsidRPr="002C5AFF">
        <w:rPr>
          <w:rFonts w:ascii="Garamond" w:hAnsi="Garamond"/>
          <w:i/>
        </w:rPr>
        <w:t xml:space="preserve"> </w:t>
      </w:r>
      <w:proofErr w:type="spellStart"/>
      <w:r w:rsidRPr="002C5AFF">
        <w:rPr>
          <w:rFonts w:ascii="Garamond" w:hAnsi="Garamond"/>
          <w:i/>
        </w:rPr>
        <w:t>petat</w:t>
      </w:r>
      <w:proofErr w:type="spellEnd"/>
      <w:r w:rsidRPr="002C5AFF">
        <w:rPr>
          <w:rFonts w:ascii="Garamond" w:hAnsi="Garamond"/>
          <w:i/>
        </w:rPr>
        <w:t xml:space="preserve">: </w:t>
      </w:r>
      <w:proofErr w:type="spellStart"/>
      <w:r w:rsidRPr="002C5AFF">
        <w:rPr>
          <w:rFonts w:ascii="Garamond" w:hAnsi="Garamond"/>
          <w:i/>
        </w:rPr>
        <w:t>appellatio</w:t>
      </w:r>
      <w:proofErr w:type="spellEnd"/>
      <w:r w:rsidRPr="002C5AFF">
        <w:rPr>
          <w:rFonts w:ascii="Garamond" w:hAnsi="Garamond"/>
          <w:i/>
        </w:rPr>
        <w:t xml:space="preserve"> </w:t>
      </w:r>
      <w:proofErr w:type="spellStart"/>
      <w:r w:rsidRPr="002C5AFF">
        <w:rPr>
          <w:rFonts w:ascii="Garamond" w:hAnsi="Garamond"/>
          <w:i/>
        </w:rPr>
        <w:t>enim</w:t>
      </w:r>
      <w:proofErr w:type="spellEnd"/>
      <w:r w:rsidRPr="002C5AFF">
        <w:rPr>
          <w:rFonts w:ascii="Garamond" w:hAnsi="Garamond"/>
          <w:i/>
        </w:rPr>
        <w:t xml:space="preserve"> </w:t>
      </w:r>
      <w:proofErr w:type="spellStart"/>
      <w:r w:rsidRPr="002C5AFF">
        <w:rPr>
          <w:rFonts w:ascii="Garamond" w:hAnsi="Garamond"/>
          <w:i/>
        </w:rPr>
        <w:t>rei</w:t>
      </w:r>
      <w:proofErr w:type="spellEnd"/>
      <w:r w:rsidRPr="002C5AFF">
        <w:rPr>
          <w:rFonts w:ascii="Garamond" w:hAnsi="Garamond"/>
          <w:i/>
        </w:rPr>
        <w:t xml:space="preserve"> non genus, sed </w:t>
      </w:r>
      <w:proofErr w:type="spellStart"/>
      <w:r w:rsidRPr="002C5AFF">
        <w:rPr>
          <w:rFonts w:ascii="Garamond" w:hAnsi="Garamond"/>
          <w:i/>
        </w:rPr>
        <w:t>speciem</w:t>
      </w:r>
      <w:proofErr w:type="spellEnd"/>
      <w:r w:rsidRPr="002C5AFF">
        <w:rPr>
          <w:rFonts w:ascii="Garamond" w:hAnsi="Garamond"/>
          <w:i/>
        </w:rPr>
        <w:t xml:space="preserve"> </w:t>
      </w:r>
      <w:proofErr w:type="spellStart"/>
      <w:r w:rsidRPr="002C5AFF">
        <w:rPr>
          <w:rFonts w:ascii="Garamond" w:hAnsi="Garamond"/>
          <w:i/>
        </w:rPr>
        <w:t>significat</w:t>
      </w:r>
      <w:proofErr w:type="spellEnd"/>
      <w:r w:rsidRPr="002C5AFF">
        <w:rPr>
          <w:rFonts w:ascii="Garamond" w:hAnsi="Garamond"/>
          <w:i/>
        </w:rPr>
        <w:t xml:space="preserve">. </w:t>
      </w:r>
      <w:proofErr w:type="spellStart"/>
      <w:r w:rsidRPr="002C5AFF">
        <w:rPr>
          <w:rFonts w:ascii="Garamond" w:hAnsi="Garamond"/>
          <w:i/>
        </w:rPr>
        <w:t>Octavenus</w:t>
      </w:r>
      <w:proofErr w:type="spellEnd"/>
      <w:r w:rsidRPr="002C5AFF">
        <w:rPr>
          <w:rFonts w:ascii="Garamond" w:hAnsi="Garamond"/>
          <w:i/>
        </w:rPr>
        <w:t xml:space="preserve"> </w:t>
      </w:r>
      <w:proofErr w:type="spellStart"/>
      <w:r w:rsidRPr="002C5AFF">
        <w:rPr>
          <w:rFonts w:ascii="Garamond" w:hAnsi="Garamond"/>
          <w:i/>
        </w:rPr>
        <w:t>ita</w:t>
      </w:r>
      <w:proofErr w:type="spellEnd"/>
      <w:r w:rsidRPr="002C5AFF">
        <w:rPr>
          <w:rFonts w:ascii="Garamond" w:hAnsi="Garamond"/>
          <w:i/>
        </w:rPr>
        <w:t xml:space="preserve"> </w:t>
      </w:r>
      <w:proofErr w:type="spellStart"/>
      <w:r w:rsidRPr="002C5AFF">
        <w:rPr>
          <w:rFonts w:ascii="Garamond" w:hAnsi="Garamond"/>
          <w:i/>
        </w:rPr>
        <w:t>definit</w:t>
      </w:r>
      <w:proofErr w:type="spellEnd"/>
      <w:r w:rsidRPr="002C5AFF">
        <w:rPr>
          <w:rFonts w:ascii="Garamond" w:hAnsi="Garamond"/>
          <w:i/>
        </w:rPr>
        <w:t xml:space="preserve">, </w:t>
      </w:r>
      <w:proofErr w:type="spellStart"/>
      <w:r w:rsidRPr="002C5AFF">
        <w:rPr>
          <w:rFonts w:ascii="Garamond" w:hAnsi="Garamond"/>
          <w:i/>
        </w:rPr>
        <w:t>quod</w:t>
      </w:r>
      <w:proofErr w:type="spellEnd"/>
      <w:r w:rsidRPr="002C5AFF">
        <w:rPr>
          <w:rFonts w:ascii="Garamond" w:hAnsi="Garamond"/>
          <w:i/>
        </w:rPr>
        <w:t xml:space="preserve"> </w:t>
      </w:r>
      <w:proofErr w:type="spellStart"/>
      <w:r w:rsidRPr="002C5AFF">
        <w:rPr>
          <w:rFonts w:ascii="Garamond" w:hAnsi="Garamond"/>
          <w:i/>
        </w:rPr>
        <w:t>infectae</w:t>
      </w:r>
      <w:proofErr w:type="spellEnd"/>
      <w:r w:rsidRPr="002C5AFF">
        <w:rPr>
          <w:rFonts w:ascii="Garamond" w:hAnsi="Garamond"/>
          <w:i/>
        </w:rPr>
        <w:t xml:space="preserve"> </w:t>
      </w:r>
      <w:proofErr w:type="spellStart"/>
      <w:r w:rsidRPr="002C5AFF">
        <w:rPr>
          <w:rFonts w:ascii="Garamond" w:hAnsi="Garamond"/>
          <w:i/>
        </w:rPr>
        <w:t>quidem</w:t>
      </w:r>
      <w:proofErr w:type="spellEnd"/>
      <w:r w:rsidRPr="002C5AFF">
        <w:rPr>
          <w:rFonts w:ascii="Garamond" w:hAnsi="Garamond"/>
          <w:i/>
        </w:rPr>
        <w:t xml:space="preserve"> </w:t>
      </w:r>
      <w:proofErr w:type="spellStart"/>
      <w:r w:rsidRPr="002C5AFF">
        <w:rPr>
          <w:rFonts w:ascii="Garamond" w:hAnsi="Garamond"/>
          <w:i/>
        </w:rPr>
        <w:t>materiae</w:t>
      </w:r>
      <w:proofErr w:type="spellEnd"/>
      <w:r w:rsidRPr="002C5AFF">
        <w:rPr>
          <w:rFonts w:ascii="Garamond" w:hAnsi="Garamond"/>
          <w:i/>
        </w:rPr>
        <w:t xml:space="preserve"> </w:t>
      </w:r>
      <w:proofErr w:type="spellStart"/>
      <w:r w:rsidRPr="002C5AFF">
        <w:rPr>
          <w:rFonts w:ascii="Garamond" w:hAnsi="Garamond"/>
          <w:i/>
        </w:rPr>
        <w:t>pondus</w:t>
      </w:r>
      <w:proofErr w:type="spellEnd"/>
      <w:r w:rsidRPr="002C5AFF">
        <w:rPr>
          <w:rFonts w:ascii="Garamond" w:hAnsi="Garamond"/>
          <w:i/>
        </w:rPr>
        <w:t xml:space="preserve">, </w:t>
      </w:r>
      <w:proofErr w:type="spellStart"/>
      <w:r w:rsidRPr="002C5AFF">
        <w:rPr>
          <w:rFonts w:ascii="Garamond" w:hAnsi="Garamond"/>
          <w:i/>
        </w:rPr>
        <w:t>signatae</w:t>
      </w:r>
      <w:proofErr w:type="spellEnd"/>
      <w:r w:rsidRPr="002C5AFF">
        <w:rPr>
          <w:rFonts w:ascii="Garamond" w:hAnsi="Garamond"/>
          <w:i/>
        </w:rPr>
        <w:t xml:space="preserve"> </w:t>
      </w:r>
      <w:proofErr w:type="spellStart"/>
      <w:r w:rsidRPr="002C5AFF">
        <w:rPr>
          <w:rFonts w:ascii="Garamond" w:hAnsi="Garamond"/>
          <w:i/>
        </w:rPr>
        <w:t>vero</w:t>
      </w:r>
      <w:proofErr w:type="spellEnd"/>
      <w:r w:rsidRPr="002C5AFF">
        <w:rPr>
          <w:rFonts w:ascii="Garamond" w:hAnsi="Garamond"/>
          <w:i/>
        </w:rPr>
        <w:t xml:space="preserve"> </w:t>
      </w:r>
      <w:proofErr w:type="spellStart"/>
      <w:r w:rsidRPr="002C5AFF">
        <w:rPr>
          <w:rFonts w:ascii="Garamond" w:hAnsi="Garamond"/>
          <w:i/>
        </w:rPr>
        <w:t>numerum</w:t>
      </w:r>
      <w:proofErr w:type="spellEnd"/>
      <w:r w:rsidRPr="002C5AFF">
        <w:rPr>
          <w:rFonts w:ascii="Garamond" w:hAnsi="Garamond"/>
          <w:i/>
        </w:rPr>
        <w:t xml:space="preserve">, </w:t>
      </w:r>
      <w:proofErr w:type="spellStart"/>
      <w:r w:rsidRPr="002C5AFF">
        <w:rPr>
          <w:rFonts w:ascii="Garamond" w:hAnsi="Garamond"/>
          <w:i/>
        </w:rPr>
        <w:t>factae</w:t>
      </w:r>
      <w:proofErr w:type="spellEnd"/>
      <w:r w:rsidRPr="002C5AFF">
        <w:rPr>
          <w:rFonts w:ascii="Garamond" w:hAnsi="Garamond"/>
          <w:i/>
        </w:rPr>
        <w:t xml:space="preserve"> autem </w:t>
      </w:r>
      <w:proofErr w:type="spellStart"/>
      <w:r w:rsidRPr="002C5AFF">
        <w:rPr>
          <w:rFonts w:ascii="Garamond" w:hAnsi="Garamond"/>
          <w:i/>
        </w:rPr>
        <w:t>speciem</w:t>
      </w:r>
      <w:proofErr w:type="spellEnd"/>
      <w:r w:rsidRPr="002C5AFF">
        <w:rPr>
          <w:rFonts w:ascii="Garamond" w:hAnsi="Garamond"/>
          <w:i/>
        </w:rPr>
        <w:t xml:space="preserve"> </w:t>
      </w:r>
      <w:proofErr w:type="spellStart"/>
      <w:r w:rsidRPr="002C5AFF">
        <w:rPr>
          <w:rFonts w:ascii="Garamond" w:hAnsi="Garamond"/>
          <w:i/>
        </w:rPr>
        <w:t>dici</w:t>
      </w:r>
      <w:proofErr w:type="spellEnd"/>
      <w:r w:rsidRPr="002C5AFF">
        <w:rPr>
          <w:rFonts w:ascii="Garamond" w:hAnsi="Garamond"/>
          <w:i/>
        </w:rPr>
        <w:t xml:space="preserve"> </w:t>
      </w:r>
      <w:proofErr w:type="spellStart"/>
      <w:r w:rsidRPr="002C5AFF">
        <w:rPr>
          <w:rFonts w:ascii="Garamond" w:hAnsi="Garamond"/>
          <w:i/>
        </w:rPr>
        <w:t>oportet</w:t>
      </w:r>
      <w:proofErr w:type="spellEnd"/>
      <w:r w:rsidRPr="002C5AFF">
        <w:rPr>
          <w:rFonts w:ascii="Garamond" w:hAnsi="Garamond"/>
          <w:i/>
        </w:rPr>
        <w:t xml:space="preserve">: sed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mensura</w:t>
      </w:r>
      <w:proofErr w:type="spellEnd"/>
      <w:r w:rsidRPr="002C5AFF">
        <w:rPr>
          <w:rFonts w:ascii="Garamond" w:hAnsi="Garamond"/>
          <w:i/>
        </w:rPr>
        <w:t xml:space="preserve"> </w:t>
      </w:r>
      <w:proofErr w:type="spellStart"/>
      <w:r w:rsidRPr="002C5AFF">
        <w:rPr>
          <w:rFonts w:ascii="Garamond" w:hAnsi="Garamond"/>
          <w:i/>
        </w:rPr>
        <w:t>dicenda</w:t>
      </w:r>
      <w:proofErr w:type="spellEnd"/>
      <w:r w:rsidRPr="002C5AFF">
        <w:rPr>
          <w:rFonts w:ascii="Garamond" w:hAnsi="Garamond"/>
          <w:i/>
        </w:rPr>
        <w:t xml:space="preserve"> </w:t>
      </w:r>
      <w:proofErr w:type="spellStart"/>
      <w:r w:rsidRPr="002C5AFF">
        <w:rPr>
          <w:rFonts w:ascii="Garamond" w:hAnsi="Garamond"/>
          <w:i/>
        </w:rPr>
        <w:t>erit</w:t>
      </w:r>
      <w:proofErr w:type="spellEnd"/>
      <w:r w:rsidRPr="002C5AFF">
        <w:rPr>
          <w:rFonts w:ascii="Garamond" w:hAnsi="Garamond"/>
          <w:i/>
        </w:rPr>
        <w:t xml:space="preserve">, </w:t>
      </w:r>
      <w:proofErr w:type="spellStart"/>
      <w:r w:rsidRPr="002C5AFF">
        <w:rPr>
          <w:rFonts w:ascii="Garamond" w:hAnsi="Garamond"/>
          <w:i/>
        </w:rPr>
        <w:t>cum</w:t>
      </w:r>
      <w:proofErr w:type="spellEnd"/>
      <w:r w:rsidRPr="002C5AFF">
        <w:rPr>
          <w:rFonts w:ascii="Garamond" w:hAnsi="Garamond"/>
          <w:i/>
        </w:rPr>
        <w:t xml:space="preserve"> res </w:t>
      </w:r>
      <w:proofErr w:type="spellStart"/>
      <w:r w:rsidRPr="002C5AFF">
        <w:rPr>
          <w:rFonts w:ascii="Garamond" w:hAnsi="Garamond"/>
          <w:i/>
        </w:rPr>
        <w:t>mensura</w:t>
      </w:r>
      <w:proofErr w:type="spellEnd"/>
      <w:r w:rsidRPr="002C5AFF">
        <w:rPr>
          <w:rFonts w:ascii="Garamond" w:hAnsi="Garamond"/>
          <w:i/>
        </w:rPr>
        <w:t xml:space="preserve"> </w:t>
      </w:r>
      <w:proofErr w:type="spellStart"/>
      <w:r w:rsidRPr="002C5AFF">
        <w:rPr>
          <w:rFonts w:ascii="Garamond" w:hAnsi="Garamond"/>
          <w:i/>
        </w:rPr>
        <w:t>continebitur</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si </w:t>
      </w:r>
      <w:proofErr w:type="spellStart"/>
      <w:r w:rsidRPr="002C5AFF">
        <w:rPr>
          <w:rFonts w:ascii="Garamond" w:hAnsi="Garamond"/>
          <w:i/>
        </w:rPr>
        <w:t>vestimenta</w:t>
      </w:r>
      <w:proofErr w:type="spellEnd"/>
      <w:r w:rsidRPr="002C5AFF">
        <w:rPr>
          <w:rFonts w:ascii="Garamond" w:hAnsi="Garamond"/>
          <w:i/>
        </w:rPr>
        <w:t xml:space="preserve"> </w:t>
      </w:r>
      <w:proofErr w:type="spellStart"/>
      <w:r w:rsidRPr="002C5AFF">
        <w:rPr>
          <w:rFonts w:ascii="Garamond" w:hAnsi="Garamond"/>
          <w:i/>
        </w:rPr>
        <w:t>nostra</w:t>
      </w:r>
      <w:proofErr w:type="spellEnd"/>
      <w:r w:rsidRPr="002C5AFF">
        <w:rPr>
          <w:rFonts w:ascii="Garamond" w:hAnsi="Garamond"/>
          <w:i/>
        </w:rPr>
        <w:t xml:space="preserve"> </w:t>
      </w:r>
      <w:proofErr w:type="spellStart"/>
      <w:r w:rsidRPr="002C5AFF">
        <w:rPr>
          <w:rFonts w:ascii="Garamond" w:hAnsi="Garamond"/>
          <w:i/>
        </w:rPr>
        <w:t>esse</w:t>
      </w:r>
      <w:proofErr w:type="spellEnd"/>
      <w:r w:rsidRPr="002C5AFF">
        <w:rPr>
          <w:rFonts w:ascii="Garamond" w:hAnsi="Garamond"/>
          <w:i/>
        </w:rPr>
        <w:t xml:space="preserve"> vel </w:t>
      </w:r>
      <w:proofErr w:type="spellStart"/>
      <w:r w:rsidRPr="002C5AFF">
        <w:rPr>
          <w:rFonts w:ascii="Garamond" w:hAnsi="Garamond"/>
          <w:i/>
        </w:rPr>
        <w:t>dari</w:t>
      </w:r>
      <w:proofErr w:type="spellEnd"/>
      <w:r w:rsidRPr="002C5AFF">
        <w:rPr>
          <w:rFonts w:ascii="Garamond" w:hAnsi="Garamond"/>
          <w:i/>
        </w:rPr>
        <w:t xml:space="preserve"> </w:t>
      </w:r>
      <w:proofErr w:type="spellStart"/>
      <w:r w:rsidRPr="002C5AFF">
        <w:rPr>
          <w:rFonts w:ascii="Garamond" w:hAnsi="Garamond"/>
          <w:i/>
        </w:rPr>
        <w:t>oportere</w:t>
      </w:r>
      <w:proofErr w:type="spellEnd"/>
      <w:r w:rsidRPr="002C5AFF">
        <w:rPr>
          <w:rFonts w:ascii="Garamond" w:hAnsi="Garamond"/>
          <w:i/>
        </w:rPr>
        <w:t xml:space="preserve"> </w:t>
      </w:r>
      <w:proofErr w:type="spellStart"/>
      <w:r w:rsidRPr="002C5AFF">
        <w:rPr>
          <w:rFonts w:ascii="Garamond" w:hAnsi="Garamond"/>
          <w:i/>
        </w:rPr>
        <w:t>nobis</w:t>
      </w:r>
      <w:proofErr w:type="spellEnd"/>
      <w:r w:rsidRPr="002C5AFF">
        <w:rPr>
          <w:rFonts w:ascii="Garamond" w:hAnsi="Garamond"/>
          <w:i/>
        </w:rPr>
        <w:t xml:space="preserve"> </w:t>
      </w:r>
      <w:proofErr w:type="spellStart"/>
      <w:r w:rsidRPr="002C5AFF">
        <w:rPr>
          <w:rFonts w:ascii="Garamond" w:hAnsi="Garamond"/>
          <w:i/>
        </w:rPr>
        <w:t>petamus</w:t>
      </w:r>
      <w:proofErr w:type="spellEnd"/>
      <w:r w:rsidRPr="002C5AFF">
        <w:rPr>
          <w:rFonts w:ascii="Garamond" w:hAnsi="Garamond"/>
          <w:i/>
        </w:rPr>
        <w:t xml:space="preserve">, utrum </w:t>
      </w:r>
      <w:proofErr w:type="spellStart"/>
      <w:r w:rsidRPr="002C5AFF">
        <w:rPr>
          <w:rFonts w:ascii="Garamond" w:hAnsi="Garamond"/>
          <w:i/>
        </w:rPr>
        <w:t>numerum</w:t>
      </w:r>
      <w:proofErr w:type="spellEnd"/>
      <w:r w:rsidRPr="002C5AFF">
        <w:rPr>
          <w:rFonts w:ascii="Garamond" w:hAnsi="Garamond"/>
          <w:i/>
        </w:rPr>
        <w:t xml:space="preserve"> </w:t>
      </w:r>
      <w:proofErr w:type="spellStart"/>
      <w:r w:rsidRPr="002C5AFF">
        <w:rPr>
          <w:rFonts w:ascii="Garamond" w:hAnsi="Garamond"/>
          <w:i/>
        </w:rPr>
        <w:t>eorum</w:t>
      </w:r>
      <w:proofErr w:type="spellEnd"/>
      <w:r w:rsidRPr="002C5AFF">
        <w:rPr>
          <w:rFonts w:ascii="Garamond" w:hAnsi="Garamond"/>
          <w:i/>
        </w:rPr>
        <w:t xml:space="preserve"> </w:t>
      </w:r>
      <w:proofErr w:type="spellStart"/>
      <w:r w:rsidRPr="002C5AFF">
        <w:rPr>
          <w:rFonts w:ascii="Garamond" w:hAnsi="Garamond"/>
          <w:i/>
        </w:rPr>
        <w:t>dicere</w:t>
      </w:r>
      <w:proofErr w:type="spellEnd"/>
      <w:r w:rsidRPr="002C5AFF">
        <w:rPr>
          <w:rFonts w:ascii="Garamond" w:hAnsi="Garamond"/>
          <w:i/>
        </w:rPr>
        <w:t xml:space="preserve"> </w:t>
      </w:r>
      <w:proofErr w:type="spellStart"/>
      <w:r w:rsidRPr="002C5AFF">
        <w:rPr>
          <w:rFonts w:ascii="Garamond" w:hAnsi="Garamond"/>
          <w:i/>
        </w:rPr>
        <w:t>debebimus</w:t>
      </w:r>
      <w:proofErr w:type="spellEnd"/>
      <w:r w:rsidRPr="002C5AFF">
        <w:rPr>
          <w:rFonts w:ascii="Garamond" w:hAnsi="Garamond"/>
          <w:i/>
        </w:rPr>
        <w:t xml:space="preserve"> </w:t>
      </w:r>
      <w:proofErr w:type="spellStart"/>
      <w:r w:rsidRPr="002C5AFF">
        <w:rPr>
          <w:rFonts w:ascii="Garamond" w:hAnsi="Garamond"/>
          <w:i/>
        </w:rPr>
        <w:t>an</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colorem</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w:t>
      </w:r>
      <w:proofErr w:type="spellStart"/>
      <w:r w:rsidRPr="002C5AFF">
        <w:rPr>
          <w:rFonts w:ascii="Garamond" w:hAnsi="Garamond"/>
          <w:i/>
        </w:rPr>
        <w:t>magis</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ut</w:t>
      </w:r>
      <w:proofErr w:type="spellEnd"/>
      <w:r w:rsidRPr="002C5AFF">
        <w:rPr>
          <w:rFonts w:ascii="Garamond" w:hAnsi="Garamond"/>
          <w:i/>
        </w:rPr>
        <w:t xml:space="preserve"> </w:t>
      </w:r>
      <w:proofErr w:type="spellStart"/>
      <w:r w:rsidRPr="002C5AFF">
        <w:rPr>
          <w:rFonts w:ascii="Garamond" w:hAnsi="Garamond"/>
          <w:i/>
        </w:rPr>
        <w:t>utrumque</w:t>
      </w:r>
      <w:proofErr w:type="spellEnd"/>
      <w:r w:rsidRPr="002C5AFF">
        <w:rPr>
          <w:rFonts w:ascii="Garamond" w:hAnsi="Garamond"/>
          <w:i/>
        </w:rPr>
        <w:t xml:space="preserve">: </w:t>
      </w:r>
      <w:proofErr w:type="spellStart"/>
      <w:r w:rsidRPr="002C5AFF">
        <w:rPr>
          <w:rFonts w:ascii="Garamond" w:hAnsi="Garamond"/>
          <w:i/>
        </w:rPr>
        <w:t>nam</w:t>
      </w:r>
      <w:proofErr w:type="spellEnd"/>
      <w:r w:rsidRPr="002C5AFF">
        <w:rPr>
          <w:rFonts w:ascii="Garamond" w:hAnsi="Garamond"/>
          <w:i/>
        </w:rPr>
        <w:t xml:space="preserve"> </w:t>
      </w:r>
      <w:proofErr w:type="spellStart"/>
      <w:r w:rsidRPr="002C5AFF">
        <w:rPr>
          <w:rFonts w:ascii="Garamond" w:hAnsi="Garamond"/>
          <w:i/>
        </w:rPr>
        <w:t>illud</w:t>
      </w:r>
      <w:proofErr w:type="spellEnd"/>
      <w:r w:rsidRPr="002C5AFF">
        <w:rPr>
          <w:rFonts w:ascii="Garamond" w:hAnsi="Garamond"/>
          <w:i/>
        </w:rPr>
        <w:t xml:space="preserve"> </w:t>
      </w:r>
      <w:proofErr w:type="spellStart"/>
      <w:r w:rsidRPr="002C5AFF">
        <w:rPr>
          <w:rFonts w:ascii="Garamond" w:hAnsi="Garamond"/>
          <w:i/>
        </w:rPr>
        <w:t>inhumanum</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cogi</w:t>
      </w:r>
      <w:proofErr w:type="spellEnd"/>
      <w:r w:rsidRPr="002C5AFF">
        <w:rPr>
          <w:rFonts w:ascii="Garamond" w:hAnsi="Garamond"/>
          <w:i/>
        </w:rPr>
        <w:t xml:space="preserve"> nos </w:t>
      </w:r>
      <w:proofErr w:type="spellStart"/>
      <w:r w:rsidRPr="002C5AFF">
        <w:rPr>
          <w:rFonts w:ascii="Garamond" w:hAnsi="Garamond"/>
          <w:i/>
        </w:rPr>
        <w:t>dicere</w:t>
      </w:r>
      <w:proofErr w:type="spellEnd"/>
      <w:r w:rsidRPr="002C5AFF">
        <w:rPr>
          <w:rFonts w:ascii="Garamond" w:hAnsi="Garamond"/>
          <w:i/>
        </w:rPr>
        <w:t xml:space="preserve">, </w:t>
      </w:r>
      <w:proofErr w:type="spellStart"/>
      <w:r w:rsidRPr="002C5AFF">
        <w:rPr>
          <w:rFonts w:ascii="Garamond" w:hAnsi="Garamond"/>
          <w:i/>
        </w:rPr>
        <w:t>trita</w:t>
      </w:r>
      <w:proofErr w:type="spellEnd"/>
      <w:r w:rsidRPr="002C5AFF">
        <w:rPr>
          <w:rFonts w:ascii="Garamond" w:hAnsi="Garamond"/>
          <w:i/>
        </w:rPr>
        <w:t xml:space="preserve"> </w:t>
      </w:r>
      <w:proofErr w:type="spellStart"/>
      <w:r w:rsidRPr="002C5AFF">
        <w:rPr>
          <w:rFonts w:ascii="Garamond" w:hAnsi="Garamond"/>
          <w:i/>
        </w:rPr>
        <w:t>sint</w:t>
      </w:r>
      <w:proofErr w:type="spellEnd"/>
      <w:r w:rsidRPr="002C5AFF">
        <w:rPr>
          <w:rFonts w:ascii="Garamond" w:hAnsi="Garamond"/>
          <w:i/>
        </w:rPr>
        <w:t xml:space="preserve"> </w:t>
      </w:r>
      <w:proofErr w:type="spellStart"/>
      <w:r w:rsidRPr="002C5AFF">
        <w:rPr>
          <w:rFonts w:ascii="Garamond" w:hAnsi="Garamond"/>
          <w:i/>
        </w:rPr>
        <w:t>an</w:t>
      </w:r>
      <w:proofErr w:type="spellEnd"/>
      <w:r w:rsidRPr="002C5AFF">
        <w:rPr>
          <w:rFonts w:ascii="Garamond" w:hAnsi="Garamond"/>
          <w:i/>
        </w:rPr>
        <w:t xml:space="preserve"> nova. </w:t>
      </w:r>
      <w:proofErr w:type="spellStart"/>
      <w:r w:rsidRPr="002C5AFF">
        <w:rPr>
          <w:rFonts w:ascii="Garamond" w:hAnsi="Garamond"/>
          <w:i/>
        </w:rPr>
        <w:t>Quamvis</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in </w:t>
      </w:r>
      <w:proofErr w:type="spellStart"/>
      <w:r w:rsidRPr="002C5AFF">
        <w:rPr>
          <w:rFonts w:ascii="Garamond" w:hAnsi="Garamond"/>
          <w:i/>
        </w:rPr>
        <w:t>vasis</w:t>
      </w:r>
      <w:proofErr w:type="spellEnd"/>
      <w:r w:rsidRPr="002C5AFF">
        <w:rPr>
          <w:rFonts w:ascii="Garamond" w:hAnsi="Garamond"/>
          <w:i/>
        </w:rPr>
        <w:t xml:space="preserve"> </w:t>
      </w:r>
      <w:proofErr w:type="spellStart"/>
      <w:r w:rsidRPr="002C5AFF">
        <w:rPr>
          <w:rFonts w:ascii="Garamond" w:hAnsi="Garamond"/>
          <w:i/>
        </w:rPr>
        <w:t>occurrat</w:t>
      </w:r>
      <w:proofErr w:type="spellEnd"/>
      <w:r w:rsidRPr="002C5AFF">
        <w:rPr>
          <w:rFonts w:ascii="Garamond" w:hAnsi="Garamond"/>
          <w:i/>
        </w:rPr>
        <w:t xml:space="preserve"> </w:t>
      </w:r>
      <w:proofErr w:type="spellStart"/>
      <w:r w:rsidRPr="002C5AFF">
        <w:rPr>
          <w:rFonts w:ascii="Garamond" w:hAnsi="Garamond"/>
          <w:i/>
        </w:rPr>
        <w:t>difficultas</w:t>
      </w:r>
      <w:proofErr w:type="spellEnd"/>
      <w:r w:rsidRPr="002C5AFF">
        <w:rPr>
          <w:rFonts w:ascii="Garamond" w:hAnsi="Garamond"/>
          <w:i/>
        </w:rPr>
        <w:t xml:space="preserve">, utrum </w:t>
      </w:r>
      <w:proofErr w:type="spellStart"/>
      <w:r w:rsidRPr="002C5AFF">
        <w:rPr>
          <w:rFonts w:ascii="Garamond" w:hAnsi="Garamond"/>
          <w:i/>
        </w:rPr>
        <w:t>lancem</w:t>
      </w:r>
      <w:proofErr w:type="spellEnd"/>
      <w:r w:rsidRPr="002C5AFF">
        <w:rPr>
          <w:rFonts w:ascii="Garamond" w:hAnsi="Garamond"/>
          <w:i/>
        </w:rPr>
        <w:t xml:space="preserve"> </w:t>
      </w:r>
      <w:proofErr w:type="spellStart"/>
      <w:r w:rsidRPr="002C5AFF">
        <w:rPr>
          <w:rFonts w:ascii="Garamond" w:hAnsi="Garamond"/>
          <w:i/>
        </w:rPr>
        <w:t>dumtaxat</w:t>
      </w:r>
      <w:proofErr w:type="spellEnd"/>
      <w:r w:rsidRPr="002C5AFF">
        <w:rPr>
          <w:rFonts w:ascii="Garamond" w:hAnsi="Garamond"/>
          <w:i/>
        </w:rPr>
        <w:t xml:space="preserve"> </w:t>
      </w:r>
      <w:proofErr w:type="spellStart"/>
      <w:r w:rsidRPr="002C5AFF">
        <w:rPr>
          <w:rFonts w:ascii="Garamond" w:hAnsi="Garamond"/>
          <w:i/>
        </w:rPr>
        <w:t>dici</w:t>
      </w:r>
      <w:proofErr w:type="spellEnd"/>
      <w:r w:rsidRPr="002C5AFF">
        <w:rPr>
          <w:rFonts w:ascii="Garamond" w:hAnsi="Garamond"/>
          <w:i/>
        </w:rPr>
        <w:t xml:space="preserve"> </w:t>
      </w:r>
      <w:proofErr w:type="spellStart"/>
      <w:r w:rsidRPr="002C5AFF">
        <w:rPr>
          <w:rFonts w:ascii="Garamond" w:hAnsi="Garamond"/>
          <w:i/>
        </w:rPr>
        <w:t>oporteat</w:t>
      </w:r>
      <w:proofErr w:type="spellEnd"/>
      <w:r w:rsidRPr="002C5AFF">
        <w:rPr>
          <w:rFonts w:ascii="Garamond" w:hAnsi="Garamond"/>
          <w:i/>
        </w:rPr>
        <w:t xml:space="preserve"> </w:t>
      </w:r>
      <w:proofErr w:type="spellStart"/>
      <w:r w:rsidRPr="002C5AFF">
        <w:rPr>
          <w:rFonts w:ascii="Garamond" w:hAnsi="Garamond"/>
          <w:i/>
        </w:rPr>
        <w:t>an</w:t>
      </w:r>
      <w:proofErr w:type="spellEnd"/>
      <w:r w:rsidRPr="002C5AFF">
        <w:rPr>
          <w:rFonts w:ascii="Garamond" w:hAnsi="Garamond"/>
          <w:i/>
        </w:rPr>
        <w:t xml:space="preserve"> </w:t>
      </w:r>
      <w:proofErr w:type="spellStart"/>
      <w:r w:rsidRPr="002C5AFF">
        <w:rPr>
          <w:rFonts w:ascii="Garamond" w:hAnsi="Garamond"/>
          <w:i/>
        </w:rPr>
        <w:t>etiam</w:t>
      </w:r>
      <w:proofErr w:type="spellEnd"/>
      <w:r w:rsidRPr="002C5AFF">
        <w:rPr>
          <w:rFonts w:ascii="Garamond" w:hAnsi="Garamond"/>
          <w:i/>
        </w:rPr>
        <w:t xml:space="preserve">, </w:t>
      </w:r>
      <w:proofErr w:type="spellStart"/>
      <w:r w:rsidRPr="002C5AFF">
        <w:rPr>
          <w:rFonts w:ascii="Garamond" w:hAnsi="Garamond"/>
          <w:i/>
        </w:rPr>
        <w:t>quadrata</w:t>
      </w:r>
      <w:proofErr w:type="spellEnd"/>
      <w:r w:rsidRPr="002C5AFF">
        <w:rPr>
          <w:rFonts w:ascii="Garamond" w:hAnsi="Garamond"/>
          <w:i/>
        </w:rPr>
        <w:t xml:space="preserve"> vel </w:t>
      </w:r>
      <w:proofErr w:type="spellStart"/>
      <w:r w:rsidRPr="002C5AFF">
        <w:rPr>
          <w:rFonts w:ascii="Garamond" w:hAnsi="Garamond"/>
          <w:i/>
        </w:rPr>
        <w:t>rutunda</w:t>
      </w:r>
      <w:proofErr w:type="spellEnd"/>
      <w:r w:rsidRPr="002C5AFF">
        <w:rPr>
          <w:rFonts w:ascii="Garamond" w:hAnsi="Garamond"/>
          <w:i/>
        </w:rPr>
        <w:t xml:space="preserve">, vel </w:t>
      </w:r>
      <w:proofErr w:type="spellStart"/>
      <w:r w:rsidRPr="002C5AFF">
        <w:rPr>
          <w:rFonts w:ascii="Garamond" w:hAnsi="Garamond"/>
          <w:i/>
        </w:rPr>
        <w:t>pura</w:t>
      </w:r>
      <w:proofErr w:type="spellEnd"/>
      <w:r w:rsidRPr="002C5AFF">
        <w:rPr>
          <w:rFonts w:ascii="Garamond" w:hAnsi="Garamond"/>
          <w:i/>
        </w:rPr>
        <w:t xml:space="preserve"> </w:t>
      </w:r>
      <w:proofErr w:type="spellStart"/>
      <w:r w:rsidRPr="002C5AFF">
        <w:rPr>
          <w:rFonts w:ascii="Garamond" w:hAnsi="Garamond"/>
          <w:i/>
        </w:rPr>
        <w:t>an</w:t>
      </w:r>
      <w:proofErr w:type="spellEnd"/>
      <w:r w:rsidRPr="002C5AFF">
        <w:rPr>
          <w:rFonts w:ascii="Garamond" w:hAnsi="Garamond"/>
          <w:i/>
        </w:rPr>
        <w:t xml:space="preserve"> </w:t>
      </w:r>
      <w:proofErr w:type="spellStart"/>
      <w:r w:rsidRPr="002C5AFF">
        <w:rPr>
          <w:rFonts w:ascii="Garamond" w:hAnsi="Garamond"/>
          <w:i/>
        </w:rPr>
        <w:t>caelata</w:t>
      </w:r>
      <w:proofErr w:type="spellEnd"/>
      <w:r w:rsidRPr="002C5AFF">
        <w:rPr>
          <w:rFonts w:ascii="Garamond" w:hAnsi="Garamond"/>
          <w:i/>
        </w:rPr>
        <w:t xml:space="preserve"> </w:t>
      </w:r>
      <w:proofErr w:type="spellStart"/>
      <w:r w:rsidRPr="002C5AFF">
        <w:rPr>
          <w:rFonts w:ascii="Garamond" w:hAnsi="Garamond"/>
          <w:i/>
        </w:rPr>
        <w:t>sint</w:t>
      </w:r>
      <w:proofErr w:type="spellEnd"/>
      <w:r w:rsidRPr="002C5AFF">
        <w:rPr>
          <w:rFonts w:ascii="Garamond" w:hAnsi="Garamond"/>
          <w:i/>
        </w:rPr>
        <w:t xml:space="preserve">, </w:t>
      </w:r>
      <w:proofErr w:type="spellStart"/>
      <w:r w:rsidRPr="002C5AFF">
        <w:rPr>
          <w:rFonts w:ascii="Garamond" w:hAnsi="Garamond"/>
          <w:i/>
        </w:rPr>
        <w:t>quae</w:t>
      </w:r>
      <w:proofErr w:type="spellEnd"/>
      <w:r w:rsidRPr="002C5AFF">
        <w:rPr>
          <w:rFonts w:ascii="Garamond" w:hAnsi="Garamond"/>
          <w:i/>
        </w:rPr>
        <w:t xml:space="preserve"> </w:t>
      </w:r>
      <w:proofErr w:type="spellStart"/>
      <w:r w:rsidRPr="002C5AFF">
        <w:rPr>
          <w:rFonts w:ascii="Garamond" w:hAnsi="Garamond"/>
          <w:i/>
        </w:rPr>
        <w:t>ipsa</w:t>
      </w:r>
      <w:proofErr w:type="spellEnd"/>
      <w:r w:rsidRPr="002C5AFF">
        <w:rPr>
          <w:rFonts w:ascii="Garamond" w:hAnsi="Garamond"/>
          <w:i/>
        </w:rPr>
        <w:t xml:space="preserve"> in </w:t>
      </w:r>
      <w:proofErr w:type="spellStart"/>
      <w:r w:rsidRPr="002C5AFF">
        <w:rPr>
          <w:rFonts w:ascii="Garamond" w:hAnsi="Garamond"/>
          <w:i/>
        </w:rPr>
        <w:t>petitionibus</w:t>
      </w:r>
      <w:proofErr w:type="spellEnd"/>
      <w:r w:rsidRPr="002C5AFF">
        <w:rPr>
          <w:rFonts w:ascii="Garamond" w:hAnsi="Garamond"/>
          <w:i/>
        </w:rPr>
        <w:t xml:space="preserve"> </w:t>
      </w:r>
      <w:proofErr w:type="spellStart"/>
      <w:r w:rsidRPr="002C5AFF">
        <w:rPr>
          <w:rFonts w:ascii="Garamond" w:hAnsi="Garamond"/>
          <w:i/>
        </w:rPr>
        <w:t>quoque</w:t>
      </w:r>
      <w:proofErr w:type="spellEnd"/>
      <w:r w:rsidRPr="002C5AFF">
        <w:rPr>
          <w:rFonts w:ascii="Garamond" w:hAnsi="Garamond"/>
          <w:i/>
        </w:rPr>
        <w:t xml:space="preserve"> </w:t>
      </w:r>
      <w:proofErr w:type="spellStart"/>
      <w:r w:rsidRPr="002C5AFF">
        <w:rPr>
          <w:rFonts w:ascii="Garamond" w:hAnsi="Garamond"/>
          <w:i/>
        </w:rPr>
        <w:t>adicere</w:t>
      </w:r>
      <w:proofErr w:type="spellEnd"/>
      <w:r w:rsidRPr="002C5AFF">
        <w:rPr>
          <w:rFonts w:ascii="Garamond" w:hAnsi="Garamond"/>
          <w:i/>
        </w:rPr>
        <w:t xml:space="preserve"> </w:t>
      </w:r>
      <w:proofErr w:type="spellStart"/>
      <w:r w:rsidRPr="002C5AFF">
        <w:rPr>
          <w:rFonts w:ascii="Garamond" w:hAnsi="Garamond"/>
          <w:i/>
        </w:rPr>
        <w:t>difficile</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Nec</w:t>
      </w:r>
      <w:proofErr w:type="spellEnd"/>
      <w:r w:rsidRPr="002C5AFF">
        <w:rPr>
          <w:rFonts w:ascii="Garamond" w:hAnsi="Garamond"/>
          <w:i/>
        </w:rPr>
        <w:t xml:space="preserve"> </w:t>
      </w:r>
      <w:proofErr w:type="spellStart"/>
      <w:r w:rsidRPr="002C5AFF">
        <w:rPr>
          <w:rFonts w:ascii="Garamond" w:hAnsi="Garamond"/>
          <w:i/>
        </w:rPr>
        <w:t>ita</w:t>
      </w:r>
      <w:proofErr w:type="spellEnd"/>
      <w:r w:rsidRPr="002C5AFF">
        <w:rPr>
          <w:rFonts w:ascii="Garamond" w:hAnsi="Garamond"/>
          <w:i/>
        </w:rPr>
        <w:t xml:space="preserve"> </w:t>
      </w:r>
      <w:proofErr w:type="spellStart"/>
      <w:r w:rsidRPr="002C5AFF">
        <w:rPr>
          <w:rFonts w:ascii="Garamond" w:hAnsi="Garamond"/>
          <w:i/>
        </w:rPr>
        <w:t>coartanda</w:t>
      </w:r>
      <w:proofErr w:type="spellEnd"/>
      <w:r w:rsidRPr="002C5AFF">
        <w:rPr>
          <w:rFonts w:ascii="Garamond" w:hAnsi="Garamond"/>
          <w:i/>
        </w:rPr>
        <w:t xml:space="preserve"> res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licet</w:t>
      </w:r>
      <w:proofErr w:type="spellEnd"/>
      <w:r w:rsidRPr="002C5AFF">
        <w:rPr>
          <w:rFonts w:ascii="Garamond" w:hAnsi="Garamond"/>
          <w:i/>
        </w:rPr>
        <w:t xml:space="preserve"> in </w:t>
      </w:r>
      <w:proofErr w:type="spellStart"/>
      <w:r w:rsidRPr="002C5AFF">
        <w:rPr>
          <w:rFonts w:ascii="Garamond" w:hAnsi="Garamond"/>
          <w:i/>
        </w:rPr>
        <w:t>petendo</w:t>
      </w:r>
      <w:proofErr w:type="spellEnd"/>
      <w:r w:rsidRPr="002C5AFF">
        <w:rPr>
          <w:rFonts w:ascii="Garamond" w:hAnsi="Garamond"/>
          <w:i/>
        </w:rPr>
        <w:t xml:space="preserve"> </w:t>
      </w:r>
      <w:proofErr w:type="spellStart"/>
      <w:r w:rsidRPr="002C5AFF">
        <w:rPr>
          <w:rFonts w:ascii="Garamond" w:hAnsi="Garamond"/>
          <w:i/>
        </w:rPr>
        <w:t>homine</w:t>
      </w:r>
      <w:proofErr w:type="spellEnd"/>
      <w:r w:rsidRPr="002C5AFF">
        <w:rPr>
          <w:rFonts w:ascii="Garamond" w:hAnsi="Garamond"/>
          <w:i/>
        </w:rPr>
        <w:t xml:space="preserve"> nomen </w:t>
      </w:r>
      <w:proofErr w:type="spellStart"/>
      <w:r w:rsidRPr="002C5AFF">
        <w:rPr>
          <w:rFonts w:ascii="Garamond" w:hAnsi="Garamond"/>
          <w:i/>
        </w:rPr>
        <w:t>eius</w:t>
      </w:r>
      <w:proofErr w:type="spellEnd"/>
      <w:r w:rsidRPr="002C5AFF">
        <w:rPr>
          <w:rFonts w:ascii="Garamond" w:hAnsi="Garamond"/>
          <w:i/>
        </w:rPr>
        <w:t xml:space="preserve"> </w:t>
      </w:r>
      <w:proofErr w:type="spellStart"/>
      <w:r w:rsidRPr="002C5AFF">
        <w:rPr>
          <w:rFonts w:ascii="Garamond" w:hAnsi="Garamond"/>
          <w:i/>
        </w:rPr>
        <w:t>dici</w:t>
      </w:r>
      <w:proofErr w:type="spellEnd"/>
      <w:r w:rsidRPr="002C5AFF">
        <w:rPr>
          <w:rFonts w:ascii="Garamond" w:hAnsi="Garamond"/>
          <w:i/>
        </w:rPr>
        <w:t xml:space="preserve"> </w:t>
      </w:r>
      <w:proofErr w:type="spellStart"/>
      <w:r w:rsidRPr="002C5AFF">
        <w:rPr>
          <w:rFonts w:ascii="Garamond" w:hAnsi="Garamond"/>
          <w:i/>
        </w:rPr>
        <w:t>debeat</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utrum </w:t>
      </w:r>
      <w:proofErr w:type="spellStart"/>
      <w:r w:rsidRPr="002C5AFF">
        <w:rPr>
          <w:rFonts w:ascii="Garamond" w:hAnsi="Garamond"/>
          <w:i/>
        </w:rPr>
        <w:t>puer</w:t>
      </w:r>
      <w:proofErr w:type="spellEnd"/>
      <w:r w:rsidRPr="002C5AFF">
        <w:rPr>
          <w:rFonts w:ascii="Garamond" w:hAnsi="Garamond"/>
          <w:i/>
        </w:rPr>
        <w:t xml:space="preserve"> </w:t>
      </w:r>
      <w:proofErr w:type="spellStart"/>
      <w:r w:rsidRPr="002C5AFF">
        <w:rPr>
          <w:rFonts w:ascii="Garamond" w:hAnsi="Garamond"/>
          <w:i/>
        </w:rPr>
        <w:t>an</w:t>
      </w:r>
      <w:proofErr w:type="spellEnd"/>
      <w:r w:rsidRPr="002C5AFF">
        <w:rPr>
          <w:rFonts w:ascii="Garamond" w:hAnsi="Garamond"/>
          <w:i/>
        </w:rPr>
        <w:t xml:space="preserve"> </w:t>
      </w:r>
      <w:proofErr w:type="spellStart"/>
      <w:r w:rsidRPr="002C5AFF">
        <w:rPr>
          <w:rFonts w:ascii="Garamond" w:hAnsi="Garamond"/>
          <w:i/>
        </w:rPr>
        <w:t>adulescens</w:t>
      </w:r>
      <w:proofErr w:type="spellEnd"/>
      <w:r w:rsidRPr="002C5AFF">
        <w:rPr>
          <w:rFonts w:ascii="Garamond" w:hAnsi="Garamond"/>
          <w:i/>
        </w:rPr>
        <w:t xml:space="preserve"> </w:t>
      </w:r>
      <w:proofErr w:type="spellStart"/>
      <w:r w:rsidRPr="002C5AFF">
        <w:rPr>
          <w:rFonts w:ascii="Garamond" w:hAnsi="Garamond"/>
          <w:i/>
        </w:rPr>
        <w:t>sit</w:t>
      </w:r>
      <w:proofErr w:type="spellEnd"/>
      <w:r w:rsidRPr="002C5AFF">
        <w:rPr>
          <w:rFonts w:ascii="Garamond" w:hAnsi="Garamond"/>
          <w:i/>
        </w:rPr>
        <w:t xml:space="preserve">, </w:t>
      </w:r>
      <w:proofErr w:type="spellStart"/>
      <w:r w:rsidRPr="002C5AFF">
        <w:rPr>
          <w:rFonts w:ascii="Garamond" w:hAnsi="Garamond"/>
          <w:i/>
        </w:rPr>
        <w:t>utique</w:t>
      </w:r>
      <w:proofErr w:type="spellEnd"/>
      <w:r w:rsidRPr="002C5AFF">
        <w:rPr>
          <w:rFonts w:ascii="Garamond" w:hAnsi="Garamond"/>
          <w:i/>
        </w:rPr>
        <w:t xml:space="preserve"> si </w:t>
      </w:r>
      <w:proofErr w:type="spellStart"/>
      <w:r w:rsidRPr="002C5AFF">
        <w:rPr>
          <w:rFonts w:ascii="Garamond" w:hAnsi="Garamond"/>
          <w:i/>
        </w:rPr>
        <w:t>plures</w:t>
      </w:r>
      <w:proofErr w:type="spellEnd"/>
      <w:r w:rsidRPr="002C5AFF">
        <w:rPr>
          <w:rFonts w:ascii="Garamond" w:hAnsi="Garamond"/>
          <w:i/>
        </w:rPr>
        <w:t xml:space="preserve"> </w:t>
      </w:r>
      <w:proofErr w:type="spellStart"/>
      <w:r w:rsidRPr="002C5AFF">
        <w:rPr>
          <w:rFonts w:ascii="Garamond" w:hAnsi="Garamond"/>
          <w:i/>
        </w:rPr>
        <w:t>sint</w:t>
      </w:r>
      <w:proofErr w:type="spellEnd"/>
      <w:r w:rsidRPr="002C5AFF">
        <w:rPr>
          <w:rFonts w:ascii="Garamond" w:hAnsi="Garamond"/>
          <w:i/>
        </w:rPr>
        <w:t xml:space="preserve">: sed si nomen </w:t>
      </w:r>
      <w:proofErr w:type="spellStart"/>
      <w:r w:rsidRPr="002C5AFF">
        <w:rPr>
          <w:rFonts w:ascii="Garamond" w:hAnsi="Garamond"/>
          <w:i/>
        </w:rPr>
        <w:t>eius</w:t>
      </w:r>
      <w:proofErr w:type="spellEnd"/>
      <w:r w:rsidRPr="002C5AFF">
        <w:rPr>
          <w:rFonts w:ascii="Garamond" w:hAnsi="Garamond"/>
          <w:i/>
        </w:rPr>
        <w:t xml:space="preserve"> </w:t>
      </w:r>
      <w:proofErr w:type="spellStart"/>
      <w:r w:rsidRPr="002C5AFF">
        <w:rPr>
          <w:rFonts w:ascii="Garamond" w:hAnsi="Garamond"/>
          <w:i/>
        </w:rPr>
        <w:t>ignorem</w:t>
      </w:r>
      <w:proofErr w:type="spellEnd"/>
      <w:r w:rsidRPr="002C5AFF">
        <w:rPr>
          <w:rFonts w:ascii="Garamond" w:hAnsi="Garamond"/>
          <w:i/>
        </w:rPr>
        <w:t xml:space="preserve">, </w:t>
      </w:r>
      <w:proofErr w:type="spellStart"/>
      <w:r w:rsidRPr="002C5AFF">
        <w:rPr>
          <w:rFonts w:ascii="Garamond" w:hAnsi="Garamond"/>
          <w:i/>
        </w:rPr>
        <w:t>demonstratione</w:t>
      </w:r>
      <w:proofErr w:type="spellEnd"/>
      <w:r w:rsidRPr="002C5AFF">
        <w:rPr>
          <w:rFonts w:ascii="Garamond" w:hAnsi="Garamond"/>
          <w:i/>
        </w:rPr>
        <w:t xml:space="preserve"> </w:t>
      </w:r>
      <w:proofErr w:type="spellStart"/>
      <w:r w:rsidRPr="002C5AFF">
        <w:rPr>
          <w:rFonts w:ascii="Garamond" w:hAnsi="Garamond"/>
          <w:i/>
        </w:rPr>
        <w:t>eius</w:t>
      </w:r>
      <w:proofErr w:type="spellEnd"/>
      <w:r w:rsidRPr="002C5AFF">
        <w:rPr>
          <w:rFonts w:ascii="Garamond" w:hAnsi="Garamond"/>
          <w:i/>
        </w:rPr>
        <w:t xml:space="preserve"> </w:t>
      </w:r>
      <w:proofErr w:type="spellStart"/>
      <w:r w:rsidRPr="002C5AFF">
        <w:rPr>
          <w:rFonts w:ascii="Garamond" w:hAnsi="Garamond"/>
          <w:i/>
        </w:rPr>
        <w:t>utendum</w:t>
      </w:r>
      <w:proofErr w:type="spellEnd"/>
      <w:r w:rsidRPr="002C5AFF">
        <w:rPr>
          <w:rFonts w:ascii="Garamond" w:hAnsi="Garamond"/>
          <w:i/>
        </w:rPr>
        <w:t xml:space="preserve"> </w:t>
      </w:r>
      <w:proofErr w:type="spellStart"/>
      <w:r w:rsidRPr="002C5AFF">
        <w:rPr>
          <w:rFonts w:ascii="Garamond" w:hAnsi="Garamond"/>
          <w:i/>
        </w:rPr>
        <w:t>erit</w:t>
      </w:r>
      <w:proofErr w:type="spellEnd"/>
      <w:r w:rsidRPr="002C5AFF">
        <w:rPr>
          <w:rFonts w:ascii="Garamond" w:hAnsi="Garamond"/>
          <w:i/>
        </w:rPr>
        <w:t xml:space="preserve">: </w:t>
      </w:r>
      <w:proofErr w:type="spellStart"/>
      <w:r w:rsidRPr="002C5AFF">
        <w:rPr>
          <w:rFonts w:ascii="Garamond" w:hAnsi="Garamond"/>
          <w:i/>
        </w:rPr>
        <w:t>veluti</w:t>
      </w:r>
      <w:proofErr w:type="spellEnd"/>
      <w:r w:rsidRPr="002C5AFF">
        <w:rPr>
          <w:rFonts w:ascii="Garamond" w:hAnsi="Garamond"/>
          <w:i/>
        </w:rPr>
        <w:t xml:space="preserve"> "</w:t>
      </w:r>
      <w:proofErr w:type="spellStart"/>
      <w:r w:rsidRPr="002C5AFF">
        <w:rPr>
          <w:rFonts w:ascii="Garamond" w:hAnsi="Garamond"/>
          <w:i/>
        </w:rPr>
        <w:t>qui</w:t>
      </w:r>
      <w:proofErr w:type="spellEnd"/>
      <w:r w:rsidRPr="002C5AFF">
        <w:rPr>
          <w:rFonts w:ascii="Garamond" w:hAnsi="Garamond"/>
          <w:i/>
        </w:rPr>
        <w:t xml:space="preserve"> ex </w:t>
      </w:r>
      <w:proofErr w:type="spellStart"/>
      <w:r w:rsidRPr="002C5AFF">
        <w:rPr>
          <w:rFonts w:ascii="Garamond" w:hAnsi="Garamond"/>
          <w:i/>
        </w:rPr>
        <w:t>illa</w:t>
      </w:r>
      <w:proofErr w:type="spellEnd"/>
      <w:r w:rsidRPr="002C5AFF">
        <w:rPr>
          <w:rFonts w:ascii="Garamond" w:hAnsi="Garamond"/>
          <w:i/>
        </w:rPr>
        <w:t xml:space="preserve"> </w:t>
      </w:r>
      <w:proofErr w:type="spellStart"/>
      <w:r w:rsidRPr="002C5AFF">
        <w:rPr>
          <w:rFonts w:ascii="Garamond" w:hAnsi="Garamond"/>
          <w:i/>
        </w:rPr>
        <w:t>hereditate</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w:t>
      </w:r>
      <w:proofErr w:type="spellStart"/>
      <w:r w:rsidRPr="002C5AFF">
        <w:rPr>
          <w:rFonts w:ascii="Garamond" w:hAnsi="Garamond"/>
          <w:i/>
        </w:rPr>
        <w:t>qui</w:t>
      </w:r>
      <w:proofErr w:type="spellEnd"/>
      <w:r w:rsidRPr="002C5AFF">
        <w:rPr>
          <w:rFonts w:ascii="Garamond" w:hAnsi="Garamond"/>
          <w:i/>
        </w:rPr>
        <w:t xml:space="preserve"> ex </w:t>
      </w:r>
      <w:proofErr w:type="spellStart"/>
      <w:r w:rsidRPr="002C5AFF">
        <w:rPr>
          <w:rFonts w:ascii="Garamond" w:hAnsi="Garamond"/>
          <w:i/>
        </w:rPr>
        <w:t>illa</w:t>
      </w:r>
      <w:proofErr w:type="spellEnd"/>
      <w:r w:rsidRPr="002C5AFF">
        <w:rPr>
          <w:rFonts w:ascii="Garamond" w:hAnsi="Garamond"/>
          <w:i/>
        </w:rPr>
        <w:t xml:space="preserve"> </w:t>
      </w:r>
      <w:proofErr w:type="spellStart"/>
      <w:r w:rsidRPr="002C5AFF">
        <w:rPr>
          <w:rFonts w:ascii="Garamond" w:hAnsi="Garamond"/>
          <w:i/>
        </w:rPr>
        <w:t>natus</w:t>
      </w:r>
      <w:proofErr w:type="spellEnd"/>
      <w:r w:rsidRPr="002C5AFF">
        <w:rPr>
          <w:rFonts w:ascii="Garamond" w:hAnsi="Garamond"/>
          <w:i/>
        </w:rPr>
        <w:t xml:space="preserve"> </w:t>
      </w:r>
      <w:proofErr w:type="spellStart"/>
      <w:r w:rsidRPr="002C5AFF">
        <w:rPr>
          <w:rFonts w:ascii="Garamond" w:hAnsi="Garamond"/>
          <w:i/>
        </w:rPr>
        <w:t>est</w:t>
      </w:r>
      <w:proofErr w:type="spellEnd"/>
      <w:r w:rsidRPr="002C5AFF">
        <w:rPr>
          <w:rFonts w:ascii="Garamond" w:hAnsi="Garamond"/>
          <w:i/>
        </w:rPr>
        <w:t xml:space="preserve">". </w:t>
      </w:r>
      <w:proofErr w:type="spellStart"/>
      <w:r w:rsidRPr="002C5AFF">
        <w:rPr>
          <w:rFonts w:ascii="Garamond" w:hAnsi="Garamond"/>
          <w:i/>
        </w:rPr>
        <w:t>Item</w:t>
      </w:r>
      <w:proofErr w:type="spellEnd"/>
      <w:r w:rsidRPr="002C5AFF">
        <w:rPr>
          <w:rFonts w:ascii="Garamond" w:hAnsi="Garamond"/>
          <w:i/>
        </w:rPr>
        <w:t xml:space="preserve"> </w:t>
      </w:r>
      <w:proofErr w:type="spellStart"/>
      <w:r w:rsidRPr="002C5AFF">
        <w:rPr>
          <w:rFonts w:ascii="Garamond" w:hAnsi="Garamond"/>
          <w:i/>
        </w:rPr>
        <w:t>fundum</w:t>
      </w:r>
      <w:proofErr w:type="spellEnd"/>
      <w:r w:rsidRPr="002C5AFF">
        <w:rPr>
          <w:rFonts w:ascii="Garamond" w:hAnsi="Garamond"/>
          <w:i/>
        </w:rPr>
        <w:t xml:space="preserve"> </w:t>
      </w:r>
      <w:proofErr w:type="spellStart"/>
      <w:r w:rsidRPr="002C5AFF">
        <w:rPr>
          <w:rFonts w:ascii="Garamond" w:hAnsi="Garamond"/>
          <w:i/>
        </w:rPr>
        <w:t>petiturus</w:t>
      </w:r>
      <w:proofErr w:type="spellEnd"/>
      <w:r w:rsidRPr="002C5AFF">
        <w:rPr>
          <w:rFonts w:ascii="Garamond" w:hAnsi="Garamond"/>
          <w:i/>
        </w:rPr>
        <w:t xml:space="preserve"> nomen </w:t>
      </w:r>
      <w:proofErr w:type="spellStart"/>
      <w:r w:rsidRPr="002C5AFF">
        <w:rPr>
          <w:rFonts w:ascii="Garamond" w:hAnsi="Garamond"/>
          <w:i/>
        </w:rPr>
        <w:t>eius</w:t>
      </w:r>
      <w:proofErr w:type="spellEnd"/>
      <w:r w:rsidRPr="002C5AFF">
        <w:rPr>
          <w:rFonts w:ascii="Garamond" w:hAnsi="Garamond"/>
          <w:i/>
        </w:rPr>
        <w:t xml:space="preserve"> </w:t>
      </w:r>
      <w:proofErr w:type="spellStart"/>
      <w:r w:rsidRPr="002C5AFF">
        <w:rPr>
          <w:rFonts w:ascii="Garamond" w:hAnsi="Garamond"/>
          <w:i/>
        </w:rPr>
        <w:t>et</w:t>
      </w:r>
      <w:proofErr w:type="spellEnd"/>
      <w:r w:rsidRPr="002C5AFF">
        <w:rPr>
          <w:rFonts w:ascii="Garamond" w:hAnsi="Garamond"/>
          <w:i/>
        </w:rPr>
        <w:t xml:space="preserve"> quo </w:t>
      </w:r>
      <w:proofErr w:type="spellStart"/>
      <w:r w:rsidRPr="002C5AFF">
        <w:rPr>
          <w:rFonts w:ascii="Garamond" w:hAnsi="Garamond"/>
          <w:i/>
        </w:rPr>
        <w:t>loci</w:t>
      </w:r>
      <w:proofErr w:type="spellEnd"/>
      <w:r w:rsidRPr="002C5AFF">
        <w:rPr>
          <w:rFonts w:ascii="Garamond" w:hAnsi="Garamond"/>
          <w:i/>
        </w:rPr>
        <w:t xml:space="preserve"> </w:t>
      </w:r>
      <w:proofErr w:type="spellStart"/>
      <w:r w:rsidRPr="002C5AFF">
        <w:rPr>
          <w:rFonts w:ascii="Garamond" w:hAnsi="Garamond"/>
          <w:i/>
        </w:rPr>
        <w:t>sit</w:t>
      </w:r>
      <w:proofErr w:type="spellEnd"/>
      <w:r w:rsidRPr="002C5AFF">
        <w:rPr>
          <w:rFonts w:ascii="Garamond" w:hAnsi="Garamond"/>
          <w:i/>
        </w:rPr>
        <w:t xml:space="preserve"> </w:t>
      </w:r>
      <w:proofErr w:type="spellStart"/>
      <w:r w:rsidRPr="002C5AFF">
        <w:rPr>
          <w:rFonts w:ascii="Garamond" w:hAnsi="Garamond"/>
          <w:i/>
        </w:rPr>
        <w:t>dicere</w:t>
      </w:r>
      <w:proofErr w:type="spellEnd"/>
      <w:r w:rsidRPr="002C5AFF">
        <w:rPr>
          <w:rFonts w:ascii="Garamond" w:hAnsi="Garamond"/>
          <w:i/>
        </w:rPr>
        <w:t xml:space="preserve"> </w:t>
      </w:r>
      <w:proofErr w:type="spellStart"/>
      <w:r w:rsidRPr="002C5AFF">
        <w:rPr>
          <w:rFonts w:ascii="Garamond" w:hAnsi="Garamond"/>
          <w:i/>
        </w:rPr>
        <w:t>debebit</w:t>
      </w:r>
      <w:proofErr w:type="spellEnd"/>
      <w:r w:rsidRPr="002C5AFF">
        <w:rPr>
          <w:rFonts w:ascii="Garamond" w:hAnsi="Garamond"/>
          <w:i/>
        </w:rPr>
        <w:t>.“</w:t>
      </w:r>
    </w:p>
  </w:footnote>
  <w:footnote w:id="4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5. 4.: </w:t>
      </w:r>
      <w:r w:rsidRPr="002C5AFF">
        <w:rPr>
          <w:rFonts w:ascii="Garamond" w:hAnsi="Garamond"/>
          <w:i/>
        </w:rPr>
        <w:t>„</w:t>
      </w:r>
      <w:proofErr w:type="spellStart"/>
      <w:r w:rsidRPr="002C5AFF">
        <w:rPr>
          <w:rFonts w:ascii="Garamond" w:hAnsi="Garamond"/>
          <w:i/>
        </w:rPr>
        <w:t>Cum</w:t>
      </w:r>
      <w:proofErr w:type="spellEnd"/>
      <w:r w:rsidRPr="002C5AFF">
        <w:rPr>
          <w:rFonts w:ascii="Garamond" w:hAnsi="Garamond"/>
          <w:i/>
        </w:rPr>
        <w:t xml:space="preserve"> in </w:t>
      </w:r>
      <w:proofErr w:type="spellStart"/>
      <w:r w:rsidRPr="002C5AFF">
        <w:rPr>
          <w:rFonts w:ascii="Garamond" w:hAnsi="Garamond"/>
          <w:i/>
        </w:rPr>
        <w:t>rem</w:t>
      </w:r>
      <w:proofErr w:type="spellEnd"/>
      <w:r w:rsidRPr="002C5AFF">
        <w:rPr>
          <w:rFonts w:ascii="Garamond" w:hAnsi="Garamond"/>
          <w:i/>
        </w:rPr>
        <w:t xml:space="preserve"> </w:t>
      </w:r>
      <w:proofErr w:type="spellStart"/>
      <w:r w:rsidRPr="002C5AFF">
        <w:rPr>
          <w:rFonts w:ascii="Garamond" w:hAnsi="Garamond"/>
          <w:i/>
        </w:rPr>
        <w:t>agatur</w:t>
      </w:r>
      <w:proofErr w:type="spellEnd"/>
      <w:r w:rsidRPr="002C5AFF">
        <w:rPr>
          <w:rFonts w:ascii="Garamond" w:hAnsi="Garamond"/>
          <w:i/>
        </w:rPr>
        <w:t xml:space="preserve">, si de </w:t>
      </w:r>
      <w:proofErr w:type="spellStart"/>
      <w:r w:rsidRPr="002C5AFF">
        <w:rPr>
          <w:rFonts w:ascii="Garamond" w:hAnsi="Garamond"/>
          <w:i/>
        </w:rPr>
        <w:t>corpore</w:t>
      </w:r>
      <w:proofErr w:type="spellEnd"/>
      <w:r w:rsidRPr="002C5AFF">
        <w:rPr>
          <w:rFonts w:ascii="Garamond" w:hAnsi="Garamond"/>
          <w:i/>
        </w:rPr>
        <w:t xml:space="preserve"> </w:t>
      </w:r>
      <w:proofErr w:type="spellStart"/>
      <w:r w:rsidRPr="002C5AFF">
        <w:rPr>
          <w:rFonts w:ascii="Garamond" w:hAnsi="Garamond"/>
          <w:i/>
        </w:rPr>
        <w:t>conveniat</w:t>
      </w:r>
      <w:proofErr w:type="spellEnd"/>
      <w:r w:rsidRPr="002C5AFF">
        <w:rPr>
          <w:rFonts w:ascii="Garamond" w:hAnsi="Garamond"/>
          <w:i/>
        </w:rPr>
        <w:t xml:space="preserve">, </w:t>
      </w:r>
      <w:proofErr w:type="spellStart"/>
      <w:r w:rsidRPr="002C5AFF">
        <w:rPr>
          <w:rFonts w:ascii="Garamond" w:hAnsi="Garamond"/>
          <w:i/>
        </w:rPr>
        <w:t>error</w:t>
      </w:r>
      <w:proofErr w:type="spellEnd"/>
      <w:r w:rsidRPr="002C5AFF">
        <w:rPr>
          <w:rFonts w:ascii="Garamond" w:hAnsi="Garamond"/>
          <w:i/>
        </w:rPr>
        <w:t xml:space="preserve"> autem </w:t>
      </w:r>
      <w:proofErr w:type="spellStart"/>
      <w:r w:rsidRPr="002C5AFF">
        <w:rPr>
          <w:rFonts w:ascii="Garamond" w:hAnsi="Garamond"/>
          <w:i/>
        </w:rPr>
        <w:t>sit</w:t>
      </w:r>
      <w:proofErr w:type="spellEnd"/>
      <w:r w:rsidRPr="002C5AFF">
        <w:rPr>
          <w:rFonts w:ascii="Garamond" w:hAnsi="Garamond"/>
          <w:i/>
        </w:rPr>
        <w:t xml:space="preserve"> in </w:t>
      </w:r>
      <w:proofErr w:type="spellStart"/>
      <w:r w:rsidRPr="002C5AFF">
        <w:rPr>
          <w:rFonts w:ascii="Garamond" w:hAnsi="Garamond"/>
          <w:i/>
        </w:rPr>
        <w:t>vocabulo</w:t>
      </w:r>
      <w:proofErr w:type="spellEnd"/>
      <w:r w:rsidRPr="002C5AFF">
        <w:rPr>
          <w:rFonts w:ascii="Garamond" w:hAnsi="Garamond"/>
          <w:i/>
        </w:rPr>
        <w:t xml:space="preserve">, </w:t>
      </w:r>
      <w:proofErr w:type="spellStart"/>
      <w:r w:rsidRPr="002C5AFF">
        <w:rPr>
          <w:rFonts w:ascii="Garamond" w:hAnsi="Garamond"/>
          <w:i/>
        </w:rPr>
        <w:t>recte</w:t>
      </w:r>
      <w:proofErr w:type="spellEnd"/>
      <w:r w:rsidRPr="002C5AFF">
        <w:rPr>
          <w:rFonts w:ascii="Garamond" w:hAnsi="Garamond"/>
          <w:i/>
        </w:rPr>
        <w:t xml:space="preserve"> </w:t>
      </w:r>
      <w:proofErr w:type="spellStart"/>
      <w:r w:rsidRPr="002C5AFF">
        <w:rPr>
          <w:rFonts w:ascii="Garamond" w:hAnsi="Garamond"/>
          <w:i/>
        </w:rPr>
        <w:t>actum</w:t>
      </w:r>
      <w:proofErr w:type="spellEnd"/>
      <w:r w:rsidRPr="002C5AFF">
        <w:rPr>
          <w:rFonts w:ascii="Garamond" w:hAnsi="Garamond"/>
          <w:i/>
        </w:rPr>
        <w:t xml:space="preserve"> </w:t>
      </w:r>
      <w:proofErr w:type="spellStart"/>
      <w:r w:rsidRPr="002C5AFF">
        <w:rPr>
          <w:rFonts w:ascii="Garamond" w:hAnsi="Garamond"/>
          <w:i/>
        </w:rPr>
        <w:t>esse</w:t>
      </w:r>
      <w:proofErr w:type="spellEnd"/>
      <w:r w:rsidRPr="002C5AFF">
        <w:rPr>
          <w:rFonts w:ascii="Garamond" w:hAnsi="Garamond"/>
          <w:i/>
        </w:rPr>
        <w:t xml:space="preserve"> </w:t>
      </w:r>
      <w:proofErr w:type="spellStart"/>
      <w:r w:rsidRPr="002C5AFF">
        <w:rPr>
          <w:rFonts w:ascii="Garamond" w:hAnsi="Garamond"/>
          <w:i/>
        </w:rPr>
        <w:t>videtur</w:t>
      </w:r>
      <w:proofErr w:type="spellEnd"/>
      <w:r w:rsidRPr="002C5AFF">
        <w:rPr>
          <w:rFonts w:ascii="Garamond" w:hAnsi="Garamond"/>
          <w:i/>
        </w:rPr>
        <w:t>.“</w:t>
      </w:r>
    </w:p>
    <w:p w:rsidR="00646C74" w:rsidRPr="002C5AFF" w:rsidRDefault="00646C74" w:rsidP="002C5AFF">
      <w:pPr>
        <w:pStyle w:val="Textpoznpodarou"/>
        <w:keepNext/>
        <w:jc w:val="both"/>
        <w:rPr>
          <w:rFonts w:ascii="Garamond" w:hAnsi="Garamond"/>
        </w:rPr>
      </w:pPr>
      <w:r w:rsidRPr="002C5AFF">
        <w:rPr>
          <w:rFonts w:ascii="Garamond" w:hAnsi="Garamond"/>
        </w:rPr>
        <w:t xml:space="preserve">D 6. 1. 5. 5.: </w:t>
      </w:r>
      <w:r w:rsidRPr="002C5AFF">
        <w:rPr>
          <w:rFonts w:ascii="Garamond" w:hAnsi="Garamond"/>
          <w:i/>
        </w:rPr>
        <w:t>„</w:t>
      </w:r>
      <w:proofErr w:type="gramStart"/>
      <w:r w:rsidRPr="002C5AFF">
        <w:rPr>
          <w:rFonts w:ascii="Garamond" w:hAnsi="Garamond"/>
          <w:i/>
        </w:rPr>
        <w:t>Si</w:t>
      </w:r>
      <w:proofErr w:type="gramEnd"/>
      <w:r w:rsidRPr="002C5AFF">
        <w:rPr>
          <w:rFonts w:ascii="Garamond" w:hAnsi="Garamond"/>
          <w:i/>
        </w:rPr>
        <w:t xml:space="preserve"> </w:t>
      </w:r>
      <w:proofErr w:type="spellStart"/>
      <w:r w:rsidRPr="002C5AFF">
        <w:rPr>
          <w:rFonts w:ascii="Garamond" w:hAnsi="Garamond"/>
          <w:i/>
        </w:rPr>
        <w:t>plures</w:t>
      </w:r>
      <w:proofErr w:type="spellEnd"/>
      <w:r w:rsidRPr="002C5AFF">
        <w:rPr>
          <w:rFonts w:ascii="Garamond" w:hAnsi="Garamond"/>
          <w:i/>
        </w:rPr>
        <w:t xml:space="preserve"> </w:t>
      </w:r>
      <w:proofErr w:type="spellStart"/>
      <w:r w:rsidRPr="002C5AFF">
        <w:rPr>
          <w:rFonts w:ascii="Garamond" w:hAnsi="Garamond"/>
          <w:i/>
        </w:rPr>
        <w:t>sint</w:t>
      </w:r>
      <w:proofErr w:type="spellEnd"/>
      <w:r w:rsidRPr="002C5AFF">
        <w:rPr>
          <w:rFonts w:ascii="Garamond" w:hAnsi="Garamond"/>
          <w:i/>
        </w:rPr>
        <w:t xml:space="preserve"> </w:t>
      </w:r>
      <w:proofErr w:type="spellStart"/>
      <w:r w:rsidRPr="002C5AFF">
        <w:rPr>
          <w:rFonts w:ascii="Garamond" w:hAnsi="Garamond"/>
          <w:i/>
        </w:rPr>
        <w:t>eiusdem</w:t>
      </w:r>
      <w:proofErr w:type="spellEnd"/>
      <w:r w:rsidRPr="002C5AFF">
        <w:rPr>
          <w:rFonts w:ascii="Garamond" w:hAnsi="Garamond"/>
          <w:i/>
        </w:rPr>
        <w:t xml:space="preserve"> </w:t>
      </w:r>
      <w:proofErr w:type="spellStart"/>
      <w:r w:rsidRPr="002C5AFF">
        <w:rPr>
          <w:rFonts w:ascii="Garamond" w:hAnsi="Garamond"/>
          <w:i/>
        </w:rPr>
        <w:t>nominis</w:t>
      </w:r>
      <w:proofErr w:type="spellEnd"/>
      <w:r w:rsidRPr="002C5AFF">
        <w:rPr>
          <w:rFonts w:ascii="Garamond" w:hAnsi="Garamond"/>
          <w:i/>
        </w:rPr>
        <w:t xml:space="preserve"> servi, puta </w:t>
      </w:r>
      <w:proofErr w:type="spellStart"/>
      <w:r w:rsidRPr="002C5AFF">
        <w:rPr>
          <w:rFonts w:ascii="Garamond" w:hAnsi="Garamond"/>
          <w:i/>
        </w:rPr>
        <w:t>plures</w:t>
      </w:r>
      <w:proofErr w:type="spellEnd"/>
      <w:r w:rsidRPr="002C5AFF">
        <w:rPr>
          <w:rFonts w:ascii="Garamond" w:hAnsi="Garamond"/>
          <w:i/>
        </w:rPr>
        <w:t xml:space="preserve"> </w:t>
      </w:r>
      <w:proofErr w:type="spellStart"/>
      <w:r w:rsidRPr="002C5AFF">
        <w:rPr>
          <w:rFonts w:ascii="Garamond" w:hAnsi="Garamond"/>
          <w:i/>
        </w:rPr>
        <w:t>erotes</w:t>
      </w:r>
      <w:proofErr w:type="spellEnd"/>
      <w:r w:rsidRPr="002C5AFF">
        <w:rPr>
          <w:rFonts w:ascii="Garamond" w:hAnsi="Garamond"/>
          <w:i/>
        </w:rPr>
        <w:t xml:space="preserve">, </w:t>
      </w:r>
      <w:proofErr w:type="spellStart"/>
      <w:r w:rsidRPr="002C5AFF">
        <w:rPr>
          <w:rFonts w:ascii="Garamond" w:hAnsi="Garamond"/>
          <w:i/>
        </w:rPr>
        <w:t>nec</w:t>
      </w:r>
      <w:proofErr w:type="spellEnd"/>
      <w:r w:rsidRPr="002C5AFF">
        <w:rPr>
          <w:rFonts w:ascii="Garamond" w:hAnsi="Garamond"/>
          <w:i/>
        </w:rPr>
        <w:t xml:space="preserve"> </w:t>
      </w:r>
      <w:proofErr w:type="spellStart"/>
      <w:r w:rsidRPr="002C5AFF">
        <w:rPr>
          <w:rFonts w:ascii="Garamond" w:hAnsi="Garamond"/>
          <w:i/>
        </w:rPr>
        <w:t>appareat</w:t>
      </w:r>
      <w:proofErr w:type="spellEnd"/>
      <w:r w:rsidRPr="002C5AFF">
        <w:rPr>
          <w:rFonts w:ascii="Garamond" w:hAnsi="Garamond"/>
          <w:i/>
        </w:rPr>
        <w:t xml:space="preserve"> de quo </w:t>
      </w:r>
      <w:proofErr w:type="spellStart"/>
      <w:r w:rsidRPr="002C5AFF">
        <w:rPr>
          <w:rFonts w:ascii="Garamond" w:hAnsi="Garamond"/>
          <w:i/>
        </w:rPr>
        <w:t>actum</w:t>
      </w:r>
      <w:proofErr w:type="spellEnd"/>
      <w:r w:rsidRPr="002C5AFF">
        <w:rPr>
          <w:rFonts w:ascii="Garamond" w:hAnsi="Garamond"/>
          <w:i/>
        </w:rPr>
        <w:t xml:space="preserve"> </w:t>
      </w:r>
      <w:proofErr w:type="spellStart"/>
      <w:r w:rsidRPr="002C5AFF">
        <w:rPr>
          <w:rFonts w:ascii="Garamond" w:hAnsi="Garamond"/>
          <w:i/>
        </w:rPr>
        <w:t>sit</w:t>
      </w:r>
      <w:proofErr w:type="spellEnd"/>
      <w:r w:rsidRPr="002C5AFF">
        <w:rPr>
          <w:rFonts w:ascii="Garamond" w:hAnsi="Garamond"/>
          <w:i/>
        </w:rPr>
        <w:t xml:space="preserve">, </w:t>
      </w:r>
      <w:proofErr w:type="spellStart"/>
      <w:r w:rsidRPr="002C5AFF">
        <w:rPr>
          <w:rFonts w:ascii="Garamond" w:hAnsi="Garamond"/>
          <w:i/>
        </w:rPr>
        <w:t>Pomponius</w:t>
      </w:r>
      <w:proofErr w:type="spellEnd"/>
      <w:r w:rsidRPr="002C5AFF">
        <w:rPr>
          <w:rFonts w:ascii="Garamond" w:hAnsi="Garamond"/>
          <w:i/>
        </w:rPr>
        <w:t xml:space="preserve"> </w:t>
      </w:r>
      <w:proofErr w:type="spellStart"/>
      <w:r w:rsidRPr="002C5AFF">
        <w:rPr>
          <w:rFonts w:ascii="Garamond" w:hAnsi="Garamond"/>
          <w:i/>
        </w:rPr>
        <w:t>dicit</w:t>
      </w:r>
      <w:proofErr w:type="spellEnd"/>
      <w:r w:rsidRPr="002C5AFF">
        <w:rPr>
          <w:rFonts w:ascii="Garamond" w:hAnsi="Garamond"/>
          <w:i/>
        </w:rPr>
        <w:t xml:space="preserve"> </w:t>
      </w:r>
      <w:proofErr w:type="spellStart"/>
      <w:r w:rsidRPr="002C5AFF">
        <w:rPr>
          <w:rFonts w:ascii="Garamond" w:hAnsi="Garamond"/>
          <w:i/>
        </w:rPr>
        <w:t>nullam</w:t>
      </w:r>
      <w:proofErr w:type="spellEnd"/>
      <w:r w:rsidRPr="002C5AFF">
        <w:rPr>
          <w:rFonts w:ascii="Garamond" w:hAnsi="Garamond"/>
          <w:i/>
        </w:rPr>
        <w:t xml:space="preserve"> </w:t>
      </w:r>
      <w:proofErr w:type="spellStart"/>
      <w:r w:rsidRPr="002C5AFF">
        <w:rPr>
          <w:rFonts w:ascii="Garamond" w:hAnsi="Garamond"/>
          <w:i/>
        </w:rPr>
        <w:t>fieri</w:t>
      </w:r>
      <w:proofErr w:type="spellEnd"/>
      <w:r w:rsidRPr="002C5AFF">
        <w:rPr>
          <w:rFonts w:ascii="Garamond" w:hAnsi="Garamond"/>
          <w:i/>
        </w:rPr>
        <w:t xml:space="preserve"> </w:t>
      </w:r>
      <w:proofErr w:type="spellStart"/>
      <w:r w:rsidRPr="002C5AFF">
        <w:rPr>
          <w:rFonts w:ascii="Garamond" w:hAnsi="Garamond"/>
          <w:i/>
        </w:rPr>
        <w:t>condemnationem</w:t>
      </w:r>
      <w:proofErr w:type="spellEnd"/>
      <w:r w:rsidRPr="002C5AFF">
        <w:rPr>
          <w:rFonts w:ascii="Garamond" w:hAnsi="Garamond"/>
          <w:i/>
        </w:rPr>
        <w:t>.“</w:t>
      </w:r>
    </w:p>
  </w:footnote>
  <w:footnote w:id="4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zákon č. 89/2012 Sb., občanský zákoník, ve znění pozdějších předpisů</w:t>
      </w:r>
    </w:p>
  </w:footnote>
  <w:footnote w:id="4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SPÁČIL, Jiří. § 1041. In: SPÁČIL, Jiří a kol. </w:t>
      </w:r>
      <w:r w:rsidRPr="002C5AFF">
        <w:rPr>
          <w:rFonts w:ascii="Garamond" w:hAnsi="Garamond"/>
          <w:i/>
        </w:rPr>
        <w:t>Občanský zákoník III. Věcná práva (§ 976–1474).</w:t>
      </w:r>
      <w:r w:rsidRPr="002C5AFF">
        <w:rPr>
          <w:rFonts w:ascii="Garamond" w:hAnsi="Garamond"/>
        </w:rPr>
        <w:t xml:space="preserve"> 1. vydání. Praha: Nakladatelství C. H. Beck, 2013, s. 240.</w:t>
      </w:r>
    </w:p>
  </w:footnote>
  <w:footnote w:id="5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w:t>
      </w:r>
    </w:p>
  </w:footnote>
  <w:footnote w:id="5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SPÁČIL, Jiří. § 1041. In: SPÁČIL a kol: </w:t>
      </w:r>
      <w:r w:rsidRPr="002C5AFF">
        <w:rPr>
          <w:rFonts w:ascii="Garamond" w:hAnsi="Garamond"/>
          <w:i/>
        </w:rPr>
        <w:t>Občanský zákoník…</w:t>
      </w:r>
      <w:r w:rsidRPr="002C5AFF">
        <w:rPr>
          <w:rFonts w:ascii="Garamond" w:hAnsi="Garamond"/>
        </w:rPr>
        <w:t>, s. 240.</w:t>
      </w:r>
    </w:p>
  </w:footnote>
  <w:footnote w:id="5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388.</w:t>
      </w:r>
    </w:p>
  </w:footnote>
  <w:footnote w:id="5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158 – 159.</w:t>
      </w:r>
    </w:p>
    <w:p w:rsidR="00646C74" w:rsidRPr="002C5AFF" w:rsidRDefault="00646C74" w:rsidP="002C5AFF">
      <w:pPr>
        <w:pStyle w:val="Textpoznpodarou"/>
        <w:keepNext/>
        <w:jc w:val="both"/>
        <w:rPr>
          <w:rFonts w:ascii="Garamond" w:hAnsi="Garamond"/>
        </w:rPr>
      </w:pPr>
      <w:r w:rsidRPr="002C5AFF">
        <w:rPr>
          <w:rFonts w:ascii="Garamond" w:hAnsi="Garamond"/>
        </w:rPr>
        <w:t xml:space="preserve">BARTOŠEK: </w:t>
      </w:r>
      <w:r w:rsidRPr="002C5AFF">
        <w:rPr>
          <w:rFonts w:ascii="Garamond" w:hAnsi="Garamond"/>
          <w:i/>
        </w:rPr>
        <w:t>Encyklopedie římského práva</w:t>
      </w:r>
      <w:r w:rsidRPr="002C5AFF">
        <w:rPr>
          <w:rFonts w:ascii="Garamond" w:hAnsi="Garamond"/>
        </w:rPr>
        <w:t>., s. 78, 139.</w:t>
      </w:r>
    </w:p>
  </w:footnote>
  <w:footnote w:id="5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388.</w:t>
      </w:r>
    </w:p>
  </w:footnote>
  <w:footnote w:id="5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381.</w:t>
      </w:r>
    </w:p>
  </w:footnote>
  <w:footnote w:id="5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390.</w:t>
      </w:r>
    </w:p>
  </w:footnote>
  <w:footnote w:id="5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72 – 73.</w:t>
      </w:r>
    </w:p>
  </w:footnote>
  <w:footnote w:id="5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390.</w:t>
      </w:r>
    </w:p>
  </w:footnote>
  <w:footnote w:id="5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Dále též rozsudek Nejvyššího soudu ze dne 3. června 1999, </w:t>
      </w:r>
      <w:proofErr w:type="spellStart"/>
      <w:r w:rsidRPr="002C5AFF">
        <w:rPr>
          <w:rFonts w:ascii="Garamond" w:hAnsi="Garamond"/>
        </w:rPr>
        <w:t>sp</w:t>
      </w:r>
      <w:proofErr w:type="spellEnd"/>
      <w:r w:rsidRPr="002C5AFF">
        <w:rPr>
          <w:rFonts w:ascii="Garamond" w:hAnsi="Garamond"/>
        </w:rPr>
        <w:t xml:space="preserve">. zn. 2 </w:t>
      </w:r>
      <w:proofErr w:type="spellStart"/>
      <w:r w:rsidRPr="002C5AFF">
        <w:rPr>
          <w:rFonts w:ascii="Garamond" w:hAnsi="Garamond"/>
        </w:rPr>
        <w:t>Cdon</w:t>
      </w:r>
      <w:proofErr w:type="spellEnd"/>
      <w:r w:rsidRPr="002C5AFF">
        <w:rPr>
          <w:rFonts w:ascii="Garamond" w:hAnsi="Garamond"/>
        </w:rPr>
        <w:t xml:space="preserve"> 1794/96, usnesení Nejvyššího soudu ze dne 18. října 2006, </w:t>
      </w:r>
      <w:proofErr w:type="spellStart"/>
      <w:r w:rsidRPr="002C5AFF">
        <w:rPr>
          <w:rFonts w:ascii="Garamond" w:hAnsi="Garamond"/>
        </w:rPr>
        <w:t>sp</w:t>
      </w:r>
      <w:proofErr w:type="spellEnd"/>
      <w:r w:rsidRPr="002C5AFF">
        <w:rPr>
          <w:rFonts w:ascii="Garamond" w:hAnsi="Garamond"/>
        </w:rPr>
        <w:t xml:space="preserve">. zn. 28 </w:t>
      </w:r>
      <w:proofErr w:type="spellStart"/>
      <w:r w:rsidRPr="002C5AFF">
        <w:rPr>
          <w:rFonts w:ascii="Garamond" w:hAnsi="Garamond"/>
        </w:rPr>
        <w:t>Cdo</w:t>
      </w:r>
      <w:proofErr w:type="spellEnd"/>
      <w:r w:rsidRPr="002C5AFF">
        <w:rPr>
          <w:rFonts w:ascii="Garamond" w:hAnsi="Garamond"/>
        </w:rPr>
        <w:t xml:space="preserve"> 2496/2006.</w:t>
      </w:r>
    </w:p>
  </w:footnote>
  <w:footnote w:id="6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SPÁČIL, Jiří. § 1041. In: SPÁČIL a kol: </w:t>
      </w:r>
      <w:r w:rsidRPr="002C5AFF">
        <w:rPr>
          <w:rFonts w:ascii="Garamond" w:hAnsi="Garamond"/>
          <w:i/>
        </w:rPr>
        <w:t>Občanský zákoník…</w:t>
      </w:r>
      <w:r w:rsidRPr="002C5AFF">
        <w:rPr>
          <w:rFonts w:ascii="Garamond" w:hAnsi="Garamond"/>
        </w:rPr>
        <w:t>, s. 222.</w:t>
      </w:r>
    </w:p>
  </w:footnote>
  <w:footnote w:id="6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Jednalo se zde prakticky o pouhého </w:t>
      </w:r>
      <w:proofErr w:type="spellStart"/>
      <w:r w:rsidRPr="002C5AFF">
        <w:rPr>
          <w:rFonts w:ascii="Garamond" w:hAnsi="Garamond"/>
        </w:rPr>
        <w:t>detentora</w:t>
      </w:r>
      <w:proofErr w:type="spellEnd"/>
      <w:r w:rsidRPr="002C5AFF">
        <w:rPr>
          <w:rFonts w:ascii="Garamond" w:hAnsi="Garamond"/>
        </w:rPr>
        <w:t>, jenž měl faktickou moc nad věcí například z titulu nájmu, úschovy apod.</w:t>
      </w:r>
    </w:p>
  </w:footnote>
  <w:footnote w:id="6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389.</w:t>
      </w:r>
    </w:p>
  </w:footnote>
  <w:footnote w:id="6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390.</w:t>
      </w:r>
    </w:p>
  </w:footnote>
  <w:footnote w:id="6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168.</w:t>
      </w:r>
    </w:p>
  </w:footnote>
  <w:footnote w:id="6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189.</w:t>
      </w:r>
    </w:p>
    <w:p w:rsidR="00646C74" w:rsidRPr="002C5AFF" w:rsidRDefault="00646C74" w:rsidP="002C5AFF">
      <w:pPr>
        <w:pStyle w:val="Textpoznpodarou"/>
        <w:keepNext/>
        <w:jc w:val="both"/>
        <w:rPr>
          <w:rFonts w:ascii="Garamond" w:hAnsi="Garamond"/>
        </w:rPr>
      </w:pPr>
      <w:r w:rsidRPr="002C5AFF">
        <w:rPr>
          <w:rFonts w:ascii="Garamond" w:hAnsi="Garamond"/>
        </w:rPr>
        <w:t xml:space="preserve">BONFANTE: </w:t>
      </w:r>
      <w:r w:rsidRPr="002C5AFF">
        <w:rPr>
          <w:rFonts w:ascii="Garamond" w:hAnsi="Garamond"/>
          <w:i/>
        </w:rPr>
        <w:t>Instituce římského práva.</w:t>
      </w:r>
      <w:r w:rsidRPr="002C5AFF">
        <w:rPr>
          <w:rFonts w:ascii="Garamond" w:hAnsi="Garamond"/>
        </w:rPr>
        <w:t>, s. 319.</w:t>
      </w:r>
    </w:p>
  </w:footnote>
  <w:footnote w:id="6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318.</w:t>
      </w:r>
    </w:p>
  </w:footnote>
  <w:footnote w:id="6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Naopak tomu bylo u žalob </w:t>
      </w:r>
      <w:r w:rsidRPr="002C5AFF">
        <w:rPr>
          <w:rFonts w:ascii="Garamond" w:hAnsi="Garamond"/>
          <w:i/>
        </w:rPr>
        <w:t>in personam</w:t>
      </w:r>
      <w:r w:rsidRPr="002C5AFF">
        <w:rPr>
          <w:rFonts w:ascii="Garamond" w:hAnsi="Garamond"/>
        </w:rPr>
        <w:t xml:space="preserve">, kdy při nesplnění osobní </w:t>
      </w:r>
      <w:proofErr w:type="spellStart"/>
      <w:r w:rsidRPr="002C5AFF">
        <w:rPr>
          <w:rFonts w:ascii="Garamond" w:hAnsi="Garamond"/>
        </w:rPr>
        <w:t>defensní</w:t>
      </w:r>
      <w:proofErr w:type="spellEnd"/>
      <w:r w:rsidRPr="002C5AFF">
        <w:rPr>
          <w:rFonts w:ascii="Garamond" w:hAnsi="Garamond"/>
        </w:rPr>
        <w:t xml:space="preserve"> povinnosti žalovaným mohla být na žalobce převedena držba jmění žalovaného (</w:t>
      </w:r>
      <w:proofErr w:type="spellStart"/>
      <w:r w:rsidRPr="002C5AFF">
        <w:rPr>
          <w:rFonts w:ascii="Garamond" w:hAnsi="Garamond"/>
          <w:i/>
        </w:rPr>
        <w:t>missio</w:t>
      </w:r>
      <w:proofErr w:type="spellEnd"/>
      <w:r w:rsidRPr="002C5AFF">
        <w:rPr>
          <w:rFonts w:ascii="Garamond" w:hAnsi="Garamond"/>
          <w:i/>
        </w:rPr>
        <w:t xml:space="preserve"> in </w:t>
      </w:r>
      <w:proofErr w:type="spellStart"/>
      <w:r w:rsidRPr="002C5AFF">
        <w:rPr>
          <w:rFonts w:ascii="Garamond" w:hAnsi="Garamond"/>
          <w:i/>
        </w:rPr>
        <w:t>possessionem</w:t>
      </w:r>
      <w:proofErr w:type="spellEnd"/>
      <w:r w:rsidRPr="002C5AFF">
        <w:rPr>
          <w:rFonts w:ascii="Garamond" w:hAnsi="Garamond"/>
          <w:i/>
        </w:rPr>
        <w:t xml:space="preserve"> </w:t>
      </w:r>
      <w:proofErr w:type="spellStart"/>
      <w:r w:rsidRPr="002C5AFF">
        <w:rPr>
          <w:rFonts w:ascii="Garamond" w:hAnsi="Garamond"/>
          <w:i/>
        </w:rPr>
        <w:t>bonorum</w:t>
      </w:r>
      <w:proofErr w:type="spellEnd"/>
      <w:r w:rsidRPr="002C5AFF">
        <w:rPr>
          <w:rFonts w:ascii="Garamond" w:hAnsi="Garamond"/>
        </w:rPr>
        <w:t>) a následně bylo možno jmění prodat ve veřejné dražbě k uspokojení pohledávek (</w:t>
      </w:r>
      <w:proofErr w:type="spellStart"/>
      <w:r w:rsidRPr="002C5AFF">
        <w:rPr>
          <w:rFonts w:ascii="Garamond" w:hAnsi="Garamond"/>
          <w:i/>
        </w:rPr>
        <w:t>bonorum</w:t>
      </w:r>
      <w:proofErr w:type="spellEnd"/>
      <w:r w:rsidRPr="002C5AFF">
        <w:rPr>
          <w:rFonts w:ascii="Garamond" w:hAnsi="Garamond"/>
          <w:i/>
        </w:rPr>
        <w:t xml:space="preserve"> </w:t>
      </w:r>
      <w:proofErr w:type="spellStart"/>
      <w:r w:rsidRPr="002C5AFF">
        <w:rPr>
          <w:rFonts w:ascii="Garamond" w:hAnsi="Garamond"/>
          <w:i/>
        </w:rPr>
        <w:t>venditio</w:t>
      </w:r>
      <w:proofErr w:type="spellEnd"/>
      <w:r w:rsidRPr="002C5AFF">
        <w:rPr>
          <w:rFonts w:ascii="Garamond" w:hAnsi="Garamond"/>
        </w:rPr>
        <w:t xml:space="preserve">). V případě </w:t>
      </w:r>
      <w:proofErr w:type="spellStart"/>
      <w:r w:rsidRPr="002C5AFF">
        <w:rPr>
          <w:rFonts w:ascii="Garamond" w:hAnsi="Garamond"/>
          <w:i/>
        </w:rPr>
        <w:t>actio</w:t>
      </w:r>
      <w:proofErr w:type="spellEnd"/>
      <w:r w:rsidRPr="002C5AFF">
        <w:rPr>
          <w:rFonts w:ascii="Garamond" w:hAnsi="Garamond"/>
          <w:i/>
        </w:rPr>
        <w:t xml:space="preserve"> </w:t>
      </w:r>
      <w:proofErr w:type="spellStart"/>
      <w:r w:rsidRPr="002C5AFF">
        <w:rPr>
          <w:rFonts w:ascii="Garamond" w:hAnsi="Garamond"/>
          <w:i/>
        </w:rPr>
        <w:t>certae</w:t>
      </w:r>
      <w:proofErr w:type="spellEnd"/>
      <w:r w:rsidRPr="002C5AFF">
        <w:rPr>
          <w:rFonts w:ascii="Garamond" w:hAnsi="Garamond"/>
          <w:i/>
        </w:rPr>
        <w:t xml:space="preserve"> </w:t>
      </w:r>
      <w:proofErr w:type="spellStart"/>
      <w:r w:rsidRPr="002C5AFF">
        <w:rPr>
          <w:rFonts w:ascii="Garamond" w:hAnsi="Garamond"/>
          <w:i/>
        </w:rPr>
        <w:t>creditae</w:t>
      </w:r>
      <w:proofErr w:type="spellEnd"/>
      <w:r w:rsidRPr="002C5AFF">
        <w:rPr>
          <w:rFonts w:ascii="Garamond" w:hAnsi="Garamond"/>
          <w:i/>
        </w:rPr>
        <w:t xml:space="preserve"> </w:t>
      </w:r>
      <w:proofErr w:type="spellStart"/>
      <w:r w:rsidRPr="002C5AFF">
        <w:rPr>
          <w:rFonts w:ascii="Garamond" w:hAnsi="Garamond"/>
          <w:i/>
        </w:rPr>
        <w:t>pecuniae</w:t>
      </w:r>
      <w:proofErr w:type="spellEnd"/>
      <w:r w:rsidRPr="002C5AFF">
        <w:rPr>
          <w:rFonts w:ascii="Garamond" w:hAnsi="Garamond"/>
        </w:rPr>
        <w:t xml:space="preserve"> mohlo nesplnění </w:t>
      </w:r>
      <w:proofErr w:type="spellStart"/>
      <w:r w:rsidRPr="002C5AFF">
        <w:rPr>
          <w:rFonts w:ascii="Garamond" w:hAnsi="Garamond"/>
        </w:rPr>
        <w:t>defensní</w:t>
      </w:r>
      <w:proofErr w:type="spellEnd"/>
      <w:r w:rsidRPr="002C5AFF">
        <w:rPr>
          <w:rFonts w:ascii="Garamond" w:hAnsi="Garamond"/>
        </w:rPr>
        <w:t xml:space="preserve"> povinnosti vyústit dokonce ve vazbu žalovaného (</w:t>
      </w:r>
      <w:proofErr w:type="spellStart"/>
      <w:r w:rsidRPr="002C5AFF">
        <w:rPr>
          <w:rFonts w:ascii="Garamond" w:hAnsi="Garamond"/>
          <w:i/>
        </w:rPr>
        <w:t>ductio</w:t>
      </w:r>
      <w:proofErr w:type="spellEnd"/>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53 – 54.)</w:t>
      </w:r>
    </w:p>
  </w:footnote>
  <w:footnote w:id="6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Toto byl paradoxně jediný způsob, jak mohl žalobce přímo dosáhnout skutečného vydání věci, jelikož konečný odsuzující rozsudek mohl znít až do dob úřednického procesu pouze na zaplacení peněžité částky.</w:t>
      </w:r>
    </w:p>
  </w:footnote>
  <w:footnote w:id="6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54.</w:t>
      </w:r>
    </w:p>
  </w:footnote>
  <w:footnote w:id="7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w:t>
      </w:r>
    </w:p>
  </w:footnote>
  <w:footnote w:id="7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131.</w:t>
      </w:r>
    </w:p>
  </w:footnote>
  <w:footnote w:id="72">
    <w:p w:rsidR="00646C74" w:rsidRPr="002C5AFF" w:rsidRDefault="00646C74" w:rsidP="002C5AFF">
      <w:pPr>
        <w:pStyle w:val="Textpoznpodarou"/>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49.</w:t>
      </w:r>
    </w:p>
  </w:footnote>
  <w:footnote w:id="7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BONFANTE: </w:t>
      </w:r>
      <w:r w:rsidRPr="002C5AFF">
        <w:rPr>
          <w:rFonts w:ascii="Garamond" w:hAnsi="Garamond"/>
          <w:i/>
        </w:rPr>
        <w:t>Instituce římského práva.</w:t>
      </w:r>
      <w:r w:rsidRPr="002C5AFF">
        <w:rPr>
          <w:rFonts w:ascii="Garamond" w:hAnsi="Garamond"/>
        </w:rPr>
        <w:t>, s. 136.</w:t>
      </w:r>
    </w:p>
  </w:footnote>
  <w:footnote w:id="7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101 – 103.</w:t>
      </w:r>
    </w:p>
  </w:footnote>
  <w:footnote w:id="7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148.</w:t>
      </w:r>
    </w:p>
    <w:p w:rsidR="00646C74" w:rsidRPr="002C5AFF" w:rsidRDefault="00646C74" w:rsidP="002C5AFF">
      <w:pPr>
        <w:pStyle w:val="Textpoznpodarou"/>
        <w:keepNext/>
        <w:jc w:val="both"/>
        <w:rPr>
          <w:rFonts w:ascii="Garamond" w:hAnsi="Garamond"/>
        </w:rPr>
      </w:pPr>
      <w:r w:rsidRPr="002C5AFF">
        <w:rPr>
          <w:rFonts w:ascii="Garamond" w:hAnsi="Garamond"/>
        </w:rPr>
        <w:t xml:space="preserve">KINCL, URFUS, SKŘEJPEK: </w:t>
      </w:r>
      <w:r w:rsidRPr="002C5AFF">
        <w:rPr>
          <w:rFonts w:ascii="Garamond" w:hAnsi="Garamond"/>
          <w:i/>
        </w:rPr>
        <w:t>Římské právo.</w:t>
      </w:r>
      <w:r w:rsidRPr="002C5AFF">
        <w:rPr>
          <w:rFonts w:ascii="Garamond" w:hAnsi="Garamond"/>
        </w:rPr>
        <w:t>, s. 121 – 122.</w:t>
      </w:r>
    </w:p>
  </w:footnote>
  <w:footnote w:id="7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44.</w:t>
      </w:r>
    </w:p>
  </w:footnote>
  <w:footnote w:id="7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149 – 150.</w:t>
      </w:r>
    </w:p>
  </w:footnote>
  <w:footnote w:id="7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261.</w:t>
      </w:r>
    </w:p>
    <w:p w:rsidR="00646C74" w:rsidRPr="002C5AFF" w:rsidRDefault="00646C74" w:rsidP="002C5AFF">
      <w:pPr>
        <w:pStyle w:val="Textpoznpodarou"/>
        <w:keepNext/>
        <w:jc w:val="both"/>
        <w:rPr>
          <w:rFonts w:ascii="Garamond" w:hAnsi="Garamond"/>
        </w:rPr>
      </w:pPr>
      <w:r w:rsidRPr="002C5AFF">
        <w:rPr>
          <w:rFonts w:ascii="Garamond" w:hAnsi="Garamond"/>
        </w:rPr>
        <w:t xml:space="preserve">VÁŽNÝ: </w:t>
      </w:r>
      <w:r w:rsidRPr="002C5AFF">
        <w:rPr>
          <w:rFonts w:ascii="Garamond" w:hAnsi="Garamond"/>
          <w:i/>
        </w:rPr>
        <w:t>Římský proces civilní.</w:t>
      </w:r>
      <w:r w:rsidRPr="002C5AFF">
        <w:rPr>
          <w:rFonts w:ascii="Garamond" w:hAnsi="Garamond"/>
        </w:rPr>
        <w:t>, s.</w:t>
      </w:r>
    </w:p>
  </w:footnote>
  <w:footnote w:id="7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Heyrovský</w:t>
      </w:r>
      <w:proofErr w:type="spellEnd"/>
      <w:r w:rsidRPr="002C5AFF">
        <w:rPr>
          <w:rFonts w:ascii="Garamond" w:hAnsi="Garamond"/>
        </w:rPr>
        <w:t xml:space="preserve"> dokonce uvádí: </w:t>
      </w:r>
      <w:r w:rsidRPr="002C5AFF">
        <w:rPr>
          <w:rFonts w:ascii="Garamond" w:hAnsi="Garamond"/>
          <w:i/>
        </w:rPr>
        <w:t xml:space="preserve">„K této </w:t>
      </w:r>
      <w:proofErr w:type="spellStart"/>
      <w:r w:rsidRPr="002C5AFF">
        <w:rPr>
          <w:rFonts w:ascii="Garamond" w:hAnsi="Garamond"/>
          <w:i/>
        </w:rPr>
        <w:t>t</w:t>
      </w:r>
      <w:proofErr w:type="spellEnd"/>
      <w:r w:rsidRPr="002C5AFF">
        <w:rPr>
          <w:rFonts w:ascii="Garamond" w:hAnsi="Garamond"/>
          <w:i/>
        </w:rPr>
        <w:t xml:space="preserve">. </w:t>
      </w:r>
      <w:proofErr w:type="spellStart"/>
      <w:r w:rsidRPr="002C5AFF">
        <w:rPr>
          <w:rFonts w:ascii="Garamond" w:hAnsi="Garamond"/>
          <w:i/>
        </w:rPr>
        <w:t>zv</w:t>
      </w:r>
      <w:proofErr w:type="spellEnd"/>
      <w:r w:rsidRPr="002C5AFF">
        <w:rPr>
          <w:rFonts w:ascii="Garamond" w:hAnsi="Garamond"/>
          <w:i/>
        </w:rPr>
        <w:t xml:space="preserve">. Nominativ neboli </w:t>
      </w:r>
      <w:proofErr w:type="spellStart"/>
      <w:r w:rsidRPr="002C5AFF">
        <w:rPr>
          <w:rFonts w:ascii="Garamond" w:hAnsi="Garamond"/>
          <w:i/>
        </w:rPr>
        <w:t>laudatio</w:t>
      </w:r>
      <w:proofErr w:type="spellEnd"/>
      <w:r w:rsidRPr="002C5AFF">
        <w:rPr>
          <w:rFonts w:ascii="Garamond" w:hAnsi="Garamond"/>
          <w:i/>
        </w:rPr>
        <w:t xml:space="preserve"> </w:t>
      </w:r>
      <w:proofErr w:type="spellStart"/>
      <w:r w:rsidRPr="002C5AFF">
        <w:rPr>
          <w:rFonts w:ascii="Garamond" w:hAnsi="Garamond"/>
          <w:i/>
        </w:rPr>
        <w:t>auctoris</w:t>
      </w:r>
      <w:proofErr w:type="spellEnd"/>
      <w:r w:rsidRPr="002C5AFF">
        <w:rPr>
          <w:rFonts w:ascii="Garamond" w:hAnsi="Garamond"/>
          <w:i/>
        </w:rPr>
        <w:t xml:space="preserve"> jest oproti autorovi svému </w:t>
      </w:r>
      <w:proofErr w:type="spellStart"/>
      <w:r w:rsidRPr="002C5AFF">
        <w:rPr>
          <w:rFonts w:ascii="Garamond" w:hAnsi="Garamond"/>
          <w:i/>
        </w:rPr>
        <w:t>detentor</w:t>
      </w:r>
      <w:proofErr w:type="spellEnd"/>
      <w:r w:rsidRPr="002C5AFF">
        <w:rPr>
          <w:rFonts w:ascii="Garamond" w:hAnsi="Garamond"/>
          <w:i/>
        </w:rPr>
        <w:t xml:space="preserve"> dokonce i zavázán.“</w:t>
      </w:r>
      <w:r w:rsidRPr="002C5AFF">
        <w:rPr>
          <w:rFonts w:ascii="Garamond" w:hAnsi="Garamond"/>
        </w:rPr>
        <w:t xml:space="preserve">  (HEYROVSKÝ: </w:t>
      </w:r>
      <w:r w:rsidRPr="002C5AFF">
        <w:rPr>
          <w:rFonts w:ascii="Garamond" w:hAnsi="Garamond"/>
          <w:i/>
        </w:rPr>
        <w:t>Dějiny a systém…</w:t>
      </w:r>
      <w:r w:rsidRPr="002C5AFF">
        <w:rPr>
          <w:rFonts w:ascii="Garamond" w:hAnsi="Garamond"/>
        </w:rPr>
        <w:t>, s. 389.)</w:t>
      </w:r>
    </w:p>
  </w:footnote>
  <w:footnote w:id="8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195, 278 – 279.</w:t>
      </w:r>
    </w:p>
  </w:footnote>
  <w:footnote w:id="8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rozsudek Nejvyššího soudu ze dne 21. srpna 2000, </w:t>
      </w:r>
      <w:proofErr w:type="spellStart"/>
      <w:r w:rsidRPr="002C5AFF">
        <w:rPr>
          <w:rFonts w:ascii="Garamond" w:hAnsi="Garamond"/>
        </w:rPr>
        <w:t>sp</w:t>
      </w:r>
      <w:proofErr w:type="spellEnd"/>
      <w:r w:rsidRPr="002C5AFF">
        <w:rPr>
          <w:rFonts w:ascii="Garamond" w:hAnsi="Garamond"/>
        </w:rPr>
        <w:t xml:space="preserve">. zn. 22 </w:t>
      </w:r>
      <w:proofErr w:type="spellStart"/>
      <w:r w:rsidRPr="002C5AFF">
        <w:rPr>
          <w:rFonts w:ascii="Garamond" w:hAnsi="Garamond"/>
        </w:rPr>
        <w:t>Cdo</w:t>
      </w:r>
      <w:proofErr w:type="spellEnd"/>
      <w:r w:rsidRPr="002C5AFF">
        <w:rPr>
          <w:rFonts w:ascii="Garamond" w:hAnsi="Garamond"/>
        </w:rPr>
        <w:t xml:space="preserve"> 536/2000</w:t>
      </w:r>
    </w:p>
  </w:footnote>
  <w:footnote w:id="8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SPÁČIL, Jiří. § 1041. In: SPÁČIL a kol: </w:t>
      </w:r>
      <w:r w:rsidRPr="002C5AFF">
        <w:rPr>
          <w:rFonts w:ascii="Garamond" w:hAnsi="Garamond"/>
          <w:i/>
        </w:rPr>
        <w:t>Občanský zákoník…</w:t>
      </w:r>
      <w:r w:rsidRPr="002C5AFF">
        <w:rPr>
          <w:rFonts w:ascii="Garamond" w:hAnsi="Garamond"/>
        </w:rPr>
        <w:t>, s. 222.</w:t>
      </w:r>
    </w:p>
  </w:footnote>
  <w:footnote w:id="8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usnesení Nejvyššího soudu ze dne 30. září 2008, </w:t>
      </w:r>
      <w:proofErr w:type="spellStart"/>
      <w:r w:rsidRPr="002C5AFF">
        <w:rPr>
          <w:rFonts w:ascii="Garamond" w:hAnsi="Garamond"/>
        </w:rPr>
        <w:t>sp</w:t>
      </w:r>
      <w:proofErr w:type="spellEnd"/>
      <w:r w:rsidRPr="002C5AFF">
        <w:rPr>
          <w:rFonts w:ascii="Garamond" w:hAnsi="Garamond"/>
        </w:rPr>
        <w:t xml:space="preserve">. zn. 28 </w:t>
      </w:r>
      <w:proofErr w:type="spellStart"/>
      <w:r w:rsidRPr="002C5AFF">
        <w:rPr>
          <w:rFonts w:ascii="Garamond" w:hAnsi="Garamond"/>
        </w:rPr>
        <w:t>Cdo</w:t>
      </w:r>
      <w:proofErr w:type="spellEnd"/>
      <w:r w:rsidRPr="002C5AFF">
        <w:rPr>
          <w:rFonts w:ascii="Garamond" w:hAnsi="Garamond"/>
        </w:rPr>
        <w:t xml:space="preserve"> 2649/2006</w:t>
      </w:r>
    </w:p>
  </w:footnote>
  <w:footnote w:id="8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SPÁČIL, Jiří. § 1041. In: SPÁČIL a kol: </w:t>
      </w:r>
      <w:r w:rsidRPr="002C5AFF">
        <w:rPr>
          <w:rFonts w:ascii="Garamond" w:hAnsi="Garamond"/>
          <w:i/>
        </w:rPr>
        <w:t>Občanský zákoník…</w:t>
      </w:r>
      <w:r w:rsidRPr="002C5AFF">
        <w:rPr>
          <w:rFonts w:ascii="Garamond" w:hAnsi="Garamond"/>
        </w:rPr>
        <w:t>, s. 222.</w:t>
      </w:r>
    </w:p>
  </w:footnote>
  <w:footnote w:id="8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68, 104.</w:t>
      </w:r>
    </w:p>
  </w:footnote>
  <w:footnote w:id="8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104-105.</w:t>
      </w:r>
    </w:p>
  </w:footnote>
  <w:footnote w:id="8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22. 3. 21.</w:t>
      </w:r>
    </w:p>
  </w:footnote>
  <w:footnote w:id="8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 excepcím žalovaného blíže viz kapitola 3.1.1.1.</w:t>
      </w:r>
    </w:p>
  </w:footnote>
  <w:footnote w:id="8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44. 1. 1.</w:t>
      </w:r>
    </w:p>
  </w:footnote>
  <w:footnote w:id="90">
    <w:p w:rsidR="00646C74" w:rsidRPr="002C5AFF" w:rsidRDefault="00646C74" w:rsidP="002C5AFF">
      <w:pPr>
        <w:pStyle w:val="Textpoznpodarou"/>
        <w:keepNext/>
        <w:jc w:val="both"/>
        <w:rPr>
          <w:rFonts w:ascii="Garamond" w:hAnsi="Garamond"/>
          <w:highlight w:val="yellow"/>
        </w:rPr>
      </w:pPr>
      <w:r w:rsidRPr="002C5AFF">
        <w:rPr>
          <w:rStyle w:val="Znakapoznpodarou"/>
          <w:rFonts w:ascii="Garamond" w:hAnsi="Garamond"/>
        </w:rPr>
        <w:footnoteRef/>
      </w:r>
      <w:r w:rsidRPr="002C5AFF">
        <w:rPr>
          <w:rFonts w:ascii="Garamond" w:hAnsi="Garamond"/>
        </w:rPr>
        <w:t xml:space="preserve"> BONFANTE: </w:t>
      </w:r>
      <w:r w:rsidRPr="002C5AFF">
        <w:rPr>
          <w:rFonts w:ascii="Garamond" w:hAnsi="Garamond"/>
          <w:i/>
        </w:rPr>
        <w:t>Instituce římského práva.</w:t>
      </w:r>
      <w:r w:rsidRPr="002C5AFF">
        <w:rPr>
          <w:rFonts w:ascii="Garamond" w:hAnsi="Garamond"/>
        </w:rPr>
        <w:t>, s. 139.</w:t>
      </w:r>
    </w:p>
    <w:p w:rsidR="00646C74" w:rsidRPr="002C5AFF" w:rsidRDefault="00646C74" w:rsidP="002C5AFF">
      <w:pPr>
        <w:pStyle w:val="Textpoznpodarou"/>
        <w:keepNext/>
        <w:jc w:val="both"/>
        <w:rPr>
          <w:rFonts w:ascii="Garamond" w:hAnsi="Garamond"/>
        </w:rPr>
      </w:pPr>
      <w:r w:rsidRPr="002C5AFF">
        <w:rPr>
          <w:rFonts w:ascii="Garamond" w:hAnsi="Garamond"/>
        </w:rPr>
        <w:t xml:space="preserve">BERGER: </w:t>
      </w:r>
      <w:proofErr w:type="spellStart"/>
      <w:r w:rsidRPr="002C5AFF">
        <w:rPr>
          <w:rFonts w:ascii="Garamond" w:hAnsi="Garamond"/>
          <w:i/>
        </w:rPr>
        <w:t>Encyclopedic</w:t>
      </w:r>
      <w:proofErr w:type="spellEnd"/>
      <w:r w:rsidRPr="002C5AFF">
        <w:rPr>
          <w:rFonts w:ascii="Garamond" w:hAnsi="Garamond"/>
          <w:i/>
        </w:rPr>
        <w:t xml:space="preserve"> </w:t>
      </w:r>
      <w:proofErr w:type="spellStart"/>
      <w:r w:rsidRPr="002C5AFF">
        <w:rPr>
          <w:rFonts w:ascii="Garamond" w:hAnsi="Garamond"/>
          <w:i/>
        </w:rPr>
        <w:t>dictionary</w:t>
      </w:r>
      <w:proofErr w:type="spellEnd"/>
      <w:r w:rsidRPr="002C5AFF">
        <w:rPr>
          <w:rFonts w:ascii="Garamond" w:hAnsi="Garamond"/>
          <w:i/>
        </w:rPr>
        <w:t>…</w:t>
      </w:r>
      <w:r w:rsidRPr="002C5AFF">
        <w:rPr>
          <w:rFonts w:ascii="Garamond" w:hAnsi="Garamond"/>
        </w:rPr>
        <w:t>, s. 646.</w:t>
      </w:r>
    </w:p>
  </w:footnote>
  <w:footnote w:id="9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388.</w:t>
      </w:r>
    </w:p>
  </w:footnote>
  <w:footnote w:id="92">
    <w:p w:rsidR="00646C74" w:rsidRPr="002C5AFF" w:rsidRDefault="00646C74" w:rsidP="002C5AFF">
      <w:pPr>
        <w:pStyle w:val="Textpoznpodarou"/>
        <w:keepNext/>
        <w:jc w:val="both"/>
        <w:rPr>
          <w:rFonts w:ascii="Garamond" w:hAnsi="Garamond"/>
          <w:highlight w:val="yellow"/>
        </w:rPr>
      </w:pPr>
      <w:r w:rsidRPr="002C5AFF">
        <w:rPr>
          <w:rStyle w:val="Znakapoznpodarou"/>
          <w:rFonts w:ascii="Garamond" w:hAnsi="Garamond"/>
        </w:rPr>
        <w:footnoteRef/>
      </w:r>
      <w:r w:rsidRPr="002C5AFF">
        <w:rPr>
          <w:rFonts w:ascii="Garamond" w:hAnsi="Garamond"/>
        </w:rPr>
        <w:t xml:space="preserve"> BONFANTE: </w:t>
      </w:r>
      <w:r w:rsidRPr="002C5AFF">
        <w:rPr>
          <w:rFonts w:ascii="Garamond" w:hAnsi="Garamond"/>
          <w:i/>
        </w:rPr>
        <w:t>Instituce římského práva.</w:t>
      </w:r>
      <w:r w:rsidRPr="002C5AFF">
        <w:rPr>
          <w:rFonts w:ascii="Garamond" w:hAnsi="Garamond"/>
        </w:rPr>
        <w:t>, s. 317 – 318.</w:t>
      </w:r>
    </w:p>
  </w:footnote>
  <w:footnote w:id="9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2.: </w:t>
      </w:r>
      <w:r w:rsidRPr="002C5AFF">
        <w:rPr>
          <w:rFonts w:ascii="Garamond" w:hAnsi="Garamond"/>
          <w:i/>
        </w:rPr>
        <w:t>„</w:t>
      </w:r>
      <w:proofErr w:type="spellStart"/>
      <w:r w:rsidRPr="002C5AFF">
        <w:rPr>
          <w:rFonts w:ascii="Garamond" w:hAnsi="Garamond"/>
          <w:i/>
        </w:rPr>
        <w:t>Paulus</w:t>
      </w:r>
      <w:proofErr w:type="spellEnd"/>
      <w:r w:rsidRPr="002C5AFF">
        <w:rPr>
          <w:rFonts w:ascii="Garamond" w:hAnsi="Garamond"/>
          <w:i/>
        </w:rPr>
        <w:t xml:space="preserve"> libro 21 ad </w:t>
      </w:r>
      <w:proofErr w:type="spellStart"/>
      <w:r w:rsidRPr="002C5AFF">
        <w:rPr>
          <w:rFonts w:ascii="Garamond" w:hAnsi="Garamond"/>
          <w:i/>
        </w:rPr>
        <w:t>edictum</w:t>
      </w:r>
      <w:proofErr w:type="spellEnd"/>
      <w:r w:rsidRPr="002C5AFF">
        <w:rPr>
          <w:rFonts w:ascii="Garamond" w:hAnsi="Garamond"/>
          <w:i/>
        </w:rPr>
        <w:t xml:space="preserve">. Sed si par numerus </w:t>
      </w:r>
      <w:proofErr w:type="spellStart"/>
      <w:r w:rsidRPr="002C5AFF">
        <w:rPr>
          <w:rFonts w:ascii="Garamond" w:hAnsi="Garamond"/>
          <w:i/>
        </w:rPr>
        <w:t>duorum</w:t>
      </w:r>
      <w:proofErr w:type="spellEnd"/>
      <w:r w:rsidRPr="002C5AFF">
        <w:rPr>
          <w:rFonts w:ascii="Garamond" w:hAnsi="Garamond"/>
          <w:i/>
        </w:rPr>
        <w:t xml:space="preserve"> </w:t>
      </w:r>
      <w:proofErr w:type="spellStart"/>
      <w:r w:rsidRPr="002C5AFF">
        <w:rPr>
          <w:rFonts w:ascii="Garamond" w:hAnsi="Garamond"/>
          <w:i/>
        </w:rPr>
        <w:t>interfuerit</w:t>
      </w:r>
      <w:proofErr w:type="spellEnd"/>
      <w:r w:rsidRPr="002C5AFF">
        <w:rPr>
          <w:rFonts w:ascii="Garamond" w:hAnsi="Garamond"/>
          <w:i/>
        </w:rPr>
        <w:t xml:space="preserve">, </w:t>
      </w:r>
      <w:proofErr w:type="spellStart"/>
      <w:r w:rsidRPr="002C5AFF">
        <w:rPr>
          <w:rFonts w:ascii="Garamond" w:hAnsi="Garamond"/>
          <w:i/>
        </w:rPr>
        <w:t>neuter</w:t>
      </w:r>
      <w:proofErr w:type="spellEnd"/>
      <w:r w:rsidRPr="002C5AFF">
        <w:rPr>
          <w:rFonts w:ascii="Garamond" w:hAnsi="Garamond"/>
          <w:i/>
        </w:rPr>
        <w:t xml:space="preserve"> </w:t>
      </w:r>
      <w:proofErr w:type="spellStart"/>
      <w:r w:rsidRPr="002C5AFF">
        <w:rPr>
          <w:rFonts w:ascii="Garamond" w:hAnsi="Garamond"/>
          <w:i/>
        </w:rPr>
        <w:t>solidum</w:t>
      </w:r>
      <w:proofErr w:type="spellEnd"/>
      <w:r w:rsidRPr="002C5AFF">
        <w:rPr>
          <w:rFonts w:ascii="Garamond" w:hAnsi="Garamond"/>
          <w:i/>
        </w:rPr>
        <w:t xml:space="preserve"> </w:t>
      </w:r>
      <w:proofErr w:type="spellStart"/>
      <w:r w:rsidRPr="002C5AFF">
        <w:rPr>
          <w:rFonts w:ascii="Garamond" w:hAnsi="Garamond"/>
          <w:i/>
        </w:rPr>
        <w:t>gregem</w:t>
      </w:r>
      <w:proofErr w:type="spellEnd"/>
      <w:r w:rsidRPr="002C5AFF">
        <w:rPr>
          <w:rFonts w:ascii="Garamond" w:hAnsi="Garamond"/>
          <w:i/>
        </w:rPr>
        <w:t xml:space="preserve">, sed ne partem </w:t>
      </w:r>
      <w:proofErr w:type="spellStart"/>
      <w:r w:rsidRPr="002C5AFF">
        <w:rPr>
          <w:rFonts w:ascii="Garamond" w:hAnsi="Garamond"/>
          <w:i/>
        </w:rPr>
        <w:t>dimidiam</w:t>
      </w:r>
      <w:proofErr w:type="spellEnd"/>
      <w:r w:rsidRPr="002C5AFF">
        <w:rPr>
          <w:rFonts w:ascii="Garamond" w:hAnsi="Garamond"/>
          <w:i/>
        </w:rPr>
        <w:t xml:space="preserve"> </w:t>
      </w:r>
      <w:proofErr w:type="spellStart"/>
      <w:r w:rsidRPr="002C5AFF">
        <w:rPr>
          <w:rFonts w:ascii="Garamond" w:hAnsi="Garamond"/>
          <w:i/>
        </w:rPr>
        <w:t>totius</w:t>
      </w:r>
      <w:proofErr w:type="spellEnd"/>
      <w:r w:rsidRPr="002C5AFF">
        <w:rPr>
          <w:rFonts w:ascii="Garamond" w:hAnsi="Garamond"/>
          <w:i/>
        </w:rPr>
        <w:t xml:space="preserve"> </w:t>
      </w:r>
      <w:proofErr w:type="spellStart"/>
      <w:r w:rsidRPr="002C5AFF">
        <w:rPr>
          <w:rFonts w:ascii="Garamond" w:hAnsi="Garamond"/>
          <w:i/>
        </w:rPr>
        <w:t>eius</w:t>
      </w:r>
      <w:proofErr w:type="spellEnd"/>
      <w:r w:rsidRPr="002C5AFF">
        <w:rPr>
          <w:rFonts w:ascii="Garamond" w:hAnsi="Garamond"/>
          <w:i/>
        </w:rPr>
        <w:t xml:space="preserve"> </w:t>
      </w:r>
      <w:proofErr w:type="spellStart"/>
      <w:r w:rsidRPr="002C5AFF">
        <w:rPr>
          <w:rFonts w:ascii="Garamond" w:hAnsi="Garamond"/>
          <w:i/>
        </w:rPr>
        <w:t>vindicabit</w:t>
      </w:r>
      <w:proofErr w:type="spellEnd"/>
      <w:r w:rsidRPr="002C5AFF">
        <w:rPr>
          <w:rFonts w:ascii="Garamond" w:hAnsi="Garamond"/>
          <w:i/>
        </w:rPr>
        <w:t xml:space="preserve">. Sed si </w:t>
      </w:r>
      <w:proofErr w:type="spellStart"/>
      <w:r w:rsidRPr="002C5AFF">
        <w:rPr>
          <w:rFonts w:ascii="Garamond" w:hAnsi="Garamond"/>
          <w:i/>
        </w:rPr>
        <w:t>maiorem</w:t>
      </w:r>
      <w:proofErr w:type="spellEnd"/>
      <w:r w:rsidRPr="002C5AFF">
        <w:rPr>
          <w:rFonts w:ascii="Garamond" w:hAnsi="Garamond"/>
          <w:i/>
        </w:rPr>
        <w:t xml:space="preserve"> </w:t>
      </w:r>
      <w:proofErr w:type="spellStart"/>
      <w:r w:rsidRPr="002C5AFF">
        <w:rPr>
          <w:rFonts w:ascii="Garamond" w:hAnsi="Garamond"/>
          <w:i/>
        </w:rPr>
        <w:t>numerum</w:t>
      </w:r>
      <w:proofErr w:type="spellEnd"/>
      <w:r w:rsidRPr="002C5AFF">
        <w:rPr>
          <w:rFonts w:ascii="Garamond" w:hAnsi="Garamond"/>
          <w:i/>
        </w:rPr>
        <w:t xml:space="preserve"> alter </w:t>
      </w:r>
      <w:proofErr w:type="spellStart"/>
      <w:r w:rsidRPr="002C5AFF">
        <w:rPr>
          <w:rFonts w:ascii="Garamond" w:hAnsi="Garamond"/>
          <w:i/>
        </w:rPr>
        <w:t>habeat</w:t>
      </w:r>
      <w:proofErr w:type="spellEnd"/>
      <w:r w:rsidRPr="002C5AFF">
        <w:rPr>
          <w:rFonts w:ascii="Garamond" w:hAnsi="Garamond"/>
          <w:i/>
        </w:rPr>
        <w:t xml:space="preserve">, </w:t>
      </w:r>
      <w:proofErr w:type="spellStart"/>
      <w:r w:rsidRPr="002C5AFF">
        <w:rPr>
          <w:rFonts w:ascii="Garamond" w:hAnsi="Garamond"/>
          <w:i/>
        </w:rPr>
        <w:t>ut</w:t>
      </w:r>
      <w:proofErr w:type="spellEnd"/>
      <w:r w:rsidRPr="002C5AFF">
        <w:rPr>
          <w:rFonts w:ascii="Garamond" w:hAnsi="Garamond"/>
          <w:i/>
        </w:rPr>
        <w:t xml:space="preserve"> </w:t>
      </w:r>
      <w:proofErr w:type="spellStart"/>
      <w:r w:rsidRPr="002C5AFF">
        <w:rPr>
          <w:rFonts w:ascii="Garamond" w:hAnsi="Garamond"/>
          <w:i/>
        </w:rPr>
        <w:t>detracto</w:t>
      </w:r>
      <w:proofErr w:type="spellEnd"/>
      <w:r w:rsidRPr="002C5AFF">
        <w:rPr>
          <w:rFonts w:ascii="Garamond" w:hAnsi="Garamond"/>
          <w:i/>
        </w:rPr>
        <w:t xml:space="preserve"> </w:t>
      </w:r>
      <w:proofErr w:type="spellStart"/>
      <w:r w:rsidRPr="002C5AFF">
        <w:rPr>
          <w:rFonts w:ascii="Garamond" w:hAnsi="Garamond"/>
          <w:i/>
        </w:rPr>
        <w:t>alieno</w:t>
      </w:r>
      <w:proofErr w:type="spellEnd"/>
      <w:r w:rsidRPr="002C5AFF">
        <w:rPr>
          <w:rFonts w:ascii="Garamond" w:hAnsi="Garamond"/>
          <w:i/>
        </w:rPr>
        <w:t xml:space="preserve"> </w:t>
      </w:r>
      <w:proofErr w:type="spellStart"/>
      <w:r w:rsidRPr="002C5AFF">
        <w:rPr>
          <w:rFonts w:ascii="Garamond" w:hAnsi="Garamond"/>
          <w:i/>
        </w:rPr>
        <w:t>nihilo</w:t>
      </w:r>
      <w:proofErr w:type="spellEnd"/>
      <w:r w:rsidRPr="002C5AFF">
        <w:rPr>
          <w:rFonts w:ascii="Garamond" w:hAnsi="Garamond"/>
          <w:i/>
        </w:rPr>
        <w:t xml:space="preserve"> minus </w:t>
      </w:r>
      <w:proofErr w:type="spellStart"/>
      <w:r w:rsidRPr="002C5AFF">
        <w:rPr>
          <w:rFonts w:ascii="Garamond" w:hAnsi="Garamond"/>
          <w:i/>
        </w:rPr>
        <w:t>gregem</w:t>
      </w:r>
      <w:proofErr w:type="spellEnd"/>
      <w:r w:rsidRPr="002C5AFF">
        <w:rPr>
          <w:rFonts w:ascii="Garamond" w:hAnsi="Garamond"/>
          <w:i/>
        </w:rPr>
        <w:t xml:space="preserve"> </w:t>
      </w:r>
      <w:proofErr w:type="spellStart"/>
      <w:r w:rsidRPr="002C5AFF">
        <w:rPr>
          <w:rFonts w:ascii="Garamond" w:hAnsi="Garamond"/>
          <w:i/>
        </w:rPr>
        <w:t>vindicaturus</w:t>
      </w:r>
      <w:proofErr w:type="spellEnd"/>
      <w:r w:rsidRPr="002C5AFF">
        <w:rPr>
          <w:rFonts w:ascii="Garamond" w:hAnsi="Garamond"/>
          <w:i/>
        </w:rPr>
        <w:t xml:space="preserve"> </w:t>
      </w:r>
      <w:proofErr w:type="spellStart"/>
      <w:r w:rsidRPr="002C5AFF">
        <w:rPr>
          <w:rFonts w:ascii="Garamond" w:hAnsi="Garamond"/>
          <w:i/>
        </w:rPr>
        <w:t>sit</w:t>
      </w:r>
      <w:proofErr w:type="spellEnd"/>
      <w:r w:rsidRPr="002C5AFF">
        <w:rPr>
          <w:rFonts w:ascii="Garamond" w:hAnsi="Garamond"/>
          <w:i/>
        </w:rPr>
        <w:t xml:space="preserve">, in </w:t>
      </w:r>
      <w:proofErr w:type="spellStart"/>
      <w:r w:rsidRPr="002C5AFF">
        <w:rPr>
          <w:rFonts w:ascii="Garamond" w:hAnsi="Garamond"/>
          <w:i/>
        </w:rPr>
        <w:t>restitutionem</w:t>
      </w:r>
      <w:proofErr w:type="spellEnd"/>
      <w:r w:rsidRPr="002C5AFF">
        <w:rPr>
          <w:rFonts w:ascii="Garamond" w:hAnsi="Garamond"/>
          <w:i/>
        </w:rPr>
        <w:t xml:space="preserve"> non </w:t>
      </w:r>
      <w:proofErr w:type="spellStart"/>
      <w:r w:rsidRPr="002C5AFF">
        <w:rPr>
          <w:rFonts w:ascii="Garamond" w:hAnsi="Garamond"/>
          <w:i/>
        </w:rPr>
        <w:t>veniunt</w:t>
      </w:r>
      <w:proofErr w:type="spellEnd"/>
      <w:r w:rsidRPr="002C5AFF">
        <w:rPr>
          <w:rFonts w:ascii="Garamond" w:hAnsi="Garamond"/>
          <w:i/>
        </w:rPr>
        <w:t xml:space="preserve"> </w:t>
      </w:r>
      <w:proofErr w:type="spellStart"/>
      <w:r w:rsidRPr="002C5AFF">
        <w:rPr>
          <w:rFonts w:ascii="Garamond" w:hAnsi="Garamond"/>
          <w:i/>
        </w:rPr>
        <w:t>aliena</w:t>
      </w:r>
      <w:proofErr w:type="spellEnd"/>
      <w:r w:rsidRPr="002C5AFF">
        <w:rPr>
          <w:rFonts w:ascii="Garamond" w:hAnsi="Garamond"/>
          <w:i/>
        </w:rPr>
        <w:t xml:space="preserve"> </w:t>
      </w:r>
      <w:proofErr w:type="spellStart"/>
      <w:r w:rsidRPr="002C5AFF">
        <w:rPr>
          <w:rFonts w:ascii="Garamond" w:hAnsi="Garamond"/>
          <w:i/>
        </w:rPr>
        <w:t>capita</w:t>
      </w:r>
      <w:proofErr w:type="spellEnd"/>
      <w:r w:rsidRPr="002C5AFF">
        <w:rPr>
          <w:rFonts w:ascii="Garamond" w:hAnsi="Garamond"/>
          <w:i/>
        </w:rPr>
        <w:t>.“</w:t>
      </w:r>
    </w:p>
  </w:footnote>
  <w:footnote w:id="9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zákon č. 99/1963 Sb., občanský soudní řád, ve znění pozdějších předpisů</w:t>
      </w:r>
    </w:p>
  </w:footnote>
  <w:footnote w:id="9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usnesení Nejvyššího soudu ze dne 18. září 2018, </w:t>
      </w:r>
      <w:proofErr w:type="spellStart"/>
      <w:r w:rsidRPr="002C5AFF">
        <w:rPr>
          <w:rFonts w:ascii="Garamond" w:hAnsi="Garamond"/>
        </w:rPr>
        <w:t>sp</w:t>
      </w:r>
      <w:proofErr w:type="spellEnd"/>
      <w:r w:rsidRPr="002C5AFF">
        <w:rPr>
          <w:rFonts w:ascii="Garamond" w:hAnsi="Garamond"/>
        </w:rPr>
        <w:t>. zn. 22 </w:t>
      </w:r>
      <w:proofErr w:type="spellStart"/>
      <w:r w:rsidRPr="002C5AFF">
        <w:rPr>
          <w:rFonts w:ascii="Garamond" w:hAnsi="Garamond"/>
        </w:rPr>
        <w:t>Cdo</w:t>
      </w:r>
      <w:proofErr w:type="spellEnd"/>
      <w:r w:rsidRPr="002C5AFF">
        <w:rPr>
          <w:rFonts w:ascii="Garamond" w:hAnsi="Garamond"/>
        </w:rPr>
        <w:t> 2721/2018</w:t>
      </w:r>
    </w:p>
  </w:footnote>
  <w:footnote w:id="9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SPÁČIL, Jiří. § 1041. In: SPÁČIL a kol: </w:t>
      </w:r>
      <w:r w:rsidRPr="002C5AFF">
        <w:rPr>
          <w:rFonts w:ascii="Garamond" w:hAnsi="Garamond"/>
          <w:i/>
        </w:rPr>
        <w:t>Občanský zákoník…</w:t>
      </w:r>
      <w:r w:rsidRPr="002C5AFF">
        <w:rPr>
          <w:rFonts w:ascii="Garamond" w:hAnsi="Garamond"/>
        </w:rPr>
        <w:t>, s. 222.</w:t>
      </w:r>
    </w:p>
  </w:footnote>
  <w:footnote w:id="9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MERKEL, </w:t>
      </w:r>
      <w:proofErr w:type="spellStart"/>
      <w:r w:rsidRPr="002C5AFF">
        <w:rPr>
          <w:rFonts w:ascii="Garamond" w:hAnsi="Garamond"/>
        </w:rPr>
        <w:t>Johannes</w:t>
      </w:r>
      <w:proofErr w:type="spellEnd"/>
      <w:r w:rsidRPr="002C5AFF">
        <w:rPr>
          <w:rFonts w:ascii="Garamond" w:hAnsi="Garamond"/>
        </w:rPr>
        <w:t xml:space="preserve">. </w:t>
      </w:r>
      <w:proofErr w:type="spellStart"/>
      <w:r w:rsidRPr="002C5AFF">
        <w:rPr>
          <w:rFonts w:ascii="Garamond" w:hAnsi="Garamond"/>
          <w:i/>
        </w:rPr>
        <w:t>Abhandlungen</w:t>
      </w:r>
      <w:proofErr w:type="spellEnd"/>
      <w:r w:rsidRPr="002C5AFF">
        <w:rPr>
          <w:rFonts w:ascii="Garamond" w:hAnsi="Garamond"/>
          <w:i/>
        </w:rPr>
        <w:t xml:space="preserve"> </w:t>
      </w:r>
      <w:proofErr w:type="spellStart"/>
      <w:r w:rsidRPr="002C5AFF">
        <w:rPr>
          <w:rFonts w:ascii="Garamond" w:hAnsi="Garamond"/>
          <w:i/>
        </w:rPr>
        <w:t>aus</w:t>
      </w:r>
      <w:proofErr w:type="spellEnd"/>
      <w:r w:rsidRPr="002C5AFF">
        <w:rPr>
          <w:rFonts w:ascii="Garamond" w:hAnsi="Garamond"/>
          <w:i/>
        </w:rPr>
        <w:t xml:space="preserve"> </w:t>
      </w:r>
      <w:proofErr w:type="spellStart"/>
      <w:r w:rsidRPr="002C5AFF">
        <w:rPr>
          <w:rFonts w:ascii="Garamond" w:hAnsi="Garamond"/>
          <w:i/>
        </w:rPr>
        <w:t>dem</w:t>
      </w:r>
      <w:proofErr w:type="spellEnd"/>
      <w:r w:rsidRPr="002C5AFF">
        <w:rPr>
          <w:rFonts w:ascii="Garamond" w:hAnsi="Garamond"/>
          <w:i/>
        </w:rPr>
        <w:t xml:space="preserve"> </w:t>
      </w:r>
      <w:proofErr w:type="spellStart"/>
      <w:r w:rsidRPr="002C5AFF">
        <w:rPr>
          <w:rFonts w:ascii="Garamond" w:hAnsi="Garamond"/>
          <w:i/>
        </w:rPr>
        <w:t>Gebiete</w:t>
      </w:r>
      <w:proofErr w:type="spellEnd"/>
      <w:r w:rsidRPr="002C5AFF">
        <w:rPr>
          <w:rFonts w:ascii="Garamond" w:hAnsi="Garamond"/>
          <w:i/>
        </w:rPr>
        <w:t xml:space="preserve"> des </w:t>
      </w:r>
      <w:proofErr w:type="spellStart"/>
      <w:r w:rsidRPr="002C5AFF">
        <w:rPr>
          <w:rFonts w:ascii="Garamond" w:hAnsi="Garamond"/>
          <w:i/>
        </w:rPr>
        <w:t>römischen</w:t>
      </w:r>
      <w:proofErr w:type="spellEnd"/>
      <w:r w:rsidRPr="002C5AFF">
        <w:rPr>
          <w:rFonts w:ascii="Garamond" w:hAnsi="Garamond"/>
          <w:i/>
        </w:rPr>
        <w:t xml:space="preserve"> </w:t>
      </w:r>
      <w:proofErr w:type="spellStart"/>
      <w:r w:rsidRPr="002C5AFF">
        <w:rPr>
          <w:rFonts w:ascii="Garamond" w:hAnsi="Garamond"/>
          <w:i/>
        </w:rPr>
        <w:t>Rechts</w:t>
      </w:r>
      <w:proofErr w:type="spellEnd"/>
      <w:r w:rsidRPr="002C5AFF">
        <w:rPr>
          <w:rFonts w:ascii="Garamond" w:hAnsi="Garamond"/>
          <w:i/>
        </w:rPr>
        <w:t xml:space="preserve">. Heft III., </w:t>
      </w:r>
      <w:proofErr w:type="spellStart"/>
      <w:r w:rsidRPr="002C5AFF">
        <w:rPr>
          <w:rFonts w:ascii="Garamond" w:hAnsi="Garamond"/>
          <w:i/>
        </w:rPr>
        <w:t>Über</w:t>
      </w:r>
      <w:proofErr w:type="spellEnd"/>
      <w:r w:rsidRPr="002C5AFF">
        <w:rPr>
          <w:rFonts w:ascii="Garamond" w:hAnsi="Garamond"/>
          <w:i/>
        </w:rPr>
        <w:t xml:space="preserve"> </w:t>
      </w:r>
      <w:proofErr w:type="spellStart"/>
      <w:r w:rsidRPr="002C5AFF">
        <w:rPr>
          <w:rFonts w:ascii="Garamond" w:hAnsi="Garamond"/>
          <w:i/>
        </w:rPr>
        <w:t>die</w:t>
      </w:r>
      <w:proofErr w:type="spellEnd"/>
      <w:r w:rsidRPr="002C5AFF">
        <w:rPr>
          <w:rFonts w:ascii="Garamond" w:hAnsi="Garamond"/>
          <w:i/>
        </w:rPr>
        <w:t xml:space="preserve"> </w:t>
      </w:r>
      <w:proofErr w:type="spellStart"/>
      <w:r w:rsidRPr="002C5AFF">
        <w:rPr>
          <w:rFonts w:ascii="Garamond" w:hAnsi="Garamond"/>
          <w:i/>
        </w:rPr>
        <w:t>Entstehung</w:t>
      </w:r>
      <w:proofErr w:type="spellEnd"/>
      <w:r w:rsidRPr="002C5AFF">
        <w:rPr>
          <w:rFonts w:ascii="Garamond" w:hAnsi="Garamond"/>
          <w:i/>
        </w:rPr>
        <w:t xml:space="preserve"> des </w:t>
      </w:r>
      <w:proofErr w:type="spellStart"/>
      <w:r w:rsidRPr="002C5AFF">
        <w:rPr>
          <w:rFonts w:ascii="Garamond" w:hAnsi="Garamond"/>
          <w:i/>
        </w:rPr>
        <w:t>römischen</w:t>
      </w:r>
      <w:proofErr w:type="spellEnd"/>
      <w:r w:rsidRPr="002C5AFF">
        <w:rPr>
          <w:rFonts w:ascii="Garamond" w:hAnsi="Garamond"/>
          <w:i/>
        </w:rPr>
        <w:t xml:space="preserve"> </w:t>
      </w:r>
      <w:proofErr w:type="spellStart"/>
      <w:r w:rsidRPr="002C5AFF">
        <w:rPr>
          <w:rFonts w:ascii="Garamond" w:hAnsi="Garamond"/>
          <w:i/>
        </w:rPr>
        <w:t>Beamtengehaltes</w:t>
      </w:r>
      <w:proofErr w:type="spellEnd"/>
      <w:r w:rsidRPr="002C5AFF">
        <w:rPr>
          <w:rFonts w:ascii="Garamond" w:hAnsi="Garamond"/>
          <w:i/>
        </w:rPr>
        <w:t xml:space="preserve"> </w:t>
      </w:r>
      <w:proofErr w:type="spellStart"/>
      <w:r w:rsidRPr="002C5AFF">
        <w:rPr>
          <w:rFonts w:ascii="Garamond" w:hAnsi="Garamond"/>
          <w:i/>
        </w:rPr>
        <w:t>und</w:t>
      </w:r>
      <w:proofErr w:type="spellEnd"/>
      <w:r w:rsidRPr="002C5AFF">
        <w:rPr>
          <w:rFonts w:ascii="Garamond" w:hAnsi="Garamond"/>
          <w:i/>
        </w:rPr>
        <w:t xml:space="preserve"> </w:t>
      </w:r>
      <w:proofErr w:type="spellStart"/>
      <w:r w:rsidRPr="002C5AFF">
        <w:rPr>
          <w:rFonts w:ascii="Garamond" w:hAnsi="Garamond"/>
          <w:i/>
        </w:rPr>
        <w:t>über</w:t>
      </w:r>
      <w:proofErr w:type="spellEnd"/>
      <w:r w:rsidRPr="002C5AFF">
        <w:rPr>
          <w:rFonts w:ascii="Garamond" w:hAnsi="Garamond"/>
          <w:i/>
        </w:rPr>
        <w:t xml:space="preserve"> </w:t>
      </w:r>
      <w:proofErr w:type="spellStart"/>
      <w:r w:rsidRPr="002C5AFF">
        <w:rPr>
          <w:rFonts w:ascii="Garamond" w:hAnsi="Garamond"/>
          <w:i/>
        </w:rPr>
        <w:t>römische</w:t>
      </w:r>
      <w:proofErr w:type="spellEnd"/>
      <w:r w:rsidRPr="002C5AFF">
        <w:rPr>
          <w:rFonts w:ascii="Garamond" w:hAnsi="Garamond"/>
          <w:i/>
        </w:rPr>
        <w:t xml:space="preserve"> </w:t>
      </w:r>
      <w:proofErr w:type="spellStart"/>
      <w:r w:rsidRPr="002C5AFF">
        <w:rPr>
          <w:rFonts w:ascii="Garamond" w:hAnsi="Garamond"/>
          <w:i/>
        </w:rPr>
        <w:t>Gerichtsgebühren</w:t>
      </w:r>
      <w:proofErr w:type="spellEnd"/>
      <w:r w:rsidRPr="002C5AFF">
        <w:rPr>
          <w:rFonts w:ascii="Garamond" w:hAnsi="Garamond"/>
          <w:i/>
        </w:rPr>
        <w:t>.</w:t>
      </w:r>
      <w:r w:rsidRPr="002C5AFF">
        <w:rPr>
          <w:rFonts w:ascii="Garamond" w:hAnsi="Garamond"/>
        </w:rPr>
        <w:t xml:space="preserve"> Max </w:t>
      </w:r>
      <w:proofErr w:type="spellStart"/>
      <w:r w:rsidRPr="002C5AFF">
        <w:rPr>
          <w:rFonts w:ascii="Garamond" w:hAnsi="Garamond"/>
        </w:rPr>
        <w:t>Niemeyer</w:t>
      </w:r>
      <w:proofErr w:type="spellEnd"/>
      <w:r w:rsidRPr="002C5AFF">
        <w:rPr>
          <w:rFonts w:ascii="Garamond" w:hAnsi="Garamond"/>
        </w:rPr>
        <w:t>, 1888, s. 125.</w:t>
      </w:r>
    </w:p>
  </w:footnote>
  <w:footnote w:id="9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253, 283.</w:t>
      </w:r>
    </w:p>
  </w:footnote>
  <w:footnote w:id="9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II: </w:t>
      </w:r>
      <w:r w:rsidRPr="002C5AFF">
        <w:rPr>
          <w:rFonts w:ascii="Garamond" w:hAnsi="Garamond"/>
          <w:i/>
        </w:rPr>
        <w:t xml:space="preserve">„1a. De </w:t>
      </w:r>
      <w:proofErr w:type="spellStart"/>
      <w:r w:rsidRPr="002C5AFF">
        <w:rPr>
          <w:rFonts w:ascii="Garamond" w:hAnsi="Garamond"/>
          <w:i/>
        </w:rPr>
        <w:t>rebus</w:t>
      </w:r>
      <w:proofErr w:type="spellEnd"/>
      <w:r w:rsidRPr="002C5AFF">
        <w:rPr>
          <w:rFonts w:ascii="Garamond" w:hAnsi="Garamond"/>
          <w:i/>
        </w:rPr>
        <w:t xml:space="preserve"> M </w:t>
      </w:r>
      <w:proofErr w:type="spellStart"/>
      <w:r w:rsidRPr="002C5AFF">
        <w:rPr>
          <w:rFonts w:ascii="Garamond" w:hAnsi="Garamond"/>
          <w:i/>
        </w:rPr>
        <w:t>aeris</w:t>
      </w:r>
      <w:proofErr w:type="spellEnd"/>
      <w:r w:rsidRPr="002C5AFF">
        <w:rPr>
          <w:rFonts w:ascii="Garamond" w:hAnsi="Garamond"/>
          <w:i/>
        </w:rPr>
        <w:t xml:space="preserve"> </w:t>
      </w:r>
      <w:proofErr w:type="spellStart"/>
      <w:r w:rsidRPr="002C5AFF">
        <w:rPr>
          <w:rFonts w:ascii="Garamond" w:hAnsi="Garamond"/>
          <w:i/>
        </w:rPr>
        <w:t>plurisve</w:t>
      </w:r>
      <w:proofErr w:type="spellEnd"/>
      <w:r w:rsidRPr="002C5AFF">
        <w:rPr>
          <w:rFonts w:ascii="Garamond" w:hAnsi="Garamond"/>
          <w:i/>
        </w:rPr>
        <w:t xml:space="preserve"> D </w:t>
      </w:r>
      <w:proofErr w:type="spellStart"/>
      <w:r w:rsidRPr="002C5AFF">
        <w:rPr>
          <w:rFonts w:ascii="Garamond" w:hAnsi="Garamond"/>
          <w:i/>
        </w:rPr>
        <w:t>assibus</w:t>
      </w:r>
      <w:proofErr w:type="spellEnd"/>
      <w:r w:rsidRPr="002C5AFF">
        <w:rPr>
          <w:rFonts w:ascii="Garamond" w:hAnsi="Garamond"/>
          <w:i/>
        </w:rPr>
        <w:t xml:space="preserve">, de </w:t>
      </w:r>
      <w:proofErr w:type="spellStart"/>
      <w:r w:rsidRPr="002C5AFF">
        <w:rPr>
          <w:rFonts w:ascii="Garamond" w:hAnsi="Garamond"/>
          <w:i/>
        </w:rPr>
        <w:t>minoris</w:t>
      </w:r>
      <w:proofErr w:type="spellEnd"/>
      <w:r w:rsidRPr="002C5AFF">
        <w:rPr>
          <w:rFonts w:ascii="Garamond" w:hAnsi="Garamond"/>
          <w:i/>
        </w:rPr>
        <w:t xml:space="preserve"> </w:t>
      </w:r>
      <w:proofErr w:type="spellStart"/>
      <w:r w:rsidRPr="002C5AFF">
        <w:rPr>
          <w:rFonts w:ascii="Garamond" w:hAnsi="Garamond"/>
          <w:i/>
        </w:rPr>
        <w:t>vero</w:t>
      </w:r>
      <w:proofErr w:type="spellEnd"/>
      <w:r w:rsidRPr="002C5AFF">
        <w:rPr>
          <w:rFonts w:ascii="Garamond" w:hAnsi="Garamond"/>
          <w:i/>
        </w:rPr>
        <w:t xml:space="preserve"> L </w:t>
      </w:r>
      <w:proofErr w:type="spellStart"/>
      <w:r w:rsidRPr="002C5AFF">
        <w:rPr>
          <w:rFonts w:ascii="Garamond" w:hAnsi="Garamond"/>
          <w:i/>
        </w:rPr>
        <w:t>assibus</w:t>
      </w:r>
      <w:proofErr w:type="spellEnd"/>
      <w:r w:rsidRPr="002C5AFF">
        <w:rPr>
          <w:rFonts w:ascii="Garamond" w:hAnsi="Garamond"/>
          <w:i/>
        </w:rPr>
        <w:t xml:space="preserve"> </w:t>
      </w:r>
      <w:proofErr w:type="spellStart"/>
      <w:r w:rsidRPr="002C5AFF">
        <w:rPr>
          <w:rFonts w:ascii="Garamond" w:hAnsi="Garamond"/>
          <w:i/>
        </w:rPr>
        <w:t>sacramento</w:t>
      </w:r>
      <w:proofErr w:type="spellEnd"/>
      <w:r w:rsidRPr="002C5AFF">
        <w:rPr>
          <w:rFonts w:ascii="Garamond" w:hAnsi="Garamond"/>
          <w:i/>
        </w:rPr>
        <w:t xml:space="preserve"> </w:t>
      </w:r>
      <w:proofErr w:type="spellStart"/>
      <w:r w:rsidRPr="002C5AFF">
        <w:rPr>
          <w:rFonts w:ascii="Garamond" w:hAnsi="Garamond"/>
          <w:i/>
        </w:rPr>
        <w:t>contendebatur</w:t>
      </w:r>
      <w:proofErr w:type="spellEnd"/>
      <w:r w:rsidRPr="002C5AFF">
        <w:rPr>
          <w:rFonts w:ascii="Garamond" w:hAnsi="Garamond"/>
          <w:i/>
        </w:rPr>
        <w:t xml:space="preserve"> ; </w:t>
      </w:r>
      <w:proofErr w:type="spellStart"/>
      <w:r w:rsidRPr="002C5AFF">
        <w:rPr>
          <w:rFonts w:ascii="Garamond" w:hAnsi="Garamond"/>
          <w:i/>
        </w:rPr>
        <w:t>nam</w:t>
      </w:r>
      <w:proofErr w:type="spellEnd"/>
      <w:r w:rsidRPr="002C5AFF">
        <w:rPr>
          <w:rFonts w:ascii="Garamond" w:hAnsi="Garamond"/>
          <w:i/>
        </w:rPr>
        <w:t xml:space="preserve"> </w:t>
      </w:r>
      <w:proofErr w:type="spellStart"/>
      <w:r w:rsidRPr="002C5AFF">
        <w:rPr>
          <w:rFonts w:ascii="Garamond" w:hAnsi="Garamond"/>
          <w:i/>
        </w:rPr>
        <w:t>ita</w:t>
      </w:r>
      <w:proofErr w:type="spellEnd"/>
      <w:r w:rsidRPr="002C5AFF">
        <w:rPr>
          <w:rFonts w:ascii="Garamond" w:hAnsi="Garamond"/>
          <w:i/>
        </w:rPr>
        <w:t xml:space="preserve"> </w:t>
      </w:r>
      <w:proofErr w:type="spellStart"/>
      <w:r w:rsidRPr="002C5AFF">
        <w:rPr>
          <w:rFonts w:ascii="Garamond" w:hAnsi="Garamond"/>
          <w:i/>
        </w:rPr>
        <w:t>lege</w:t>
      </w:r>
      <w:proofErr w:type="spellEnd"/>
      <w:r w:rsidRPr="002C5AFF">
        <w:rPr>
          <w:rFonts w:ascii="Garamond" w:hAnsi="Garamond"/>
          <w:i/>
        </w:rPr>
        <w:t xml:space="preserve"> XII </w:t>
      </w:r>
      <w:proofErr w:type="spellStart"/>
      <w:r w:rsidRPr="002C5AFF">
        <w:rPr>
          <w:rFonts w:ascii="Garamond" w:hAnsi="Garamond"/>
          <w:i/>
        </w:rPr>
        <w:t>tabularum</w:t>
      </w:r>
      <w:proofErr w:type="spellEnd"/>
      <w:r w:rsidRPr="002C5AFF">
        <w:rPr>
          <w:rFonts w:ascii="Garamond" w:hAnsi="Garamond"/>
          <w:i/>
        </w:rPr>
        <w:t xml:space="preserve"> </w:t>
      </w:r>
      <w:proofErr w:type="spellStart"/>
      <w:r w:rsidRPr="002C5AFF">
        <w:rPr>
          <w:rFonts w:ascii="Garamond" w:hAnsi="Garamond"/>
          <w:i/>
        </w:rPr>
        <w:t>cautum</w:t>
      </w:r>
      <w:proofErr w:type="spellEnd"/>
      <w:r w:rsidRPr="002C5AFF">
        <w:rPr>
          <w:rFonts w:ascii="Garamond" w:hAnsi="Garamond"/>
          <w:i/>
        </w:rPr>
        <w:t xml:space="preserve"> </w:t>
      </w:r>
      <w:proofErr w:type="spellStart"/>
      <w:r w:rsidRPr="002C5AFF">
        <w:rPr>
          <w:rFonts w:ascii="Garamond" w:hAnsi="Garamond"/>
          <w:i/>
        </w:rPr>
        <w:t>erat</w:t>
      </w:r>
      <w:proofErr w:type="spellEnd"/>
      <w:r w:rsidRPr="002C5AFF">
        <w:rPr>
          <w:rFonts w:ascii="Garamond" w:hAnsi="Garamond"/>
          <w:i/>
        </w:rPr>
        <w:t xml:space="preserve">. </w:t>
      </w:r>
      <w:proofErr w:type="spellStart"/>
      <w:r w:rsidRPr="002C5AFF">
        <w:rPr>
          <w:rFonts w:ascii="Garamond" w:hAnsi="Garamond"/>
          <w:i/>
        </w:rPr>
        <w:t>At</w:t>
      </w:r>
      <w:proofErr w:type="spellEnd"/>
      <w:r w:rsidRPr="002C5AFF">
        <w:rPr>
          <w:rFonts w:ascii="Garamond" w:hAnsi="Garamond"/>
          <w:i/>
        </w:rPr>
        <w:t xml:space="preserve"> si de </w:t>
      </w:r>
      <w:proofErr w:type="spellStart"/>
      <w:r w:rsidRPr="002C5AFF">
        <w:rPr>
          <w:rFonts w:ascii="Garamond" w:hAnsi="Garamond"/>
          <w:i/>
        </w:rPr>
        <w:t>libertate</w:t>
      </w:r>
      <w:proofErr w:type="spellEnd"/>
      <w:r w:rsidRPr="002C5AFF">
        <w:rPr>
          <w:rFonts w:ascii="Garamond" w:hAnsi="Garamond"/>
          <w:i/>
        </w:rPr>
        <w:t xml:space="preserve"> </w:t>
      </w:r>
      <w:proofErr w:type="spellStart"/>
      <w:r w:rsidRPr="002C5AFF">
        <w:rPr>
          <w:rFonts w:ascii="Garamond" w:hAnsi="Garamond"/>
          <w:i/>
        </w:rPr>
        <w:t>hominis</w:t>
      </w:r>
      <w:proofErr w:type="spellEnd"/>
      <w:r w:rsidRPr="002C5AFF">
        <w:rPr>
          <w:rFonts w:ascii="Garamond" w:hAnsi="Garamond"/>
          <w:i/>
        </w:rPr>
        <w:t xml:space="preserve"> </w:t>
      </w:r>
      <w:proofErr w:type="spellStart"/>
      <w:r w:rsidRPr="002C5AFF">
        <w:rPr>
          <w:rFonts w:ascii="Garamond" w:hAnsi="Garamond"/>
          <w:i/>
        </w:rPr>
        <w:t>controversia</w:t>
      </w:r>
      <w:proofErr w:type="spellEnd"/>
      <w:r w:rsidRPr="002C5AFF">
        <w:rPr>
          <w:rFonts w:ascii="Garamond" w:hAnsi="Garamond"/>
          <w:i/>
        </w:rPr>
        <w:t xml:space="preserve"> </w:t>
      </w:r>
      <w:proofErr w:type="spellStart"/>
      <w:r w:rsidRPr="002C5AFF">
        <w:rPr>
          <w:rFonts w:ascii="Garamond" w:hAnsi="Garamond"/>
          <w:i/>
        </w:rPr>
        <w:t>erat</w:t>
      </w:r>
      <w:proofErr w:type="spellEnd"/>
      <w:r w:rsidRPr="002C5AFF">
        <w:rPr>
          <w:rFonts w:ascii="Garamond" w:hAnsi="Garamond"/>
          <w:i/>
        </w:rPr>
        <w:t xml:space="preserve">, </w:t>
      </w:r>
      <w:proofErr w:type="spellStart"/>
      <w:r w:rsidRPr="002C5AFF">
        <w:rPr>
          <w:rFonts w:ascii="Garamond" w:hAnsi="Garamond"/>
          <w:i/>
        </w:rPr>
        <w:t>etiamsi</w:t>
      </w:r>
      <w:proofErr w:type="spellEnd"/>
      <w:r w:rsidRPr="002C5AFF">
        <w:rPr>
          <w:rFonts w:ascii="Garamond" w:hAnsi="Garamond"/>
          <w:i/>
        </w:rPr>
        <w:t xml:space="preserve"> </w:t>
      </w:r>
      <w:proofErr w:type="spellStart"/>
      <w:r w:rsidRPr="002C5AFF">
        <w:rPr>
          <w:rFonts w:ascii="Garamond" w:hAnsi="Garamond"/>
          <w:i/>
        </w:rPr>
        <w:t>pretiosissimus</w:t>
      </w:r>
      <w:proofErr w:type="spellEnd"/>
      <w:r w:rsidRPr="002C5AFF">
        <w:rPr>
          <w:rFonts w:ascii="Garamond" w:hAnsi="Garamond"/>
          <w:i/>
        </w:rPr>
        <w:t xml:space="preserve"> homo </w:t>
      </w:r>
      <w:proofErr w:type="spellStart"/>
      <w:r w:rsidRPr="002C5AFF">
        <w:rPr>
          <w:rFonts w:ascii="Garamond" w:hAnsi="Garamond"/>
          <w:i/>
        </w:rPr>
        <w:t>esset</w:t>
      </w:r>
      <w:proofErr w:type="spellEnd"/>
      <w:r w:rsidRPr="002C5AFF">
        <w:rPr>
          <w:rFonts w:ascii="Garamond" w:hAnsi="Garamond"/>
          <w:i/>
        </w:rPr>
        <w:t xml:space="preserve">, </w:t>
      </w:r>
      <w:proofErr w:type="spellStart"/>
      <w:r w:rsidRPr="002C5AFF">
        <w:rPr>
          <w:rFonts w:ascii="Garamond" w:hAnsi="Garamond"/>
          <w:i/>
        </w:rPr>
        <w:t>tamen</w:t>
      </w:r>
      <w:proofErr w:type="spellEnd"/>
      <w:r w:rsidRPr="002C5AFF">
        <w:rPr>
          <w:rFonts w:ascii="Garamond" w:hAnsi="Garamond"/>
          <w:i/>
        </w:rPr>
        <w:t xml:space="preserve"> </w:t>
      </w:r>
      <w:proofErr w:type="spellStart"/>
      <w:r w:rsidRPr="002C5AFF">
        <w:rPr>
          <w:rFonts w:ascii="Garamond" w:hAnsi="Garamond"/>
          <w:i/>
        </w:rPr>
        <w:t>ut</w:t>
      </w:r>
      <w:proofErr w:type="spellEnd"/>
      <w:r w:rsidRPr="002C5AFF">
        <w:rPr>
          <w:rFonts w:ascii="Garamond" w:hAnsi="Garamond"/>
          <w:i/>
        </w:rPr>
        <w:t xml:space="preserve"> L </w:t>
      </w:r>
      <w:proofErr w:type="spellStart"/>
      <w:r w:rsidRPr="002C5AFF">
        <w:rPr>
          <w:rFonts w:ascii="Garamond" w:hAnsi="Garamond"/>
          <w:i/>
        </w:rPr>
        <w:t>assibus</w:t>
      </w:r>
      <w:proofErr w:type="spellEnd"/>
      <w:r w:rsidRPr="002C5AFF">
        <w:rPr>
          <w:rFonts w:ascii="Garamond" w:hAnsi="Garamond"/>
          <w:i/>
        </w:rPr>
        <w:t xml:space="preserve"> </w:t>
      </w:r>
      <w:proofErr w:type="spellStart"/>
      <w:r w:rsidRPr="002C5AFF">
        <w:rPr>
          <w:rFonts w:ascii="Garamond" w:hAnsi="Garamond"/>
          <w:i/>
        </w:rPr>
        <w:t>sacramento</w:t>
      </w:r>
      <w:proofErr w:type="spellEnd"/>
      <w:r w:rsidRPr="002C5AFF">
        <w:rPr>
          <w:rFonts w:ascii="Garamond" w:hAnsi="Garamond"/>
          <w:i/>
        </w:rPr>
        <w:t xml:space="preserve"> </w:t>
      </w:r>
      <w:proofErr w:type="spellStart"/>
      <w:r w:rsidRPr="002C5AFF">
        <w:rPr>
          <w:rFonts w:ascii="Garamond" w:hAnsi="Garamond"/>
          <w:i/>
        </w:rPr>
        <w:t>contenderetur</w:t>
      </w:r>
      <w:proofErr w:type="spellEnd"/>
      <w:r w:rsidRPr="002C5AFF">
        <w:rPr>
          <w:rFonts w:ascii="Garamond" w:hAnsi="Garamond"/>
          <w:i/>
        </w:rPr>
        <w:t xml:space="preserve">, </w:t>
      </w:r>
      <w:proofErr w:type="spellStart"/>
      <w:r w:rsidRPr="002C5AFF">
        <w:rPr>
          <w:rFonts w:ascii="Garamond" w:hAnsi="Garamond"/>
          <w:i/>
        </w:rPr>
        <w:t>eadem</w:t>
      </w:r>
      <w:proofErr w:type="spellEnd"/>
      <w:r w:rsidRPr="002C5AFF">
        <w:rPr>
          <w:rFonts w:ascii="Garamond" w:hAnsi="Garamond"/>
          <w:i/>
        </w:rPr>
        <w:t xml:space="preserve"> </w:t>
      </w:r>
      <w:proofErr w:type="spellStart"/>
      <w:r w:rsidRPr="002C5AFF">
        <w:rPr>
          <w:rFonts w:ascii="Garamond" w:hAnsi="Garamond"/>
          <w:i/>
        </w:rPr>
        <w:t>lege</w:t>
      </w:r>
      <w:proofErr w:type="spellEnd"/>
      <w:r w:rsidRPr="002C5AFF">
        <w:rPr>
          <w:rFonts w:ascii="Garamond" w:hAnsi="Garamond"/>
          <w:i/>
        </w:rPr>
        <w:t xml:space="preserve"> </w:t>
      </w:r>
      <w:proofErr w:type="spellStart"/>
      <w:r w:rsidRPr="002C5AFF">
        <w:rPr>
          <w:rFonts w:ascii="Garamond" w:hAnsi="Garamond"/>
          <w:i/>
        </w:rPr>
        <w:t>cautum</w:t>
      </w:r>
      <w:proofErr w:type="spellEnd"/>
      <w:r w:rsidRPr="002C5AFF">
        <w:rPr>
          <w:rFonts w:ascii="Garamond" w:hAnsi="Garamond"/>
          <w:i/>
        </w:rPr>
        <w:t xml:space="preserve"> </w:t>
      </w:r>
      <w:proofErr w:type="spellStart"/>
      <w:proofErr w:type="gramStart"/>
      <w:r w:rsidRPr="002C5AFF">
        <w:rPr>
          <w:rFonts w:ascii="Garamond" w:hAnsi="Garamond"/>
          <w:i/>
        </w:rPr>
        <w:t>est</w:t>
      </w:r>
      <w:proofErr w:type="spellEnd"/>
      <w:r w:rsidRPr="002C5AFF">
        <w:rPr>
          <w:rFonts w:ascii="Garamond" w:hAnsi="Garamond"/>
          <w:i/>
        </w:rPr>
        <w:t xml:space="preserve"> ...“</w:t>
      </w:r>
      <w:proofErr w:type="gramEnd"/>
    </w:p>
  </w:footnote>
  <w:footnote w:id="10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i/>
        </w:rPr>
        <w:t>Weights</w:t>
      </w:r>
      <w:proofErr w:type="spellEnd"/>
      <w:r w:rsidRPr="002C5AFF">
        <w:rPr>
          <w:rFonts w:ascii="Garamond" w:hAnsi="Garamond"/>
          <w:i/>
        </w:rPr>
        <w:t xml:space="preserve"> </w:t>
      </w:r>
      <w:proofErr w:type="spellStart"/>
      <w:r w:rsidRPr="002C5AFF">
        <w:rPr>
          <w:rFonts w:ascii="Garamond" w:hAnsi="Garamond"/>
          <w:i/>
        </w:rPr>
        <w:t>and</w:t>
      </w:r>
      <w:proofErr w:type="spellEnd"/>
      <w:r w:rsidRPr="002C5AFF">
        <w:rPr>
          <w:rFonts w:ascii="Garamond" w:hAnsi="Garamond"/>
          <w:i/>
        </w:rPr>
        <w:t xml:space="preserve"> </w:t>
      </w:r>
      <w:proofErr w:type="spellStart"/>
      <w:r w:rsidRPr="002C5AFF">
        <w:rPr>
          <w:rFonts w:ascii="Garamond" w:hAnsi="Garamond"/>
          <w:i/>
        </w:rPr>
        <w:t>Measures</w:t>
      </w:r>
      <w:proofErr w:type="spellEnd"/>
      <w:r w:rsidRPr="002C5AFF">
        <w:rPr>
          <w:rFonts w:ascii="Garamond" w:hAnsi="Garamond"/>
          <w:i/>
        </w:rPr>
        <w:t xml:space="preserve"> </w:t>
      </w:r>
      <w:proofErr w:type="spellStart"/>
      <w:r w:rsidRPr="002C5AFF">
        <w:rPr>
          <w:rFonts w:ascii="Garamond" w:hAnsi="Garamond"/>
          <w:i/>
        </w:rPr>
        <w:t>Used</w:t>
      </w:r>
      <w:proofErr w:type="spellEnd"/>
      <w:r w:rsidRPr="002C5AFF">
        <w:rPr>
          <w:rFonts w:ascii="Garamond" w:hAnsi="Garamond"/>
          <w:i/>
        </w:rPr>
        <w:t xml:space="preserve"> in </w:t>
      </w:r>
      <w:proofErr w:type="spellStart"/>
      <w:r w:rsidRPr="002C5AFF">
        <w:rPr>
          <w:rFonts w:ascii="Garamond" w:hAnsi="Garamond"/>
          <w:i/>
        </w:rPr>
        <w:t>Ancient</w:t>
      </w:r>
      <w:proofErr w:type="spellEnd"/>
      <w:r w:rsidRPr="002C5AFF">
        <w:rPr>
          <w:rFonts w:ascii="Garamond" w:hAnsi="Garamond"/>
          <w:i/>
        </w:rPr>
        <w:t xml:space="preserve"> Rome</w:t>
      </w:r>
      <w:r w:rsidRPr="002C5AFF">
        <w:rPr>
          <w:rFonts w:ascii="Garamond" w:hAnsi="Garamond"/>
        </w:rPr>
        <w:t xml:space="preserve"> </w:t>
      </w:r>
      <w:r w:rsidRPr="002C5AFF">
        <w:rPr>
          <w:rFonts w:ascii="Garamond" w:hAnsi="Garamond"/>
          <w:lang w:val="en-US"/>
        </w:rPr>
        <w:t>[online]</w:t>
      </w:r>
      <w:r w:rsidRPr="002C5AFF">
        <w:rPr>
          <w:rFonts w:ascii="Garamond" w:hAnsi="Garamond"/>
        </w:rPr>
        <w:t xml:space="preserve">. UNRV.com, </w:t>
      </w:r>
      <w:r w:rsidRPr="002C5AFF">
        <w:rPr>
          <w:rFonts w:ascii="Garamond" w:hAnsi="Garamond"/>
          <w:lang w:val="en-US"/>
        </w:rPr>
        <w:t>[cit. 15.</w:t>
      </w:r>
      <w:r w:rsidRPr="002C5AFF">
        <w:rPr>
          <w:rFonts w:ascii="Garamond" w:hAnsi="Garamond"/>
        </w:rPr>
        <w:t xml:space="preserve"> </w:t>
      </w:r>
      <w:proofErr w:type="gramStart"/>
      <w:r w:rsidRPr="002C5AFF">
        <w:rPr>
          <w:rFonts w:ascii="Garamond" w:hAnsi="Garamond"/>
        </w:rPr>
        <w:t>března</w:t>
      </w:r>
      <w:proofErr w:type="gramEnd"/>
      <w:r w:rsidRPr="002C5AFF">
        <w:rPr>
          <w:rFonts w:ascii="Garamond" w:hAnsi="Garamond"/>
        </w:rPr>
        <w:t xml:space="preserve"> 2020</w:t>
      </w:r>
      <w:r w:rsidRPr="002C5AFF">
        <w:rPr>
          <w:rFonts w:ascii="Garamond" w:hAnsi="Garamond"/>
          <w:lang w:val="en-US"/>
        </w:rPr>
        <w:t>]</w:t>
      </w:r>
      <w:r w:rsidRPr="002C5AFF">
        <w:rPr>
          <w:rFonts w:ascii="Garamond" w:hAnsi="Garamond"/>
        </w:rPr>
        <w:t>. Dostupné na &lt;</w:t>
      </w:r>
      <w:hyperlink r:id="rId1" w:history="1">
        <w:r w:rsidRPr="002C5AFF">
          <w:rPr>
            <w:rStyle w:val="Hypertextovodkaz"/>
            <w:rFonts w:ascii="Garamond" w:hAnsi="Garamond"/>
          </w:rPr>
          <w:t>https://www.unrv.com/culture/roman-weights-meas</w:t>
        </w:r>
        <w:r w:rsidRPr="002C5AFF">
          <w:rPr>
            <w:rStyle w:val="Hypertextovodkaz"/>
            <w:rFonts w:ascii="Garamond" w:hAnsi="Garamond"/>
          </w:rPr>
          <w:t>ures.php</w:t>
        </w:r>
      </w:hyperlink>
      <w:r w:rsidRPr="002C5AFF">
        <w:rPr>
          <w:rFonts w:ascii="Garamond" w:hAnsi="Garamond"/>
        </w:rPr>
        <w:t>&gt;.</w:t>
      </w:r>
    </w:p>
  </w:footnote>
  <w:footnote w:id="10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KELLY, </w:t>
      </w:r>
      <w:proofErr w:type="spellStart"/>
      <w:r w:rsidRPr="002C5AFF">
        <w:rPr>
          <w:rFonts w:ascii="Garamond" w:hAnsi="Garamond"/>
        </w:rPr>
        <w:t>Christopher</w:t>
      </w:r>
      <w:proofErr w:type="spellEnd"/>
      <w:r w:rsidRPr="002C5AFF">
        <w:rPr>
          <w:rFonts w:ascii="Garamond" w:hAnsi="Garamond"/>
        </w:rPr>
        <w:t xml:space="preserve">. </w:t>
      </w:r>
      <w:proofErr w:type="spellStart"/>
      <w:r w:rsidRPr="002C5AFF">
        <w:rPr>
          <w:rFonts w:ascii="Garamond" w:hAnsi="Garamond"/>
          <w:i/>
        </w:rPr>
        <w:t>Ruling</w:t>
      </w:r>
      <w:proofErr w:type="spellEnd"/>
      <w:r w:rsidRPr="002C5AFF">
        <w:rPr>
          <w:rFonts w:ascii="Garamond" w:hAnsi="Garamond"/>
          <w:i/>
        </w:rPr>
        <w:t xml:space="preserve"> </w:t>
      </w:r>
      <w:proofErr w:type="spellStart"/>
      <w:r w:rsidRPr="002C5AFF">
        <w:rPr>
          <w:rFonts w:ascii="Garamond" w:hAnsi="Garamond"/>
          <w:i/>
        </w:rPr>
        <w:t>the</w:t>
      </w:r>
      <w:proofErr w:type="spellEnd"/>
      <w:r w:rsidRPr="002C5AFF">
        <w:rPr>
          <w:rFonts w:ascii="Garamond" w:hAnsi="Garamond"/>
          <w:i/>
        </w:rPr>
        <w:t xml:space="preserve"> </w:t>
      </w:r>
      <w:proofErr w:type="spellStart"/>
      <w:r w:rsidRPr="002C5AFF">
        <w:rPr>
          <w:rFonts w:ascii="Garamond" w:hAnsi="Garamond"/>
          <w:i/>
        </w:rPr>
        <w:t>Later</w:t>
      </w:r>
      <w:proofErr w:type="spellEnd"/>
      <w:r w:rsidRPr="002C5AFF">
        <w:rPr>
          <w:rFonts w:ascii="Garamond" w:hAnsi="Garamond"/>
          <w:i/>
        </w:rPr>
        <w:t xml:space="preserve"> Roman Empire.</w:t>
      </w:r>
      <w:r w:rsidRPr="002C5AFF">
        <w:rPr>
          <w:rFonts w:ascii="Garamond" w:hAnsi="Garamond"/>
        </w:rPr>
        <w:t xml:space="preserve"> Harvard University </w:t>
      </w:r>
      <w:proofErr w:type="spellStart"/>
      <w:r w:rsidRPr="002C5AFF">
        <w:rPr>
          <w:rFonts w:ascii="Garamond" w:hAnsi="Garamond"/>
        </w:rPr>
        <w:t>Press</w:t>
      </w:r>
      <w:proofErr w:type="spellEnd"/>
      <w:r w:rsidRPr="002C5AFF">
        <w:rPr>
          <w:rFonts w:ascii="Garamond" w:hAnsi="Garamond"/>
        </w:rPr>
        <w:t>, 2009, s. 141.</w:t>
      </w:r>
    </w:p>
  </w:footnote>
  <w:footnote w:id="10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264.</w:t>
      </w:r>
    </w:p>
  </w:footnote>
  <w:footnote w:id="10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KELLY: </w:t>
      </w:r>
      <w:proofErr w:type="spellStart"/>
      <w:r w:rsidRPr="002C5AFF">
        <w:rPr>
          <w:rFonts w:ascii="Garamond" w:hAnsi="Garamond"/>
          <w:i/>
        </w:rPr>
        <w:t>Ruling</w:t>
      </w:r>
      <w:proofErr w:type="spellEnd"/>
      <w:r w:rsidRPr="002C5AFF">
        <w:rPr>
          <w:rFonts w:ascii="Garamond" w:hAnsi="Garamond"/>
          <w:i/>
        </w:rPr>
        <w:t xml:space="preserve"> </w:t>
      </w:r>
      <w:proofErr w:type="spellStart"/>
      <w:r w:rsidRPr="002C5AFF">
        <w:rPr>
          <w:rFonts w:ascii="Garamond" w:hAnsi="Garamond"/>
          <w:i/>
        </w:rPr>
        <w:t>the</w:t>
      </w:r>
      <w:proofErr w:type="spellEnd"/>
      <w:r w:rsidRPr="002C5AFF">
        <w:rPr>
          <w:rFonts w:ascii="Garamond" w:hAnsi="Garamond"/>
          <w:i/>
        </w:rPr>
        <w:t>…,</w:t>
      </w:r>
      <w:r w:rsidRPr="002C5AFF">
        <w:rPr>
          <w:rFonts w:ascii="Garamond" w:hAnsi="Garamond"/>
        </w:rPr>
        <w:t xml:space="preserve"> s. 138-140.</w:t>
      </w:r>
    </w:p>
  </w:footnote>
  <w:footnote w:id="10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Vyučování bylo původně realizováno především formou praktické přípravy, kdy žáci přihlíželi při udílení </w:t>
      </w:r>
      <w:proofErr w:type="spellStart"/>
      <w:r w:rsidRPr="002C5AFF">
        <w:rPr>
          <w:rFonts w:ascii="Garamond" w:hAnsi="Garamond"/>
        </w:rPr>
        <w:t>respons</w:t>
      </w:r>
      <w:proofErr w:type="spellEnd"/>
      <w:r w:rsidRPr="002C5AFF">
        <w:rPr>
          <w:rFonts w:ascii="Garamond" w:hAnsi="Garamond"/>
        </w:rPr>
        <w:t xml:space="preserve">. Ke konci republiky začalo vyučování nabývat i podoby souvislého teoretického výkladu a za principátu pak bylo vyučování, ať už teoretické či praktické, realizováno ve zvláštních veřejných posluchárnách. Nakonec byly založeny právnické školy, kde vyučovali tzv. </w:t>
      </w:r>
      <w:proofErr w:type="spellStart"/>
      <w:r w:rsidRPr="002C5AFF">
        <w:rPr>
          <w:rFonts w:ascii="Garamond" w:hAnsi="Garamond"/>
          <w:i/>
        </w:rPr>
        <w:t>professores</w:t>
      </w:r>
      <w:proofErr w:type="spellEnd"/>
      <w:r w:rsidRPr="002C5AFF">
        <w:rPr>
          <w:rFonts w:ascii="Garamond" w:hAnsi="Garamond"/>
        </w:rPr>
        <w:t xml:space="preserve">. (HEYROVSKÝ: </w:t>
      </w:r>
      <w:r w:rsidRPr="002C5AFF">
        <w:rPr>
          <w:rFonts w:ascii="Garamond" w:hAnsi="Garamond"/>
          <w:i/>
        </w:rPr>
        <w:t>Dějiny a systém…</w:t>
      </w:r>
      <w:r w:rsidRPr="002C5AFF">
        <w:rPr>
          <w:rFonts w:ascii="Garamond" w:hAnsi="Garamond"/>
        </w:rPr>
        <w:t>, s. 53 – 59.)</w:t>
      </w:r>
    </w:p>
  </w:footnote>
  <w:footnote w:id="10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CHROUST, Anton-Hermann. </w:t>
      </w:r>
      <w:proofErr w:type="spellStart"/>
      <w:r w:rsidRPr="002C5AFF">
        <w:rPr>
          <w:rFonts w:ascii="Garamond" w:hAnsi="Garamond"/>
        </w:rPr>
        <w:t>Legal</w:t>
      </w:r>
      <w:proofErr w:type="spellEnd"/>
      <w:r w:rsidRPr="002C5AFF">
        <w:rPr>
          <w:rFonts w:ascii="Garamond" w:hAnsi="Garamond"/>
        </w:rPr>
        <w:t xml:space="preserve"> </w:t>
      </w:r>
      <w:proofErr w:type="spellStart"/>
      <w:r w:rsidRPr="002C5AFF">
        <w:rPr>
          <w:rFonts w:ascii="Garamond" w:hAnsi="Garamond"/>
        </w:rPr>
        <w:t>Profession</w:t>
      </w:r>
      <w:proofErr w:type="spellEnd"/>
      <w:r w:rsidRPr="002C5AFF">
        <w:rPr>
          <w:rFonts w:ascii="Garamond" w:hAnsi="Garamond"/>
        </w:rPr>
        <w:t xml:space="preserve"> in </w:t>
      </w:r>
      <w:proofErr w:type="spellStart"/>
      <w:r w:rsidRPr="002C5AFF">
        <w:rPr>
          <w:rFonts w:ascii="Garamond" w:hAnsi="Garamond"/>
        </w:rPr>
        <w:t>Ancient</w:t>
      </w:r>
      <w:proofErr w:type="spellEnd"/>
      <w:r w:rsidRPr="002C5AFF">
        <w:rPr>
          <w:rFonts w:ascii="Garamond" w:hAnsi="Garamond"/>
        </w:rPr>
        <w:t xml:space="preserve"> </w:t>
      </w:r>
      <w:proofErr w:type="spellStart"/>
      <w:r w:rsidRPr="002C5AFF">
        <w:rPr>
          <w:rFonts w:ascii="Garamond" w:hAnsi="Garamond"/>
        </w:rPr>
        <w:t>Imperial</w:t>
      </w:r>
      <w:proofErr w:type="spellEnd"/>
      <w:r w:rsidRPr="002C5AFF">
        <w:rPr>
          <w:rFonts w:ascii="Garamond" w:hAnsi="Garamond"/>
        </w:rPr>
        <w:t xml:space="preserve"> Rome. </w:t>
      </w:r>
      <w:proofErr w:type="spellStart"/>
      <w:r w:rsidRPr="002C5AFF">
        <w:rPr>
          <w:rFonts w:ascii="Garamond" w:hAnsi="Garamond"/>
          <w:i/>
        </w:rPr>
        <w:t>Notre</w:t>
      </w:r>
      <w:proofErr w:type="spellEnd"/>
      <w:r w:rsidRPr="002C5AFF">
        <w:rPr>
          <w:rFonts w:ascii="Garamond" w:hAnsi="Garamond"/>
          <w:i/>
        </w:rPr>
        <w:t xml:space="preserve"> </w:t>
      </w:r>
      <w:proofErr w:type="spellStart"/>
      <w:r w:rsidRPr="002C5AFF">
        <w:rPr>
          <w:rFonts w:ascii="Garamond" w:hAnsi="Garamond"/>
          <w:i/>
        </w:rPr>
        <w:t>Dame</w:t>
      </w:r>
      <w:proofErr w:type="spellEnd"/>
      <w:r w:rsidRPr="002C5AFF">
        <w:rPr>
          <w:rFonts w:ascii="Garamond" w:hAnsi="Garamond"/>
          <w:i/>
        </w:rPr>
        <w:t xml:space="preserve"> </w:t>
      </w:r>
      <w:proofErr w:type="spellStart"/>
      <w:r w:rsidRPr="002C5AFF">
        <w:rPr>
          <w:rFonts w:ascii="Garamond" w:hAnsi="Garamond"/>
          <w:i/>
        </w:rPr>
        <w:t>Law</w:t>
      </w:r>
      <w:proofErr w:type="spellEnd"/>
      <w:r w:rsidRPr="002C5AFF">
        <w:rPr>
          <w:rFonts w:ascii="Garamond" w:hAnsi="Garamond"/>
          <w:i/>
        </w:rPr>
        <w:t xml:space="preserve"> </w:t>
      </w:r>
      <w:proofErr w:type="spellStart"/>
      <w:r w:rsidRPr="002C5AFF">
        <w:rPr>
          <w:rFonts w:ascii="Garamond" w:hAnsi="Garamond"/>
          <w:i/>
        </w:rPr>
        <w:t>Review</w:t>
      </w:r>
      <w:proofErr w:type="spellEnd"/>
      <w:r w:rsidRPr="002C5AFF">
        <w:rPr>
          <w:rFonts w:ascii="Garamond" w:hAnsi="Garamond"/>
        </w:rPr>
        <w:t xml:space="preserve">, 1955, </w:t>
      </w:r>
      <w:proofErr w:type="spellStart"/>
      <w:r w:rsidRPr="002C5AFF">
        <w:rPr>
          <w:rFonts w:ascii="Garamond" w:hAnsi="Garamond"/>
        </w:rPr>
        <w:t>roč</w:t>
      </w:r>
      <w:proofErr w:type="spellEnd"/>
      <w:r w:rsidRPr="002C5AFF">
        <w:rPr>
          <w:rFonts w:ascii="Garamond" w:hAnsi="Garamond"/>
        </w:rPr>
        <w:t>. 30, s. 521 – 616.</w:t>
      </w:r>
    </w:p>
  </w:footnote>
  <w:footnote w:id="10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521 – 616.</w:t>
      </w:r>
    </w:p>
  </w:footnote>
  <w:footnote w:id="10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201.</w:t>
      </w:r>
    </w:p>
  </w:footnote>
  <w:footnote w:id="10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CHROUST: </w:t>
      </w:r>
      <w:proofErr w:type="spellStart"/>
      <w:r w:rsidRPr="002C5AFF">
        <w:rPr>
          <w:rFonts w:ascii="Garamond" w:hAnsi="Garamond"/>
          <w:i/>
        </w:rPr>
        <w:t>Legal</w:t>
      </w:r>
      <w:proofErr w:type="spellEnd"/>
      <w:r w:rsidRPr="002C5AFF">
        <w:rPr>
          <w:rFonts w:ascii="Garamond" w:hAnsi="Garamond"/>
          <w:i/>
        </w:rPr>
        <w:t xml:space="preserve"> </w:t>
      </w:r>
      <w:proofErr w:type="spellStart"/>
      <w:r w:rsidRPr="002C5AFF">
        <w:rPr>
          <w:rFonts w:ascii="Garamond" w:hAnsi="Garamond"/>
          <w:i/>
        </w:rPr>
        <w:t>Profession</w:t>
      </w:r>
      <w:proofErr w:type="spellEnd"/>
      <w:r w:rsidRPr="002C5AFF">
        <w:rPr>
          <w:rFonts w:ascii="Garamond" w:hAnsi="Garamond"/>
          <w:i/>
        </w:rPr>
        <w:t>…</w:t>
      </w:r>
      <w:r w:rsidRPr="002C5AFF">
        <w:rPr>
          <w:rFonts w:ascii="Garamond" w:hAnsi="Garamond"/>
        </w:rPr>
        <w:t>, s. 521 – 616.</w:t>
      </w:r>
    </w:p>
  </w:footnote>
  <w:footnote w:id="10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CROOK, John </w:t>
      </w:r>
      <w:proofErr w:type="spellStart"/>
      <w:r w:rsidRPr="002C5AFF">
        <w:rPr>
          <w:rFonts w:ascii="Garamond" w:hAnsi="Garamond"/>
        </w:rPr>
        <w:t>Anthony</w:t>
      </w:r>
      <w:proofErr w:type="spellEnd"/>
      <w:r w:rsidRPr="002C5AFF">
        <w:rPr>
          <w:rFonts w:ascii="Garamond" w:hAnsi="Garamond"/>
        </w:rPr>
        <w:t xml:space="preserve">. </w:t>
      </w:r>
      <w:proofErr w:type="spellStart"/>
      <w:r w:rsidRPr="002C5AFF">
        <w:rPr>
          <w:rFonts w:ascii="Garamond" w:hAnsi="Garamond"/>
          <w:i/>
        </w:rPr>
        <w:t>Law</w:t>
      </w:r>
      <w:proofErr w:type="spellEnd"/>
      <w:r w:rsidRPr="002C5AFF">
        <w:rPr>
          <w:rFonts w:ascii="Garamond" w:hAnsi="Garamond"/>
          <w:i/>
        </w:rPr>
        <w:t xml:space="preserve"> </w:t>
      </w:r>
      <w:proofErr w:type="spellStart"/>
      <w:r w:rsidRPr="002C5AFF">
        <w:rPr>
          <w:rFonts w:ascii="Garamond" w:hAnsi="Garamond"/>
          <w:i/>
        </w:rPr>
        <w:t>an</w:t>
      </w:r>
      <w:proofErr w:type="spellEnd"/>
      <w:r w:rsidRPr="002C5AFF">
        <w:rPr>
          <w:rFonts w:ascii="Garamond" w:hAnsi="Garamond"/>
          <w:i/>
        </w:rPr>
        <w:t xml:space="preserve"> </w:t>
      </w:r>
      <w:proofErr w:type="spellStart"/>
      <w:r w:rsidRPr="002C5AFF">
        <w:rPr>
          <w:rFonts w:ascii="Garamond" w:hAnsi="Garamond"/>
          <w:i/>
        </w:rPr>
        <w:t>Life</w:t>
      </w:r>
      <w:proofErr w:type="spellEnd"/>
      <w:r w:rsidRPr="002C5AFF">
        <w:rPr>
          <w:rFonts w:ascii="Garamond" w:hAnsi="Garamond"/>
          <w:i/>
        </w:rPr>
        <w:t xml:space="preserve"> </w:t>
      </w:r>
      <w:proofErr w:type="spellStart"/>
      <w:r w:rsidRPr="002C5AFF">
        <w:rPr>
          <w:rFonts w:ascii="Garamond" w:hAnsi="Garamond"/>
          <w:i/>
        </w:rPr>
        <w:t>of</w:t>
      </w:r>
      <w:proofErr w:type="spellEnd"/>
      <w:r w:rsidRPr="002C5AFF">
        <w:rPr>
          <w:rFonts w:ascii="Garamond" w:hAnsi="Garamond"/>
          <w:i/>
        </w:rPr>
        <w:t xml:space="preserve"> Rome, 90 B.C.-</w:t>
      </w:r>
      <w:proofErr w:type="gramStart"/>
      <w:r w:rsidRPr="002C5AFF">
        <w:rPr>
          <w:rFonts w:ascii="Garamond" w:hAnsi="Garamond"/>
          <w:i/>
        </w:rPr>
        <w:t>A.D.212</w:t>
      </w:r>
      <w:proofErr w:type="gramEnd"/>
      <w:r w:rsidRPr="002C5AFF">
        <w:rPr>
          <w:rFonts w:ascii="Garamond" w:hAnsi="Garamond"/>
        </w:rPr>
        <w:t xml:space="preserve">. </w:t>
      </w:r>
      <w:proofErr w:type="spellStart"/>
      <w:r w:rsidRPr="002C5AFF">
        <w:rPr>
          <w:rFonts w:ascii="Garamond" w:hAnsi="Garamond"/>
        </w:rPr>
        <w:t>Cornell</w:t>
      </w:r>
      <w:proofErr w:type="spellEnd"/>
      <w:r w:rsidRPr="002C5AFF">
        <w:rPr>
          <w:rFonts w:ascii="Garamond" w:hAnsi="Garamond"/>
        </w:rPr>
        <w:t xml:space="preserve"> University </w:t>
      </w:r>
      <w:proofErr w:type="spellStart"/>
      <w:r w:rsidRPr="002C5AFF">
        <w:rPr>
          <w:rFonts w:ascii="Garamond" w:hAnsi="Garamond"/>
        </w:rPr>
        <w:t>Press</w:t>
      </w:r>
      <w:proofErr w:type="spellEnd"/>
      <w:r w:rsidRPr="002C5AFF">
        <w:rPr>
          <w:rFonts w:ascii="Garamond" w:hAnsi="Garamond"/>
        </w:rPr>
        <w:t>, 1967, s. 90.</w:t>
      </w:r>
    </w:p>
  </w:footnote>
  <w:footnote w:id="11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142.</w:t>
      </w:r>
    </w:p>
    <w:p w:rsidR="00646C74" w:rsidRPr="002C5AFF" w:rsidRDefault="00646C74" w:rsidP="002C5AFF">
      <w:pPr>
        <w:pStyle w:val="Textpoznpodarou"/>
        <w:keepNext/>
        <w:jc w:val="both"/>
        <w:rPr>
          <w:rFonts w:ascii="Garamond" w:hAnsi="Garamond"/>
        </w:rPr>
      </w:pPr>
      <w:r w:rsidRPr="002C5AFF">
        <w:rPr>
          <w:rFonts w:ascii="Garamond" w:hAnsi="Garamond"/>
        </w:rPr>
        <w:t xml:space="preserve">KROPFF, </w:t>
      </w:r>
      <w:proofErr w:type="spellStart"/>
      <w:r w:rsidRPr="002C5AFF">
        <w:rPr>
          <w:rFonts w:ascii="Garamond" w:hAnsi="Garamond"/>
        </w:rPr>
        <w:t>Anthony</w:t>
      </w:r>
      <w:proofErr w:type="spellEnd"/>
      <w:r w:rsidRPr="002C5AFF">
        <w:rPr>
          <w:rFonts w:ascii="Garamond" w:hAnsi="Garamond"/>
        </w:rPr>
        <w:t xml:space="preserve">. </w:t>
      </w:r>
      <w:r w:rsidRPr="002C5AFF">
        <w:rPr>
          <w:rFonts w:ascii="Garamond" w:hAnsi="Garamond"/>
          <w:i/>
        </w:rPr>
        <w:t xml:space="preserve">New </w:t>
      </w:r>
      <w:proofErr w:type="spellStart"/>
      <w:r w:rsidRPr="002C5AFF">
        <w:rPr>
          <w:rFonts w:ascii="Garamond" w:hAnsi="Garamond"/>
          <w:i/>
        </w:rPr>
        <w:t>English</w:t>
      </w:r>
      <w:proofErr w:type="spellEnd"/>
      <w:r w:rsidRPr="002C5AFF">
        <w:rPr>
          <w:rFonts w:ascii="Garamond" w:hAnsi="Garamond"/>
          <w:i/>
        </w:rPr>
        <w:t xml:space="preserve"> </w:t>
      </w:r>
      <w:proofErr w:type="spellStart"/>
      <w:r w:rsidRPr="002C5AFF">
        <w:rPr>
          <w:rFonts w:ascii="Garamond" w:hAnsi="Garamond"/>
          <w:i/>
        </w:rPr>
        <w:t>translation</w:t>
      </w:r>
      <w:proofErr w:type="spellEnd"/>
      <w:r w:rsidRPr="002C5AFF">
        <w:rPr>
          <w:rFonts w:ascii="Garamond" w:hAnsi="Garamond"/>
          <w:i/>
        </w:rPr>
        <w:t xml:space="preserve"> </w:t>
      </w:r>
      <w:proofErr w:type="spellStart"/>
      <w:r w:rsidRPr="002C5AFF">
        <w:rPr>
          <w:rFonts w:ascii="Garamond" w:hAnsi="Garamond"/>
          <w:i/>
        </w:rPr>
        <w:t>of</w:t>
      </w:r>
      <w:proofErr w:type="spellEnd"/>
      <w:r w:rsidRPr="002C5AFF">
        <w:rPr>
          <w:rFonts w:ascii="Garamond" w:hAnsi="Garamond"/>
          <w:i/>
        </w:rPr>
        <w:t xml:space="preserve"> </w:t>
      </w:r>
      <w:proofErr w:type="spellStart"/>
      <w:r w:rsidRPr="002C5AFF">
        <w:rPr>
          <w:rFonts w:ascii="Garamond" w:hAnsi="Garamond"/>
          <w:i/>
        </w:rPr>
        <w:t>the</w:t>
      </w:r>
      <w:proofErr w:type="spellEnd"/>
      <w:r w:rsidRPr="002C5AFF">
        <w:rPr>
          <w:rFonts w:ascii="Garamond" w:hAnsi="Garamond"/>
          <w:i/>
        </w:rPr>
        <w:t xml:space="preserve"> </w:t>
      </w:r>
      <w:proofErr w:type="spellStart"/>
      <w:r w:rsidRPr="002C5AFF">
        <w:rPr>
          <w:rFonts w:ascii="Garamond" w:hAnsi="Garamond"/>
          <w:i/>
        </w:rPr>
        <w:t>Price</w:t>
      </w:r>
      <w:proofErr w:type="spellEnd"/>
      <w:r w:rsidRPr="002C5AFF">
        <w:rPr>
          <w:rFonts w:ascii="Garamond" w:hAnsi="Garamond"/>
          <w:i/>
        </w:rPr>
        <w:t xml:space="preserve"> </w:t>
      </w:r>
      <w:proofErr w:type="spellStart"/>
      <w:r w:rsidRPr="002C5AFF">
        <w:rPr>
          <w:rFonts w:ascii="Garamond" w:hAnsi="Garamond"/>
          <w:i/>
        </w:rPr>
        <w:t>Edict</w:t>
      </w:r>
      <w:proofErr w:type="spellEnd"/>
      <w:r w:rsidRPr="002C5AFF">
        <w:rPr>
          <w:rFonts w:ascii="Garamond" w:hAnsi="Garamond"/>
          <w:i/>
        </w:rPr>
        <w:t xml:space="preserve"> </w:t>
      </w:r>
      <w:proofErr w:type="spellStart"/>
      <w:r w:rsidRPr="002C5AFF">
        <w:rPr>
          <w:rFonts w:ascii="Garamond" w:hAnsi="Garamond"/>
          <w:i/>
        </w:rPr>
        <w:t>of</w:t>
      </w:r>
      <w:proofErr w:type="spellEnd"/>
      <w:r w:rsidRPr="002C5AFF">
        <w:rPr>
          <w:rFonts w:ascii="Garamond" w:hAnsi="Garamond"/>
          <w:i/>
        </w:rPr>
        <w:t xml:space="preserve"> </w:t>
      </w:r>
      <w:proofErr w:type="spellStart"/>
      <w:proofErr w:type="gramStart"/>
      <w:r w:rsidRPr="002C5AFF">
        <w:rPr>
          <w:rFonts w:ascii="Garamond" w:hAnsi="Garamond"/>
          <w:i/>
        </w:rPr>
        <w:t>Diocletianus</w:t>
      </w:r>
      <w:proofErr w:type="spellEnd"/>
      <w:proofErr w:type="gramEnd"/>
      <w:r w:rsidRPr="002C5AFF">
        <w:rPr>
          <w:rFonts w:ascii="Garamond" w:hAnsi="Garamond"/>
        </w:rPr>
        <w:t>. Academia.</w:t>
      </w:r>
      <w:proofErr w:type="spellStart"/>
      <w:r w:rsidRPr="002C5AFF">
        <w:rPr>
          <w:rFonts w:ascii="Garamond" w:hAnsi="Garamond"/>
        </w:rPr>
        <w:t>edu</w:t>
      </w:r>
      <w:proofErr w:type="spellEnd"/>
      <w:r w:rsidRPr="002C5AFF">
        <w:rPr>
          <w:rFonts w:ascii="Garamond" w:hAnsi="Garamond"/>
        </w:rPr>
        <w:t xml:space="preserve">, 27. dubna 2016 </w:t>
      </w:r>
      <w:r w:rsidRPr="002C5AFF">
        <w:rPr>
          <w:rFonts w:ascii="Garamond" w:hAnsi="Garamond"/>
          <w:lang w:val="en-US"/>
        </w:rPr>
        <w:t>[cit. 20</w:t>
      </w:r>
      <w:r w:rsidRPr="002C5AFF">
        <w:rPr>
          <w:rFonts w:ascii="Garamond" w:hAnsi="Garamond"/>
        </w:rPr>
        <w:t xml:space="preserve">. </w:t>
      </w:r>
      <w:proofErr w:type="gramStart"/>
      <w:r w:rsidRPr="002C5AFF">
        <w:rPr>
          <w:rFonts w:ascii="Garamond" w:hAnsi="Garamond"/>
        </w:rPr>
        <w:t>února</w:t>
      </w:r>
      <w:proofErr w:type="gramEnd"/>
      <w:r w:rsidRPr="002C5AFF">
        <w:rPr>
          <w:rFonts w:ascii="Garamond" w:hAnsi="Garamond"/>
        </w:rPr>
        <w:t xml:space="preserve"> 2020</w:t>
      </w:r>
      <w:r w:rsidRPr="002C5AFF">
        <w:rPr>
          <w:rFonts w:ascii="Garamond" w:hAnsi="Garamond"/>
          <w:lang w:val="en-US"/>
        </w:rPr>
        <w:t xml:space="preserve">]. </w:t>
      </w:r>
      <w:proofErr w:type="spellStart"/>
      <w:r w:rsidRPr="002C5AFF">
        <w:rPr>
          <w:rFonts w:ascii="Garamond" w:hAnsi="Garamond"/>
          <w:lang w:val="en-US"/>
        </w:rPr>
        <w:t>Dostupné</w:t>
      </w:r>
      <w:proofErr w:type="spellEnd"/>
      <w:r w:rsidRPr="002C5AFF">
        <w:rPr>
          <w:rFonts w:ascii="Garamond" w:hAnsi="Garamond"/>
          <w:lang w:val="en-US"/>
        </w:rPr>
        <w:t xml:space="preserve"> </w:t>
      </w:r>
      <w:proofErr w:type="spellStart"/>
      <w:proofErr w:type="gramStart"/>
      <w:r w:rsidRPr="002C5AFF">
        <w:rPr>
          <w:rFonts w:ascii="Garamond" w:hAnsi="Garamond"/>
          <w:lang w:val="en-US"/>
        </w:rPr>
        <w:t>na</w:t>
      </w:r>
      <w:proofErr w:type="spellEnd"/>
      <w:proofErr w:type="gramEnd"/>
      <w:r w:rsidRPr="002C5AFF">
        <w:rPr>
          <w:rFonts w:ascii="Garamond" w:hAnsi="Garamond"/>
          <w:lang w:val="en-US"/>
        </w:rPr>
        <w:t xml:space="preserve"> </w:t>
      </w:r>
      <w:hyperlink r:id="rId2" w:history="1">
        <w:r w:rsidRPr="002C5AFF">
          <w:rPr>
            <w:rFonts w:ascii="Garamond" w:hAnsi="Garamond"/>
          </w:rPr>
          <w:t xml:space="preserve"> &lt;</w:t>
        </w:r>
        <w:r w:rsidRPr="002C5AFF">
          <w:rPr>
            <w:rStyle w:val="Hypertextovodkaz"/>
            <w:rFonts w:ascii="Garamond" w:hAnsi="Garamond"/>
          </w:rPr>
          <w:t>https://www.academia.edu/23644199/New_English_translat</w:t>
        </w:r>
        <w:r w:rsidRPr="002C5AFF">
          <w:rPr>
            <w:rStyle w:val="Hypertextovodkaz"/>
            <w:rFonts w:ascii="Garamond" w:hAnsi="Garamond"/>
          </w:rPr>
          <w:t>ion_of_the_Price_Edict_of_Diocletianus</w:t>
        </w:r>
      </w:hyperlink>
      <w:r w:rsidRPr="002C5AFF">
        <w:rPr>
          <w:rFonts w:ascii="Garamond" w:hAnsi="Garamond"/>
        </w:rPr>
        <w:t>&gt;.</w:t>
      </w:r>
    </w:p>
  </w:footnote>
  <w:footnote w:id="11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BERGER: </w:t>
      </w:r>
      <w:proofErr w:type="spellStart"/>
      <w:r w:rsidRPr="002C5AFF">
        <w:rPr>
          <w:rFonts w:ascii="Garamond" w:hAnsi="Garamond"/>
          <w:i/>
        </w:rPr>
        <w:t>Encyclopedic</w:t>
      </w:r>
      <w:proofErr w:type="spellEnd"/>
      <w:r w:rsidRPr="002C5AFF">
        <w:rPr>
          <w:rFonts w:ascii="Garamond" w:hAnsi="Garamond"/>
          <w:i/>
        </w:rPr>
        <w:t xml:space="preserve"> </w:t>
      </w:r>
      <w:proofErr w:type="spellStart"/>
      <w:r w:rsidRPr="002C5AFF">
        <w:rPr>
          <w:rFonts w:ascii="Garamond" w:hAnsi="Garamond"/>
          <w:i/>
        </w:rPr>
        <w:t>dictionary</w:t>
      </w:r>
      <w:proofErr w:type="spellEnd"/>
      <w:r w:rsidRPr="002C5AFF">
        <w:rPr>
          <w:rFonts w:ascii="Garamond" w:hAnsi="Garamond"/>
          <w:i/>
        </w:rPr>
        <w:t>…</w:t>
      </w:r>
      <w:r w:rsidRPr="002C5AFF">
        <w:rPr>
          <w:rFonts w:ascii="Garamond" w:hAnsi="Garamond"/>
        </w:rPr>
        <w:t>, s. 724.</w:t>
      </w:r>
    </w:p>
    <w:p w:rsidR="00646C74" w:rsidRPr="002C5AFF" w:rsidRDefault="00646C74" w:rsidP="002C5AFF">
      <w:pPr>
        <w:pStyle w:val="Textpoznpodarou"/>
        <w:keepNext/>
        <w:jc w:val="both"/>
        <w:rPr>
          <w:rFonts w:ascii="Garamond" w:hAnsi="Garamond"/>
        </w:rPr>
      </w:pPr>
      <w:r w:rsidRPr="002C5AFF">
        <w:rPr>
          <w:rFonts w:ascii="Garamond" w:hAnsi="Garamond"/>
        </w:rPr>
        <w:t>C 7.51.5.</w:t>
      </w:r>
    </w:p>
  </w:footnote>
  <w:footnote w:id="11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KEARLEY, </w:t>
      </w:r>
      <w:proofErr w:type="spellStart"/>
      <w:r w:rsidRPr="002C5AFF">
        <w:rPr>
          <w:rFonts w:ascii="Garamond" w:hAnsi="Garamond"/>
        </w:rPr>
        <w:t>Timothy</w:t>
      </w:r>
      <w:proofErr w:type="spellEnd"/>
      <w:r w:rsidRPr="002C5AFF">
        <w:rPr>
          <w:rFonts w:ascii="Garamond" w:hAnsi="Garamond"/>
        </w:rPr>
        <w:t xml:space="preserve">. </w:t>
      </w:r>
      <w:proofErr w:type="spellStart"/>
      <w:r w:rsidRPr="002C5AFF">
        <w:rPr>
          <w:rFonts w:ascii="Garamond" w:hAnsi="Garamond"/>
          <w:i/>
        </w:rPr>
        <w:t>The</w:t>
      </w:r>
      <w:proofErr w:type="spellEnd"/>
      <w:r w:rsidRPr="002C5AFF">
        <w:rPr>
          <w:rFonts w:ascii="Garamond" w:hAnsi="Garamond"/>
          <w:i/>
        </w:rPr>
        <w:t xml:space="preserve"> </w:t>
      </w:r>
      <w:proofErr w:type="spellStart"/>
      <w:r w:rsidRPr="002C5AFF">
        <w:rPr>
          <w:rFonts w:ascii="Garamond" w:hAnsi="Garamond"/>
          <w:i/>
        </w:rPr>
        <w:t>Codex</w:t>
      </w:r>
      <w:proofErr w:type="spellEnd"/>
      <w:r w:rsidRPr="002C5AFF">
        <w:rPr>
          <w:rFonts w:ascii="Garamond" w:hAnsi="Garamond"/>
          <w:i/>
        </w:rPr>
        <w:t xml:space="preserve"> </w:t>
      </w:r>
      <w:proofErr w:type="spellStart"/>
      <w:r w:rsidRPr="002C5AFF">
        <w:rPr>
          <w:rFonts w:ascii="Garamond" w:hAnsi="Garamond"/>
          <w:i/>
        </w:rPr>
        <w:t>of</w:t>
      </w:r>
      <w:proofErr w:type="spellEnd"/>
      <w:r w:rsidRPr="002C5AFF">
        <w:rPr>
          <w:rFonts w:ascii="Garamond" w:hAnsi="Garamond"/>
          <w:i/>
        </w:rPr>
        <w:t xml:space="preserve"> </w:t>
      </w:r>
      <w:proofErr w:type="spellStart"/>
      <w:r w:rsidRPr="002C5AFF">
        <w:rPr>
          <w:rFonts w:ascii="Garamond" w:hAnsi="Garamond"/>
          <w:i/>
        </w:rPr>
        <w:t>Justinian</w:t>
      </w:r>
      <w:proofErr w:type="spellEnd"/>
      <w:r w:rsidRPr="002C5AFF">
        <w:rPr>
          <w:rFonts w:ascii="Garamond" w:hAnsi="Garamond"/>
          <w:i/>
        </w:rPr>
        <w:t xml:space="preserve"> 3 Volume </w:t>
      </w:r>
      <w:proofErr w:type="spellStart"/>
      <w:r w:rsidRPr="002C5AFF">
        <w:rPr>
          <w:rFonts w:ascii="Garamond" w:hAnsi="Garamond"/>
          <w:i/>
        </w:rPr>
        <w:t>Hardback</w:t>
      </w:r>
      <w:proofErr w:type="spellEnd"/>
      <w:r w:rsidRPr="002C5AFF">
        <w:rPr>
          <w:rFonts w:ascii="Garamond" w:hAnsi="Garamond"/>
          <w:i/>
        </w:rPr>
        <w:t xml:space="preserve"> Set: A New </w:t>
      </w:r>
      <w:proofErr w:type="spellStart"/>
      <w:r w:rsidRPr="002C5AFF">
        <w:rPr>
          <w:rFonts w:ascii="Garamond" w:hAnsi="Garamond"/>
          <w:i/>
        </w:rPr>
        <w:t>Annotated</w:t>
      </w:r>
      <w:proofErr w:type="spellEnd"/>
      <w:r w:rsidRPr="002C5AFF">
        <w:rPr>
          <w:rFonts w:ascii="Garamond" w:hAnsi="Garamond"/>
          <w:i/>
        </w:rPr>
        <w:t xml:space="preserve"> </w:t>
      </w:r>
      <w:proofErr w:type="spellStart"/>
      <w:r w:rsidRPr="002C5AFF">
        <w:rPr>
          <w:rFonts w:ascii="Garamond" w:hAnsi="Garamond"/>
          <w:i/>
        </w:rPr>
        <w:t>Translation</w:t>
      </w:r>
      <w:proofErr w:type="spellEnd"/>
      <w:r w:rsidRPr="002C5AFF">
        <w:rPr>
          <w:rFonts w:ascii="Garamond" w:hAnsi="Garamond"/>
          <w:i/>
        </w:rPr>
        <w:t xml:space="preserve">, </w:t>
      </w:r>
      <w:proofErr w:type="spellStart"/>
      <w:r w:rsidRPr="002C5AFF">
        <w:rPr>
          <w:rFonts w:ascii="Garamond" w:hAnsi="Garamond"/>
          <w:i/>
        </w:rPr>
        <w:t>with</w:t>
      </w:r>
      <w:proofErr w:type="spellEnd"/>
      <w:r w:rsidRPr="002C5AFF">
        <w:rPr>
          <w:rFonts w:ascii="Garamond" w:hAnsi="Garamond"/>
          <w:i/>
        </w:rPr>
        <w:t xml:space="preserve"> </w:t>
      </w:r>
      <w:proofErr w:type="spellStart"/>
      <w:r w:rsidRPr="002C5AFF">
        <w:rPr>
          <w:rFonts w:ascii="Garamond" w:hAnsi="Garamond"/>
          <w:i/>
        </w:rPr>
        <w:t>Parallel</w:t>
      </w:r>
      <w:proofErr w:type="spellEnd"/>
      <w:r w:rsidRPr="002C5AFF">
        <w:rPr>
          <w:rFonts w:ascii="Garamond" w:hAnsi="Garamond"/>
          <w:i/>
        </w:rPr>
        <w:t xml:space="preserve"> Latin </w:t>
      </w:r>
      <w:proofErr w:type="spellStart"/>
      <w:r w:rsidRPr="002C5AFF">
        <w:rPr>
          <w:rFonts w:ascii="Garamond" w:hAnsi="Garamond"/>
          <w:i/>
        </w:rPr>
        <w:t>and</w:t>
      </w:r>
      <w:proofErr w:type="spellEnd"/>
      <w:r w:rsidRPr="002C5AFF">
        <w:rPr>
          <w:rFonts w:ascii="Garamond" w:hAnsi="Garamond"/>
          <w:i/>
        </w:rPr>
        <w:t xml:space="preserve"> </w:t>
      </w:r>
      <w:proofErr w:type="spellStart"/>
      <w:r w:rsidRPr="002C5AFF">
        <w:rPr>
          <w:rFonts w:ascii="Garamond" w:hAnsi="Garamond"/>
          <w:i/>
        </w:rPr>
        <w:t>Greek</w:t>
      </w:r>
      <w:proofErr w:type="spellEnd"/>
      <w:r w:rsidRPr="002C5AFF">
        <w:rPr>
          <w:rFonts w:ascii="Garamond" w:hAnsi="Garamond"/>
          <w:i/>
        </w:rPr>
        <w:t xml:space="preserve"> Text. </w:t>
      </w:r>
      <w:r w:rsidRPr="002C5AFF">
        <w:rPr>
          <w:rFonts w:ascii="Garamond" w:hAnsi="Garamond"/>
        </w:rPr>
        <w:t xml:space="preserve">Cambridge: Cambridge University </w:t>
      </w:r>
      <w:proofErr w:type="spellStart"/>
      <w:r w:rsidRPr="002C5AFF">
        <w:rPr>
          <w:rFonts w:ascii="Garamond" w:hAnsi="Garamond"/>
        </w:rPr>
        <w:t>Press</w:t>
      </w:r>
      <w:proofErr w:type="spellEnd"/>
      <w:r w:rsidRPr="002C5AFF">
        <w:rPr>
          <w:rFonts w:ascii="Garamond" w:hAnsi="Garamond"/>
        </w:rPr>
        <w:t>, 2016, s. 1937.</w:t>
      </w:r>
    </w:p>
  </w:footnote>
  <w:footnote w:id="11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vyhláška č. 37/1992 Sb., o jednacím řádu pro okresní a krajské soudy, ve znění pozdějších předpisů </w:t>
      </w:r>
    </w:p>
  </w:footnote>
  <w:footnote w:id="11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BÍLÝ, Martin. § 137. In: SVOBODA, Karel a kol. </w:t>
      </w:r>
      <w:r w:rsidRPr="002C5AFF">
        <w:rPr>
          <w:rFonts w:ascii="Garamond" w:hAnsi="Garamond"/>
          <w:i/>
        </w:rPr>
        <w:t>Občanský soudní řád.</w:t>
      </w:r>
      <w:r w:rsidRPr="002C5AFF">
        <w:rPr>
          <w:rFonts w:ascii="Garamond" w:hAnsi="Garamond"/>
        </w:rPr>
        <w:t xml:space="preserve"> 2. vydání. Praha: Nakladatelství C. H. Beck, 2017, s. 570.</w:t>
      </w:r>
    </w:p>
  </w:footnote>
  <w:footnote w:id="11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zákon č. 549/1991 Sb., o soudních poplatcích, ve znění pozdějších předpisů</w:t>
      </w:r>
    </w:p>
  </w:footnote>
  <w:footnote w:id="11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BÍLÝ, Martin. § 137. In: SVOBODA a kol: </w:t>
      </w:r>
      <w:r w:rsidRPr="002C5AFF">
        <w:rPr>
          <w:rFonts w:ascii="Garamond" w:hAnsi="Garamond"/>
          <w:i/>
        </w:rPr>
        <w:t>Občanský soudní řád.</w:t>
      </w:r>
      <w:r w:rsidRPr="002C5AFF">
        <w:rPr>
          <w:rFonts w:ascii="Garamond" w:hAnsi="Garamond"/>
        </w:rPr>
        <w:t>, s. 570.</w:t>
      </w:r>
    </w:p>
  </w:footnote>
  <w:footnote w:id="11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vyhláška č. 177/1996 Sb., o odměnách advokátů a náhradách advokátů za poskytování právních služeb, ve znění pozdějších předpisů</w:t>
      </w:r>
    </w:p>
  </w:footnote>
  <w:footnote w:id="11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183.</w:t>
      </w:r>
    </w:p>
  </w:footnote>
  <w:footnote w:id="11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bookmarkStart w:id="29" w:name="42.1.47"/>
      <w:r w:rsidRPr="002C5AFF">
        <w:rPr>
          <w:rFonts w:ascii="Garamond" w:hAnsi="Garamond"/>
        </w:rPr>
        <w:t>D 4</w:t>
      </w:r>
      <w:r w:rsidRPr="002C5AFF">
        <w:rPr>
          <w:rFonts w:ascii="Garamond" w:hAnsi="Garamond"/>
          <w:bCs/>
        </w:rPr>
        <w:t>2.1.47</w:t>
      </w:r>
      <w:bookmarkEnd w:id="29"/>
      <w:r w:rsidRPr="002C5AFF">
        <w:rPr>
          <w:rFonts w:ascii="Garamond" w:hAnsi="Garamond"/>
          <w:bCs/>
        </w:rPr>
        <w:t>.:</w:t>
      </w:r>
      <w:r w:rsidRPr="002C5AFF">
        <w:rPr>
          <w:rFonts w:ascii="Garamond" w:hAnsi="Garamond"/>
        </w:rPr>
        <w:t xml:space="preserve"> </w:t>
      </w:r>
      <w:r w:rsidRPr="002C5AFF">
        <w:rPr>
          <w:rFonts w:ascii="Garamond" w:hAnsi="Garamond"/>
          <w:i/>
        </w:rPr>
        <w:t>„</w:t>
      </w:r>
      <w:proofErr w:type="spellStart"/>
      <w:r w:rsidRPr="002C5AFF">
        <w:rPr>
          <w:rFonts w:ascii="Garamond" w:hAnsi="Garamond"/>
          <w:bCs/>
          <w:i/>
        </w:rPr>
        <w:t>Paulus</w:t>
      </w:r>
      <w:proofErr w:type="spellEnd"/>
      <w:r w:rsidRPr="002C5AFF">
        <w:rPr>
          <w:rFonts w:ascii="Garamond" w:hAnsi="Garamond"/>
          <w:bCs/>
          <w:i/>
        </w:rPr>
        <w:t xml:space="preserve"> libro </w:t>
      </w:r>
      <w:proofErr w:type="spellStart"/>
      <w:r w:rsidRPr="002C5AFF">
        <w:rPr>
          <w:rFonts w:ascii="Garamond" w:hAnsi="Garamond"/>
          <w:bCs/>
          <w:i/>
        </w:rPr>
        <w:t>quinto</w:t>
      </w:r>
      <w:proofErr w:type="spellEnd"/>
      <w:r w:rsidRPr="002C5AFF">
        <w:rPr>
          <w:rFonts w:ascii="Garamond" w:hAnsi="Garamond"/>
          <w:bCs/>
          <w:i/>
        </w:rPr>
        <w:t xml:space="preserve"> </w:t>
      </w:r>
      <w:proofErr w:type="spellStart"/>
      <w:r w:rsidRPr="002C5AFF">
        <w:rPr>
          <w:rFonts w:ascii="Garamond" w:hAnsi="Garamond"/>
          <w:bCs/>
          <w:i/>
        </w:rPr>
        <w:t>sententiarum</w:t>
      </w:r>
      <w:bookmarkStart w:id="30" w:name="42.1.47.pr."/>
      <w:proofErr w:type="spellEnd"/>
      <w:r w:rsidRPr="002C5AFF">
        <w:rPr>
          <w:rFonts w:ascii="Garamond" w:hAnsi="Garamond"/>
          <w:i/>
        </w:rPr>
        <w:t xml:space="preserve">. </w:t>
      </w:r>
      <w:proofErr w:type="spellStart"/>
      <w:r w:rsidRPr="002C5AFF">
        <w:rPr>
          <w:rFonts w:ascii="Garamond" w:hAnsi="Garamond"/>
          <w:bCs/>
          <w:i/>
        </w:rPr>
        <w:t>pr</w:t>
      </w:r>
      <w:proofErr w:type="spellEnd"/>
      <w:r w:rsidRPr="002C5AFF">
        <w:rPr>
          <w:rFonts w:ascii="Garamond" w:hAnsi="Garamond"/>
          <w:bCs/>
          <w:i/>
        </w:rPr>
        <w:t>.</w:t>
      </w:r>
      <w:bookmarkEnd w:id="30"/>
      <w:r w:rsidRPr="002C5AFF">
        <w:rPr>
          <w:rFonts w:ascii="Garamond" w:hAnsi="Garamond"/>
          <w:bCs/>
          <w:i/>
        </w:rPr>
        <w:t xml:space="preserve"> De </w:t>
      </w:r>
      <w:proofErr w:type="spellStart"/>
      <w:r w:rsidRPr="002C5AFF">
        <w:rPr>
          <w:rFonts w:ascii="Garamond" w:hAnsi="Garamond"/>
          <w:bCs/>
          <w:i/>
        </w:rPr>
        <w:t>unoquoque</w:t>
      </w:r>
      <w:proofErr w:type="spellEnd"/>
      <w:r w:rsidRPr="002C5AFF">
        <w:rPr>
          <w:rFonts w:ascii="Garamond" w:hAnsi="Garamond"/>
          <w:bCs/>
          <w:i/>
        </w:rPr>
        <w:t xml:space="preserve"> </w:t>
      </w:r>
      <w:proofErr w:type="spellStart"/>
      <w:r w:rsidRPr="002C5AFF">
        <w:rPr>
          <w:rFonts w:ascii="Garamond" w:hAnsi="Garamond"/>
          <w:bCs/>
          <w:i/>
        </w:rPr>
        <w:t>negotio</w:t>
      </w:r>
      <w:proofErr w:type="spellEnd"/>
      <w:r w:rsidRPr="002C5AFF">
        <w:rPr>
          <w:rFonts w:ascii="Garamond" w:hAnsi="Garamond"/>
          <w:bCs/>
          <w:i/>
        </w:rPr>
        <w:t xml:space="preserve"> </w:t>
      </w:r>
      <w:proofErr w:type="spellStart"/>
      <w:r w:rsidRPr="002C5AFF">
        <w:rPr>
          <w:rFonts w:ascii="Garamond" w:hAnsi="Garamond"/>
          <w:bCs/>
          <w:i/>
        </w:rPr>
        <w:t>praesentibus</w:t>
      </w:r>
      <w:proofErr w:type="spellEnd"/>
      <w:r w:rsidRPr="002C5AFF">
        <w:rPr>
          <w:rFonts w:ascii="Garamond" w:hAnsi="Garamond"/>
          <w:bCs/>
          <w:i/>
        </w:rPr>
        <w:t xml:space="preserve"> omnibus, </w:t>
      </w:r>
      <w:proofErr w:type="spellStart"/>
      <w:r w:rsidRPr="002C5AFF">
        <w:rPr>
          <w:rFonts w:ascii="Garamond" w:hAnsi="Garamond"/>
          <w:bCs/>
          <w:i/>
        </w:rPr>
        <w:t>quos</w:t>
      </w:r>
      <w:proofErr w:type="spellEnd"/>
      <w:r w:rsidRPr="002C5AFF">
        <w:rPr>
          <w:rFonts w:ascii="Garamond" w:hAnsi="Garamond"/>
          <w:bCs/>
          <w:i/>
        </w:rPr>
        <w:t xml:space="preserve"> causa </w:t>
      </w:r>
      <w:proofErr w:type="spellStart"/>
      <w:r w:rsidRPr="002C5AFF">
        <w:rPr>
          <w:rFonts w:ascii="Garamond" w:hAnsi="Garamond"/>
          <w:bCs/>
          <w:i/>
        </w:rPr>
        <w:t>contingit</w:t>
      </w:r>
      <w:proofErr w:type="spellEnd"/>
      <w:r w:rsidRPr="002C5AFF">
        <w:rPr>
          <w:rFonts w:ascii="Garamond" w:hAnsi="Garamond"/>
          <w:bCs/>
          <w:i/>
        </w:rPr>
        <w:t xml:space="preserve">, </w:t>
      </w:r>
      <w:proofErr w:type="spellStart"/>
      <w:r w:rsidRPr="002C5AFF">
        <w:rPr>
          <w:rFonts w:ascii="Garamond" w:hAnsi="Garamond"/>
          <w:bCs/>
          <w:i/>
        </w:rPr>
        <w:t>iudicari</w:t>
      </w:r>
      <w:proofErr w:type="spellEnd"/>
      <w:r w:rsidRPr="002C5AFF">
        <w:rPr>
          <w:rFonts w:ascii="Garamond" w:hAnsi="Garamond"/>
          <w:bCs/>
          <w:i/>
        </w:rPr>
        <w:t xml:space="preserve"> </w:t>
      </w:r>
      <w:proofErr w:type="spellStart"/>
      <w:r w:rsidRPr="002C5AFF">
        <w:rPr>
          <w:rFonts w:ascii="Garamond" w:hAnsi="Garamond"/>
          <w:bCs/>
          <w:i/>
        </w:rPr>
        <w:t>oportet</w:t>
      </w:r>
      <w:proofErr w:type="spellEnd"/>
      <w:r w:rsidRPr="002C5AFF">
        <w:rPr>
          <w:rFonts w:ascii="Garamond" w:hAnsi="Garamond"/>
          <w:bCs/>
          <w:i/>
        </w:rPr>
        <w:t xml:space="preserve">: </w:t>
      </w:r>
      <w:proofErr w:type="spellStart"/>
      <w:r w:rsidRPr="002C5AFF">
        <w:rPr>
          <w:rFonts w:ascii="Garamond" w:hAnsi="Garamond"/>
          <w:bCs/>
          <w:i/>
        </w:rPr>
        <w:t>aliter</w:t>
      </w:r>
      <w:proofErr w:type="spellEnd"/>
      <w:r w:rsidRPr="002C5AFF">
        <w:rPr>
          <w:rFonts w:ascii="Garamond" w:hAnsi="Garamond"/>
          <w:bCs/>
          <w:i/>
        </w:rPr>
        <w:t xml:space="preserve"> </w:t>
      </w:r>
      <w:proofErr w:type="spellStart"/>
      <w:r w:rsidRPr="002C5AFF">
        <w:rPr>
          <w:rFonts w:ascii="Garamond" w:hAnsi="Garamond"/>
          <w:bCs/>
          <w:i/>
        </w:rPr>
        <w:t>enim</w:t>
      </w:r>
      <w:proofErr w:type="spellEnd"/>
      <w:r w:rsidRPr="002C5AFF">
        <w:rPr>
          <w:rFonts w:ascii="Garamond" w:hAnsi="Garamond"/>
          <w:bCs/>
          <w:i/>
        </w:rPr>
        <w:t xml:space="preserve"> </w:t>
      </w:r>
      <w:proofErr w:type="spellStart"/>
      <w:r w:rsidRPr="002C5AFF">
        <w:rPr>
          <w:rFonts w:ascii="Garamond" w:hAnsi="Garamond"/>
          <w:bCs/>
          <w:i/>
        </w:rPr>
        <w:t>iudicatum</w:t>
      </w:r>
      <w:proofErr w:type="spellEnd"/>
      <w:r w:rsidRPr="002C5AFF">
        <w:rPr>
          <w:rFonts w:ascii="Garamond" w:hAnsi="Garamond"/>
          <w:bCs/>
          <w:i/>
        </w:rPr>
        <w:t xml:space="preserve"> </w:t>
      </w:r>
      <w:proofErr w:type="spellStart"/>
      <w:r w:rsidRPr="002C5AFF">
        <w:rPr>
          <w:rFonts w:ascii="Garamond" w:hAnsi="Garamond"/>
          <w:bCs/>
          <w:i/>
        </w:rPr>
        <w:t>tantum</w:t>
      </w:r>
      <w:proofErr w:type="spellEnd"/>
      <w:r w:rsidRPr="002C5AFF">
        <w:rPr>
          <w:rFonts w:ascii="Garamond" w:hAnsi="Garamond"/>
          <w:bCs/>
          <w:i/>
        </w:rPr>
        <w:t xml:space="preserve"> </w:t>
      </w:r>
      <w:proofErr w:type="spellStart"/>
      <w:r w:rsidRPr="002C5AFF">
        <w:rPr>
          <w:rFonts w:ascii="Garamond" w:hAnsi="Garamond"/>
          <w:bCs/>
          <w:i/>
        </w:rPr>
        <w:t>inter</w:t>
      </w:r>
      <w:proofErr w:type="spellEnd"/>
      <w:r w:rsidRPr="002C5AFF">
        <w:rPr>
          <w:rFonts w:ascii="Garamond" w:hAnsi="Garamond"/>
          <w:bCs/>
          <w:i/>
        </w:rPr>
        <w:t xml:space="preserve"> </w:t>
      </w:r>
      <w:proofErr w:type="spellStart"/>
      <w:r w:rsidRPr="002C5AFF">
        <w:rPr>
          <w:rFonts w:ascii="Garamond" w:hAnsi="Garamond"/>
          <w:bCs/>
          <w:i/>
        </w:rPr>
        <w:t>praesentes</w:t>
      </w:r>
      <w:proofErr w:type="spellEnd"/>
      <w:r w:rsidRPr="002C5AFF">
        <w:rPr>
          <w:rFonts w:ascii="Garamond" w:hAnsi="Garamond"/>
          <w:bCs/>
          <w:i/>
        </w:rPr>
        <w:t xml:space="preserve"> </w:t>
      </w:r>
      <w:proofErr w:type="spellStart"/>
      <w:r w:rsidRPr="002C5AFF">
        <w:rPr>
          <w:rFonts w:ascii="Garamond" w:hAnsi="Garamond"/>
          <w:bCs/>
          <w:i/>
        </w:rPr>
        <w:t>tenet</w:t>
      </w:r>
      <w:proofErr w:type="spellEnd"/>
      <w:r w:rsidRPr="002C5AFF">
        <w:rPr>
          <w:rFonts w:ascii="Garamond" w:hAnsi="Garamond"/>
          <w:bCs/>
          <w:i/>
        </w:rPr>
        <w:t>.“</w:t>
      </w:r>
    </w:p>
  </w:footnote>
  <w:footnote w:id="12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71.</w:t>
      </w:r>
    </w:p>
  </w:footnote>
  <w:footnote w:id="12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72.</w:t>
      </w:r>
    </w:p>
  </w:footnote>
  <w:footnote w:id="12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268.</w:t>
      </w:r>
    </w:p>
  </w:footnote>
  <w:footnote w:id="12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21, 70, 110.</w:t>
      </w:r>
    </w:p>
    <w:p w:rsidR="00646C74" w:rsidRPr="002C5AFF" w:rsidRDefault="00646C74" w:rsidP="002C5AFF">
      <w:pPr>
        <w:pStyle w:val="Textpoznpodarou"/>
        <w:keepNext/>
        <w:jc w:val="both"/>
        <w:rPr>
          <w:rFonts w:ascii="Garamond" w:hAnsi="Garamond"/>
        </w:rPr>
      </w:pPr>
      <w:r w:rsidRPr="002C5AFF">
        <w:rPr>
          <w:rFonts w:ascii="Garamond" w:hAnsi="Garamond"/>
        </w:rPr>
        <w:t xml:space="preserve">BARTOŠEK: </w:t>
      </w:r>
      <w:r w:rsidRPr="002C5AFF">
        <w:rPr>
          <w:rFonts w:ascii="Garamond" w:hAnsi="Garamond"/>
          <w:i/>
        </w:rPr>
        <w:t>Encyklopedie římského práva.</w:t>
      </w:r>
      <w:r w:rsidRPr="002C5AFF">
        <w:rPr>
          <w:rFonts w:ascii="Garamond" w:hAnsi="Garamond"/>
        </w:rPr>
        <w:t>, s. 209</w:t>
      </w:r>
    </w:p>
    <w:p w:rsidR="00646C74" w:rsidRPr="002C5AFF" w:rsidRDefault="00646C74" w:rsidP="002C5AFF">
      <w:pPr>
        <w:pStyle w:val="Textpoznpodarou"/>
        <w:keepNext/>
        <w:jc w:val="both"/>
        <w:rPr>
          <w:rFonts w:ascii="Garamond" w:hAnsi="Garamond"/>
        </w:rPr>
      </w:pPr>
      <w:r w:rsidRPr="002C5AFF">
        <w:rPr>
          <w:rFonts w:ascii="Garamond" w:hAnsi="Garamond"/>
        </w:rPr>
        <w:t xml:space="preserve">KINCL, URFUS, SKŘEJPEK: </w:t>
      </w:r>
      <w:r w:rsidRPr="002C5AFF">
        <w:rPr>
          <w:rFonts w:ascii="Garamond" w:hAnsi="Garamond"/>
          <w:i/>
        </w:rPr>
        <w:t>Římské právo.</w:t>
      </w:r>
      <w:r w:rsidRPr="002C5AFF">
        <w:rPr>
          <w:rFonts w:ascii="Garamond" w:hAnsi="Garamond"/>
        </w:rPr>
        <w:t>, s. 183.</w:t>
      </w:r>
    </w:p>
  </w:footnote>
  <w:footnote w:id="12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III: </w:t>
      </w:r>
      <w:r w:rsidRPr="002C5AFF">
        <w:rPr>
          <w:rFonts w:ascii="Garamond" w:hAnsi="Garamond"/>
          <w:i/>
        </w:rPr>
        <w:t xml:space="preserve">„1. </w:t>
      </w:r>
      <w:proofErr w:type="spellStart"/>
      <w:r w:rsidRPr="002C5AFF">
        <w:rPr>
          <w:rFonts w:ascii="Garamond" w:hAnsi="Garamond"/>
          <w:i/>
        </w:rPr>
        <w:t>Aeris</w:t>
      </w:r>
      <w:proofErr w:type="spellEnd"/>
      <w:r w:rsidRPr="002C5AFF">
        <w:rPr>
          <w:rFonts w:ascii="Garamond" w:hAnsi="Garamond"/>
          <w:i/>
        </w:rPr>
        <w:t xml:space="preserve"> </w:t>
      </w:r>
      <w:proofErr w:type="spellStart"/>
      <w:r w:rsidRPr="002C5AFF">
        <w:rPr>
          <w:rFonts w:ascii="Garamond" w:hAnsi="Garamond"/>
          <w:i/>
        </w:rPr>
        <w:t>confessi</w:t>
      </w:r>
      <w:proofErr w:type="spellEnd"/>
      <w:r w:rsidRPr="002C5AFF">
        <w:rPr>
          <w:rFonts w:ascii="Garamond" w:hAnsi="Garamond"/>
          <w:i/>
        </w:rPr>
        <w:t xml:space="preserve"> </w:t>
      </w:r>
      <w:proofErr w:type="spellStart"/>
      <w:r w:rsidRPr="002C5AFF">
        <w:rPr>
          <w:rFonts w:ascii="Garamond" w:hAnsi="Garamond"/>
          <w:i/>
        </w:rPr>
        <w:t>rebusque</w:t>
      </w:r>
      <w:proofErr w:type="spellEnd"/>
      <w:r w:rsidRPr="002C5AFF">
        <w:rPr>
          <w:rFonts w:ascii="Garamond" w:hAnsi="Garamond"/>
          <w:i/>
        </w:rPr>
        <w:t xml:space="preserve"> iure </w:t>
      </w:r>
      <w:proofErr w:type="spellStart"/>
      <w:r w:rsidRPr="002C5AFF">
        <w:rPr>
          <w:rFonts w:ascii="Garamond" w:hAnsi="Garamond"/>
          <w:i/>
        </w:rPr>
        <w:t>iudicatis</w:t>
      </w:r>
      <w:proofErr w:type="spellEnd"/>
      <w:r w:rsidRPr="002C5AFF">
        <w:rPr>
          <w:rFonts w:ascii="Garamond" w:hAnsi="Garamond"/>
          <w:i/>
        </w:rPr>
        <w:t xml:space="preserve"> XXX </w:t>
      </w:r>
      <w:proofErr w:type="spellStart"/>
      <w:r w:rsidRPr="002C5AFF">
        <w:rPr>
          <w:rFonts w:ascii="Garamond" w:hAnsi="Garamond"/>
          <w:i/>
        </w:rPr>
        <w:t>dies</w:t>
      </w:r>
      <w:proofErr w:type="spellEnd"/>
      <w:r w:rsidRPr="002C5AFF">
        <w:rPr>
          <w:rFonts w:ascii="Garamond" w:hAnsi="Garamond"/>
          <w:i/>
        </w:rPr>
        <w:t xml:space="preserve"> </w:t>
      </w:r>
      <w:proofErr w:type="spellStart"/>
      <w:r w:rsidRPr="002C5AFF">
        <w:rPr>
          <w:rFonts w:ascii="Garamond" w:hAnsi="Garamond"/>
          <w:i/>
        </w:rPr>
        <w:t>iusti</w:t>
      </w:r>
      <w:proofErr w:type="spellEnd"/>
      <w:r w:rsidRPr="002C5AFF">
        <w:rPr>
          <w:rFonts w:ascii="Garamond" w:hAnsi="Garamond"/>
          <w:i/>
        </w:rPr>
        <w:t xml:space="preserve"> </w:t>
      </w:r>
      <w:proofErr w:type="spellStart"/>
      <w:r w:rsidRPr="002C5AFF">
        <w:rPr>
          <w:rFonts w:ascii="Garamond" w:hAnsi="Garamond"/>
          <w:i/>
        </w:rPr>
        <w:t>sunto</w:t>
      </w:r>
      <w:proofErr w:type="spellEnd"/>
      <w:r w:rsidRPr="002C5AFF">
        <w:rPr>
          <w:rFonts w:ascii="Garamond" w:hAnsi="Garamond"/>
          <w:i/>
        </w:rPr>
        <w:t>.“</w:t>
      </w:r>
    </w:p>
  </w:footnote>
  <w:footnote w:id="12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75.</w:t>
      </w:r>
    </w:p>
  </w:footnote>
  <w:footnote w:id="126">
    <w:p w:rsidR="00646C74" w:rsidRPr="002C5AFF" w:rsidRDefault="00646C74" w:rsidP="002C5AFF">
      <w:pPr>
        <w:pStyle w:val="Textpoznpodarou"/>
        <w:jc w:val="both"/>
        <w:rPr>
          <w:rFonts w:ascii="Garamond" w:hAnsi="Garamond"/>
        </w:rPr>
      </w:pPr>
      <w:r w:rsidRPr="002C5AFF">
        <w:rPr>
          <w:rStyle w:val="Znakapoznpodarou"/>
          <w:rFonts w:ascii="Garamond" w:hAnsi="Garamond"/>
        </w:rPr>
        <w:footnoteRef/>
      </w:r>
      <w:r w:rsidRPr="002C5AFF">
        <w:rPr>
          <w:rFonts w:ascii="Garamond" w:hAnsi="Garamond"/>
        </w:rPr>
        <w:t xml:space="preserve"> Tamtéž, s. 21.</w:t>
      </w:r>
    </w:p>
  </w:footnote>
  <w:footnote w:id="127">
    <w:p w:rsidR="00646C74" w:rsidRPr="002C5AFF" w:rsidRDefault="00646C74" w:rsidP="002C5AFF">
      <w:pPr>
        <w:pStyle w:val="Textpoznpodarou"/>
        <w:keepNext/>
        <w:jc w:val="both"/>
        <w:rPr>
          <w:rFonts w:ascii="Garamond" w:hAnsi="Garamond"/>
          <w:i/>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III: </w:t>
      </w:r>
      <w:r w:rsidRPr="002C5AFF">
        <w:rPr>
          <w:rFonts w:ascii="Garamond" w:hAnsi="Garamond"/>
          <w:i/>
        </w:rPr>
        <w:t xml:space="preserve">„3. Ni </w:t>
      </w:r>
      <w:proofErr w:type="spellStart"/>
      <w:r w:rsidRPr="002C5AFF">
        <w:rPr>
          <w:rFonts w:ascii="Garamond" w:hAnsi="Garamond"/>
          <w:i/>
        </w:rPr>
        <w:t>iudicatum</w:t>
      </w:r>
      <w:proofErr w:type="spellEnd"/>
      <w:r w:rsidRPr="002C5AFF">
        <w:rPr>
          <w:rFonts w:ascii="Garamond" w:hAnsi="Garamond"/>
          <w:i/>
        </w:rPr>
        <w:t xml:space="preserve"> facit aut </w:t>
      </w:r>
      <w:proofErr w:type="spellStart"/>
      <w:r w:rsidRPr="002C5AFF">
        <w:rPr>
          <w:rFonts w:ascii="Garamond" w:hAnsi="Garamond"/>
          <w:i/>
        </w:rPr>
        <w:t>quis</w:t>
      </w:r>
      <w:proofErr w:type="spellEnd"/>
      <w:r w:rsidRPr="002C5AFF">
        <w:rPr>
          <w:rFonts w:ascii="Garamond" w:hAnsi="Garamond"/>
          <w:i/>
        </w:rPr>
        <w:t xml:space="preserve"> </w:t>
      </w:r>
      <w:proofErr w:type="spellStart"/>
      <w:r w:rsidRPr="002C5AFF">
        <w:rPr>
          <w:rFonts w:ascii="Garamond" w:hAnsi="Garamond"/>
          <w:i/>
        </w:rPr>
        <w:t>endo</w:t>
      </w:r>
      <w:proofErr w:type="spellEnd"/>
      <w:r w:rsidRPr="002C5AFF">
        <w:rPr>
          <w:rFonts w:ascii="Garamond" w:hAnsi="Garamond"/>
          <w:i/>
        </w:rPr>
        <w:t xml:space="preserve"> </w:t>
      </w:r>
      <w:proofErr w:type="spellStart"/>
      <w:r w:rsidRPr="002C5AFF">
        <w:rPr>
          <w:rFonts w:ascii="Garamond" w:hAnsi="Garamond"/>
          <w:i/>
        </w:rPr>
        <w:t>eo</w:t>
      </w:r>
      <w:proofErr w:type="spellEnd"/>
      <w:r w:rsidRPr="002C5AFF">
        <w:rPr>
          <w:rFonts w:ascii="Garamond" w:hAnsi="Garamond"/>
          <w:i/>
        </w:rPr>
        <w:t xml:space="preserve"> in iure </w:t>
      </w:r>
      <w:proofErr w:type="spellStart"/>
      <w:r w:rsidRPr="002C5AFF">
        <w:rPr>
          <w:rFonts w:ascii="Garamond" w:hAnsi="Garamond"/>
          <w:i/>
        </w:rPr>
        <w:t>vindicit</w:t>
      </w:r>
      <w:proofErr w:type="spellEnd"/>
      <w:r w:rsidRPr="002C5AFF">
        <w:rPr>
          <w:rFonts w:ascii="Garamond" w:hAnsi="Garamond"/>
          <w:i/>
        </w:rPr>
        <w:t xml:space="preserve">, </w:t>
      </w:r>
      <w:proofErr w:type="spellStart"/>
      <w:r w:rsidRPr="002C5AFF">
        <w:rPr>
          <w:rFonts w:ascii="Garamond" w:hAnsi="Garamond"/>
          <w:i/>
        </w:rPr>
        <w:t>secum</w:t>
      </w:r>
      <w:proofErr w:type="spellEnd"/>
      <w:r w:rsidRPr="002C5AFF">
        <w:rPr>
          <w:rFonts w:ascii="Garamond" w:hAnsi="Garamond"/>
          <w:i/>
        </w:rPr>
        <w:t xml:space="preserve"> </w:t>
      </w:r>
      <w:proofErr w:type="spellStart"/>
      <w:r w:rsidRPr="002C5AFF">
        <w:rPr>
          <w:rFonts w:ascii="Garamond" w:hAnsi="Garamond"/>
          <w:i/>
        </w:rPr>
        <w:t>ducito</w:t>
      </w:r>
      <w:proofErr w:type="spellEnd"/>
      <w:r w:rsidRPr="002C5AFF">
        <w:rPr>
          <w:rFonts w:ascii="Garamond" w:hAnsi="Garamond"/>
          <w:i/>
        </w:rPr>
        <w:t xml:space="preserve">, </w:t>
      </w:r>
      <w:proofErr w:type="spellStart"/>
      <w:r w:rsidRPr="002C5AFF">
        <w:rPr>
          <w:rFonts w:ascii="Garamond" w:hAnsi="Garamond"/>
          <w:i/>
        </w:rPr>
        <w:t>vincito</w:t>
      </w:r>
      <w:proofErr w:type="spellEnd"/>
      <w:r w:rsidRPr="002C5AFF">
        <w:rPr>
          <w:rFonts w:ascii="Garamond" w:hAnsi="Garamond"/>
          <w:i/>
        </w:rPr>
        <w:t xml:space="preserve"> aut </w:t>
      </w:r>
      <w:proofErr w:type="spellStart"/>
      <w:r w:rsidRPr="002C5AFF">
        <w:rPr>
          <w:rFonts w:ascii="Garamond" w:hAnsi="Garamond"/>
          <w:i/>
        </w:rPr>
        <w:t>nervo</w:t>
      </w:r>
      <w:proofErr w:type="spellEnd"/>
      <w:r w:rsidRPr="002C5AFF">
        <w:rPr>
          <w:rFonts w:ascii="Garamond" w:hAnsi="Garamond"/>
          <w:i/>
        </w:rPr>
        <w:t xml:space="preserve"> aut </w:t>
      </w:r>
      <w:proofErr w:type="spellStart"/>
      <w:r w:rsidRPr="002C5AFF">
        <w:rPr>
          <w:rFonts w:ascii="Garamond" w:hAnsi="Garamond"/>
          <w:i/>
        </w:rPr>
        <w:t>compedibus</w:t>
      </w:r>
      <w:proofErr w:type="spellEnd"/>
      <w:r w:rsidRPr="002C5AFF">
        <w:rPr>
          <w:rFonts w:ascii="Garamond" w:hAnsi="Garamond"/>
          <w:i/>
        </w:rPr>
        <w:t xml:space="preserve"> XV </w:t>
      </w:r>
      <w:proofErr w:type="spellStart"/>
      <w:r w:rsidRPr="002C5AFF">
        <w:rPr>
          <w:rFonts w:ascii="Garamond" w:hAnsi="Garamond"/>
          <w:i/>
        </w:rPr>
        <w:t>pondo</w:t>
      </w:r>
      <w:proofErr w:type="spellEnd"/>
      <w:r w:rsidRPr="002C5AFF">
        <w:rPr>
          <w:rFonts w:ascii="Garamond" w:hAnsi="Garamond"/>
          <w:i/>
        </w:rPr>
        <w:t xml:space="preserve">, ne </w:t>
      </w:r>
      <w:proofErr w:type="spellStart"/>
      <w:r w:rsidRPr="002C5AFF">
        <w:rPr>
          <w:rFonts w:ascii="Garamond" w:hAnsi="Garamond"/>
          <w:i/>
        </w:rPr>
        <w:t>maiore</w:t>
      </w:r>
      <w:proofErr w:type="spellEnd"/>
      <w:r w:rsidRPr="002C5AFF">
        <w:rPr>
          <w:rFonts w:ascii="Garamond" w:hAnsi="Garamond"/>
          <w:i/>
        </w:rPr>
        <w:t xml:space="preserve"> aut si </w:t>
      </w:r>
      <w:proofErr w:type="spellStart"/>
      <w:r w:rsidRPr="002C5AFF">
        <w:rPr>
          <w:rFonts w:ascii="Garamond" w:hAnsi="Garamond"/>
          <w:i/>
        </w:rPr>
        <w:t>volet</w:t>
      </w:r>
      <w:proofErr w:type="spellEnd"/>
      <w:r w:rsidRPr="002C5AFF">
        <w:rPr>
          <w:rFonts w:ascii="Garamond" w:hAnsi="Garamond"/>
          <w:i/>
        </w:rPr>
        <w:t xml:space="preserve"> </w:t>
      </w:r>
      <w:proofErr w:type="spellStart"/>
      <w:r w:rsidRPr="002C5AFF">
        <w:rPr>
          <w:rFonts w:ascii="Garamond" w:hAnsi="Garamond"/>
          <w:i/>
        </w:rPr>
        <w:t>minore</w:t>
      </w:r>
      <w:proofErr w:type="spellEnd"/>
      <w:r w:rsidRPr="002C5AFF">
        <w:rPr>
          <w:rFonts w:ascii="Garamond" w:hAnsi="Garamond"/>
          <w:i/>
        </w:rPr>
        <w:t xml:space="preserve"> </w:t>
      </w:r>
      <w:proofErr w:type="spellStart"/>
      <w:r w:rsidRPr="002C5AFF">
        <w:rPr>
          <w:rFonts w:ascii="Garamond" w:hAnsi="Garamond"/>
          <w:i/>
        </w:rPr>
        <w:t>vincito</w:t>
      </w:r>
      <w:proofErr w:type="spellEnd"/>
      <w:r w:rsidRPr="002C5AFF">
        <w:rPr>
          <w:rFonts w:ascii="Garamond" w:hAnsi="Garamond"/>
          <w:i/>
        </w:rPr>
        <w:t>.“</w:t>
      </w:r>
    </w:p>
    <w:p w:rsidR="00646C74" w:rsidRPr="002C5AFF" w:rsidRDefault="00646C74" w:rsidP="002C5AFF">
      <w:pPr>
        <w:pStyle w:val="Textpoznpodarou"/>
        <w:keepNext/>
        <w:jc w:val="both"/>
        <w:rPr>
          <w:rFonts w:ascii="Garamond" w:hAnsi="Garamond"/>
        </w:rPr>
      </w:pP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I: </w:t>
      </w:r>
      <w:r w:rsidRPr="002C5AFF">
        <w:rPr>
          <w:rFonts w:ascii="Garamond" w:hAnsi="Garamond"/>
          <w:i/>
        </w:rPr>
        <w:t xml:space="preserve">„4. </w:t>
      </w:r>
      <w:proofErr w:type="spellStart"/>
      <w:r w:rsidRPr="002C5AFF">
        <w:rPr>
          <w:rFonts w:ascii="Garamond" w:hAnsi="Garamond"/>
          <w:i/>
        </w:rPr>
        <w:t>Assiduo</w:t>
      </w:r>
      <w:proofErr w:type="spellEnd"/>
      <w:r w:rsidRPr="002C5AFF">
        <w:rPr>
          <w:rFonts w:ascii="Garamond" w:hAnsi="Garamond"/>
          <w:i/>
        </w:rPr>
        <w:t xml:space="preserve"> </w:t>
      </w:r>
      <w:proofErr w:type="spellStart"/>
      <w:r w:rsidRPr="002C5AFF">
        <w:rPr>
          <w:rFonts w:ascii="Garamond" w:hAnsi="Garamond"/>
          <w:i/>
        </w:rPr>
        <w:t>vindex</w:t>
      </w:r>
      <w:proofErr w:type="spellEnd"/>
      <w:r w:rsidRPr="002C5AFF">
        <w:rPr>
          <w:rFonts w:ascii="Garamond" w:hAnsi="Garamond"/>
          <w:i/>
        </w:rPr>
        <w:t xml:space="preserve"> </w:t>
      </w:r>
      <w:proofErr w:type="spellStart"/>
      <w:r w:rsidRPr="002C5AFF">
        <w:rPr>
          <w:rFonts w:ascii="Garamond" w:hAnsi="Garamond"/>
          <w:i/>
        </w:rPr>
        <w:t>assiduus</w:t>
      </w:r>
      <w:proofErr w:type="spellEnd"/>
      <w:r w:rsidRPr="002C5AFF">
        <w:rPr>
          <w:rFonts w:ascii="Garamond" w:hAnsi="Garamond"/>
          <w:i/>
        </w:rPr>
        <w:t xml:space="preserve"> </w:t>
      </w:r>
      <w:proofErr w:type="spellStart"/>
      <w:r w:rsidRPr="002C5AFF">
        <w:rPr>
          <w:rFonts w:ascii="Garamond" w:hAnsi="Garamond"/>
          <w:i/>
        </w:rPr>
        <w:t>esto</w:t>
      </w:r>
      <w:proofErr w:type="spellEnd"/>
      <w:r w:rsidRPr="002C5AFF">
        <w:rPr>
          <w:rFonts w:ascii="Garamond" w:hAnsi="Garamond"/>
          <w:i/>
        </w:rPr>
        <w:t xml:space="preserve">. </w:t>
      </w:r>
      <w:proofErr w:type="spellStart"/>
      <w:r w:rsidRPr="002C5AFF">
        <w:rPr>
          <w:rFonts w:ascii="Garamond" w:hAnsi="Garamond"/>
          <w:i/>
        </w:rPr>
        <w:t>Proletario</w:t>
      </w:r>
      <w:proofErr w:type="spellEnd"/>
      <w:r w:rsidRPr="002C5AFF">
        <w:rPr>
          <w:rFonts w:ascii="Garamond" w:hAnsi="Garamond"/>
          <w:i/>
        </w:rPr>
        <w:t xml:space="preserve"> </w:t>
      </w:r>
      <w:proofErr w:type="spellStart"/>
      <w:r w:rsidRPr="002C5AFF">
        <w:rPr>
          <w:rFonts w:ascii="Garamond" w:hAnsi="Garamond"/>
          <w:i/>
        </w:rPr>
        <w:t>iam</w:t>
      </w:r>
      <w:proofErr w:type="spellEnd"/>
      <w:r w:rsidRPr="002C5AFF">
        <w:rPr>
          <w:rFonts w:ascii="Garamond" w:hAnsi="Garamond"/>
          <w:i/>
        </w:rPr>
        <w:t xml:space="preserve"> </w:t>
      </w:r>
      <w:proofErr w:type="spellStart"/>
      <w:r w:rsidRPr="002C5AFF">
        <w:rPr>
          <w:rFonts w:ascii="Garamond" w:hAnsi="Garamond"/>
          <w:i/>
        </w:rPr>
        <w:t>civi</w:t>
      </w:r>
      <w:proofErr w:type="spellEnd"/>
      <w:r w:rsidRPr="002C5AFF">
        <w:rPr>
          <w:rFonts w:ascii="Garamond" w:hAnsi="Garamond"/>
          <w:i/>
        </w:rPr>
        <w:t xml:space="preserve"> </w:t>
      </w:r>
      <w:proofErr w:type="spellStart"/>
      <w:r w:rsidRPr="002C5AFF">
        <w:rPr>
          <w:rFonts w:ascii="Garamond" w:hAnsi="Garamond"/>
          <w:i/>
        </w:rPr>
        <w:t>quis</w:t>
      </w:r>
      <w:proofErr w:type="spellEnd"/>
      <w:r w:rsidRPr="002C5AFF">
        <w:rPr>
          <w:rFonts w:ascii="Garamond" w:hAnsi="Garamond"/>
          <w:i/>
        </w:rPr>
        <w:t xml:space="preserve"> </w:t>
      </w:r>
      <w:proofErr w:type="spellStart"/>
      <w:r w:rsidRPr="002C5AFF">
        <w:rPr>
          <w:rFonts w:ascii="Garamond" w:hAnsi="Garamond"/>
          <w:i/>
        </w:rPr>
        <w:t>volet</w:t>
      </w:r>
      <w:proofErr w:type="spellEnd"/>
      <w:r w:rsidRPr="002C5AFF">
        <w:rPr>
          <w:rFonts w:ascii="Garamond" w:hAnsi="Garamond"/>
          <w:i/>
        </w:rPr>
        <w:t xml:space="preserve"> </w:t>
      </w:r>
      <w:proofErr w:type="spellStart"/>
      <w:r w:rsidRPr="002C5AFF">
        <w:rPr>
          <w:rFonts w:ascii="Garamond" w:hAnsi="Garamond"/>
          <w:i/>
        </w:rPr>
        <w:t>vindex</w:t>
      </w:r>
      <w:proofErr w:type="spellEnd"/>
      <w:r w:rsidRPr="002C5AFF">
        <w:rPr>
          <w:rFonts w:ascii="Garamond" w:hAnsi="Garamond"/>
          <w:i/>
        </w:rPr>
        <w:t xml:space="preserve"> </w:t>
      </w:r>
      <w:proofErr w:type="spellStart"/>
      <w:r w:rsidRPr="002C5AFF">
        <w:rPr>
          <w:rFonts w:ascii="Garamond" w:hAnsi="Garamond"/>
          <w:i/>
        </w:rPr>
        <w:t>esto</w:t>
      </w:r>
      <w:proofErr w:type="spellEnd"/>
      <w:r w:rsidRPr="002C5AFF">
        <w:rPr>
          <w:rFonts w:ascii="Garamond" w:hAnsi="Garamond"/>
          <w:i/>
        </w:rPr>
        <w:t>.“</w:t>
      </w:r>
    </w:p>
  </w:footnote>
  <w:footnote w:id="12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22.</w:t>
      </w:r>
    </w:p>
  </w:footnote>
  <w:footnote w:id="12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III: </w:t>
      </w:r>
      <w:r w:rsidRPr="002C5AFF">
        <w:rPr>
          <w:rFonts w:ascii="Garamond" w:hAnsi="Garamond"/>
          <w:i/>
        </w:rPr>
        <w:t xml:space="preserve">„3. Ni </w:t>
      </w:r>
      <w:proofErr w:type="spellStart"/>
      <w:r w:rsidRPr="002C5AFF">
        <w:rPr>
          <w:rFonts w:ascii="Garamond" w:hAnsi="Garamond"/>
          <w:i/>
        </w:rPr>
        <w:t>iudicatum</w:t>
      </w:r>
      <w:proofErr w:type="spellEnd"/>
      <w:r w:rsidRPr="002C5AFF">
        <w:rPr>
          <w:rFonts w:ascii="Garamond" w:hAnsi="Garamond"/>
          <w:i/>
        </w:rPr>
        <w:t xml:space="preserve"> facit aut </w:t>
      </w:r>
      <w:proofErr w:type="spellStart"/>
      <w:r w:rsidRPr="002C5AFF">
        <w:rPr>
          <w:rFonts w:ascii="Garamond" w:hAnsi="Garamond"/>
          <w:i/>
        </w:rPr>
        <w:t>quis</w:t>
      </w:r>
      <w:proofErr w:type="spellEnd"/>
      <w:r w:rsidRPr="002C5AFF">
        <w:rPr>
          <w:rFonts w:ascii="Garamond" w:hAnsi="Garamond"/>
          <w:i/>
        </w:rPr>
        <w:t xml:space="preserve"> </w:t>
      </w:r>
      <w:proofErr w:type="spellStart"/>
      <w:r w:rsidRPr="002C5AFF">
        <w:rPr>
          <w:rFonts w:ascii="Garamond" w:hAnsi="Garamond"/>
          <w:i/>
        </w:rPr>
        <w:t>endo</w:t>
      </w:r>
      <w:proofErr w:type="spellEnd"/>
      <w:r w:rsidRPr="002C5AFF">
        <w:rPr>
          <w:rFonts w:ascii="Garamond" w:hAnsi="Garamond"/>
          <w:i/>
        </w:rPr>
        <w:t xml:space="preserve"> </w:t>
      </w:r>
      <w:proofErr w:type="spellStart"/>
      <w:r w:rsidRPr="002C5AFF">
        <w:rPr>
          <w:rFonts w:ascii="Garamond" w:hAnsi="Garamond"/>
          <w:i/>
        </w:rPr>
        <w:t>eo</w:t>
      </w:r>
      <w:proofErr w:type="spellEnd"/>
      <w:r w:rsidRPr="002C5AFF">
        <w:rPr>
          <w:rFonts w:ascii="Garamond" w:hAnsi="Garamond"/>
          <w:i/>
        </w:rPr>
        <w:t xml:space="preserve"> in iure </w:t>
      </w:r>
      <w:proofErr w:type="spellStart"/>
      <w:r w:rsidRPr="002C5AFF">
        <w:rPr>
          <w:rFonts w:ascii="Garamond" w:hAnsi="Garamond"/>
          <w:i/>
        </w:rPr>
        <w:t>vindicit</w:t>
      </w:r>
      <w:proofErr w:type="spellEnd"/>
      <w:r w:rsidRPr="002C5AFF">
        <w:rPr>
          <w:rFonts w:ascii="Garamond" w:hAnsi="Garamond"/>
          <w:i/>
        </w:rPr>
        <w:t xml:space="preserve">, </w:t>
      </w:r>
      <w:proofErr w:type="spellStart"/>
      <w:r w:rsidRPr="002C5AFF">
        <w:rPr>
          <w:rFonts w:ascii="Garamond" w:hAnsi="Garamond"/>
          <w:i/>
        </w:rPr>
        <w:t>secum</w:t>
      </w:r>
      <w:proofErr w:type="spellEnd"/>
      <w:r w:rsidRPr="002C5AFF">
        <w:rPr>
          <w:rFonts w:ascii="Garamond" w:hAnsi="Garamond"/>
          <w:i/>
        </w:rPr>
        <w:t xml:space="preserve"> </w:t>
      </w:r>
      <w:proofErr w:type="spellStart"/>
      <w:r w:rsidRPr="002C5AFF">
        <w:rPr>
          <w:rFonts w:ascii="Garamond" w:hAnsi="Garamond"/>
          <w:i/>
        </w:rPr>
        <w:t>ducito</w:t>
      </w:r>
      <w:proofErr w:type="spellEnd"/>
      <w:r w:rsidRPr="002C5AFF">
        <w:rPr>
          <w:rFonts w:ascii="Garamond" w:hAnsi="Garamond"/>
          <w:i/>
        </w:rPr>
        <w:t xml:space="preserve">, </w:t>
      </w:r>
      <w:proofErr w:type="spellStart"/>
      <w:r w:rsidRPr="002C5AFF">
        <w:rPr>
          <w:rFonts w:ascii="Garamond" w:hAnsi="Garamond"/>
          <w:i/>
        </w:rPr>
        <w:t>vincito</w:t>
      </w:r>
      <w:proofErr w:type="spellEnd"/>
      <w:r w:rsidRPr="002C5AFF">
        <w:rPr>
          <w:rFonts w:ascii="Garamond" w:hAnsi="Garamond"/>
          <w:i/>
        </w:rPr>
        <w:t xml:space="preserve"> aut </w:t>
      </w:r>
      <w:proofErr w:type="spellStart"/>
      <w:r w:rsidRPr="002C5AFF">
        <w:rPr>
          <w:rFonts w:ascii="Garamond" w:hAnsi="Garamond"/>
          <w:i/>
        </w:rPr>
        <w:t>nervo</w:t>
      </w:r>
      <w:proofErr w:type="spellEnd"/>
      <w:r w:rsidRPr="002C5AFF">
        <w:rPr>
          <w:rFonts w:ascii="Garamond" w:hAnsi="Garamond"/>
          <w:i/>
        </w:rPr>
        <w:t xml:space="preserve"> aut </w:t>
      </w:r>
      <w:proofErr w:type="spellStart"/>
      <w:r w:rsidRPr="002C5AFF">
        <w:rPr>
          <w:rFonts w:ascii="Garamond" w:hAnsi="Garamond"/>
          <w:i/>
        </w:rPr>
        <w:t>compedibus</w:t>
      </w:r>
      <w:proofErr w:type="spellEnd"/>
      <w:r w:rsidRPr="002C5AFF">
        <w:rPr>
          <w:rFonts w:ascii="Garamond" w:hAnsi="Garamond"/>
          <w:i/>
        </w:rPr>
        <w:t xml:space="preserve"> XV </w:t>
      </w:r>
      <w:proofErr w:type="spellStart"/>
      <w:r w:rsidRPr="002C5AFF">
        <w:rPr>
          <w:rFonts w:ascii="Garamond" w:hAnsi="Garamond"/>
          <w:i/>
        </w:rPr>
        <w:t>pondo</w:t>
      </w:r>
      <w:proofErr w:type="spellEnd"/>
      <w:r w:rsidRPr="002C5AFF">
        <w:rPr>
          <w:rFonts w:ascii="Garamond" w:hAnsi="Garamond"/>
          <w:i/>
        </w:rPr>
        <w:t xml:space="preserve">, ne </w:t>
      </w:r>
      <w:proofErr w:type="spellStart"/>
      <w:r w:rsidRPr="002C5AFF">
        <w:rPr>
          <w:rFonts w:ascii="Garamond" w:hAnsi="Garamond"/>
          <w:i/>
        </w:rPr>
        <w:t>maiore</w:t>
      </w:r>
      <w:proofErr w:type="spellEnd"/>
      <w:r w:rsidRPr="002C5AFF">
        <w:rPr>
          <w:rFonts w:ascii="Garamond" w:hAnsi="Garamond"/>
          <w:i/>
        </w:rPr>
        <w:t xml:space="preserve"> aut si </w:t>
      </w:r>
      <w:proofErr w:type="spellStart"/>
      <w:r w:rsidRPr="002C5AFF">
        <w:rPr>
          <w:rFonts w:ascii="Garamond" w:hAnsi="Garamond"/>
          <w:i/>
        </w:rPr>
        <w:t>volet</w:t>
      </w:r>
      <w:proofErr w:type="spellEnd"/>
      <w:r w:rsidRPr="002C5AFF">
        <w:rPr>
          <w:rFonts w:ascii="Garamond" w:hAnsi="Garamond"/>
          <w:i/>
        </w:rPr>
        <w:t xml:space="preserve"> </w:t>
      </w:r>
      <w:proofErr w:type="spellStart"/>
      <w:r w:rsidRPr="002C5AFF">
        <w:rPr>
          <w:rFonts w:ascii="Garamond" w:hAnsi="Garamond"/>
          <w:i/>
        </w:rPr>
        <w:t>minore</w:t>
      </w:r>
      <w:proofErr w:type="spellEnd"/>
      <w:r w:rsidRPr="002C5AFF">
        <w:rPr>
          <w:rFonts w:ascii="Garamond" w:hAnsi="Garamond"/>
          <w:i/>
        </w:rPr>
        <w:t xml:space="preserve"> </w:t>
      </w:r>
      <w:proofErr w:type="spellStart"/>
      <w:r w:rsidRPr="002C5AFF">
        <w:rPr>
          <w:rFonts w:ascii="Garamond" w:hAnsi="Garamond"/>
          <w:i/>
        </w:rPr>
        <w:t>vincito</w:t>
      </w:r>
      <w:proofErr w:type="spellEnd"/>
      <w:r w:rsidRPr="002C5AFF">
        <w:rPr>
          <w:rFonts w:ascii="Garamond" w:hAnsi="Garamond"/>
          <w:i/>
        </w:rPr>
        <w:t>.“</w:t>
      </w:r>
    </w:p>
  </w:footnote>
  <w:footnote w:id="13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III: </w:t>
      </w:r>
      <w:r w:rsidRPr="002C5AFF">
        <w:rPr>
          <w:rFonts w:ascii="Garamond" w:hAnsi="Garamond"/>
          <w:i/>
        </w:rPr>
        <w:t xml:space="preserve">„5. </w:t>
      </w:r>
      <w:proofErr w:type="spellStart"/>
      <w:r w:rsidRPr="002C5AFF">
        <w:rPr>
          <w:rFonts w:ascii="Garamond" w:hAnsi="Garamond"/>
          <w:i/>
        </w:rPr>
        <w:t>Erat</w:t>
      </w:r>
      <w:proofErr w:type="spellEnd"/>
      <w:r w:rsidRPr="002C5AFF">
        <w:rPr>
          <w:rFonts w:ascii="Garamond" w:hAnsi="Garamond"/>
          <w:i/>
        </w:rPr>
        <w:t xml:space="preserve"> autem </w:t>
      </w:r>
      <w:proofErr w:type="spellStart"/>
      <w:r w:rsidRPr="002C5AFF">
        <w:rPr>
          <w:rFonts w:ascii="Garamond" w:hAnsi="Garamond"/>
          <w:i/>
        </w:rPr>
        <w:t>ius</w:t>
      </w:r>
      <w:proofErr w:type="spellEnd"/>
      <w:r w:rsidRPr="002C5AFF">
        <w:rPr>
          <w:rFonts w:ascii="Garamond" w:hAnsi="Garamond"/>
          <w:i/>
        </w:rPr>
        <w:t xml:space="preserve"> </w:t>
      </w:r>
      <w:proofErr w:type="spellStart"/>
      <w:r w:rsidRPr="002C5AFF">
        <w:rPr>
          <w:rFonts w:ascii="Garamond" w:hAnsi="Garamond"/>
          <w:i/>
        </w:rPr>
        <w:t>interea</w:t>
      </w:r>
      <w:proofErr w:type="spellEnd"/>
      <w:r w:rsidRPr="002C5AFF">
        <w:rPr>
          <w:rFonts w:ascii="Garamond" w:hAnsi="Garamond"/>
          <w:i/>
        </w:rPr>
        <w:t xml:space="preserve"> </w:t>
      </w:r>
      <w:proofErr w:type="spellStart"/>
      <w:r w:rsidRPr="002C5AFF">
        <w:rPr>
          <w:rFonts w:ascii="Garamond" w:hAnsi="Garamond"/>
          <w:i/>
        </w:rPr>
        <w:t>paciscendi</w:t>
      </w:r>
      <w:proofErr w:type="spellEnd"/>
      <w:r w:rsidRPr="002C5AFF">
        <w:rPr>
          <w:rFonts w:ascii="Garamond" w:hAnsi="Garamond"/>
          <w:i/>
        </w:rPr>
        <w:t xml:space="preserve"> </w:t>
      </w:r>
      <w:proofErr w:type="spellStart"/>
      <w:r w:rsidRPr="002C5AFF">
        <w:rPr>
          <w:rFonts w:ascii="Garamond" w:hAnsi="Garamond"/>
          <w:i/>
        </w:rPr>
        <w:t>ac</w:t>
      </w:r>
      <w:proofErr w:type="spellEnd"/>
      <w:r w:rsidRPr="002C5AFF">
        <w:rPr>
          <w:rFonts w:ascii="Garamond" w:hAnsi="Garamond"/>
          <w:i/>
        </w:rPr>
        <w:t xml:space="preserve">, si </w:t>
      </w:r>
      <w:proofErr w:type="spellStart"/>
      <w:r w:rsidRPr="002C5AFF">
        <w:rPr>
          <w:rFonts w:ascii="Garamond" w:hAnsi="Garamond"/>
          <w:i/>
        </w:rPr>
        <w:t>pacti</w:t>
      </w:r>
      <w:proofErr w:type="spellEnd"/>
      <w:r w:rsidRPr="002C5AFF">
        <w:rPr>
          <w:rFonts w:ascii="Garamond" w:hAnsi="Garamond"/>
          <w:i/>
        </w:rPr>
        <w:t xml:space="preserve"> </w:t>
      </w:r>
      <w:proofErr w:type="spellStart"/>
      <w:r w:rsidRPr="002C5AFF">
        <w:rPr>
          <w:rFonts w:ascii="Garamond" w:hAnsi="Garamond"/>
          <w:i/>
        </w:rPr>
        <w:t>forent</w:t>
      </w:r>
      <w:proofErr w:type="spellEnd"/>
      <w:r w:rsidRPr="002C5AFF">
        <w:rPr>
          <w:rFonts w:ascii="Garamond" w:hAnsi="Garamond"/>
          <w:i/>
        </w:rPr>
        <w:t xml:space="preserve">, </w:t>
      </w:r>
      <w:proofErr w:type="spellStart"/>
      <w:r w:rsidRPr="002C5AFF">
        <w:rPr>
          <w:rFonts w:ascii="Garamond" w:hAnsi="Garamond"/>
          <w:i/>
        </w:rPr>
        <w:t>habebantur</w:t>
      </w:r>
      <w:proofErr w:type="spellEnd"/>
      <w:r w:rsidRPr="002C5AFF">
        <w:rPr>
          <w:rFonts w:ascii="Garamond" w:hAnsi="Garamond"/>
          <w:i/>
        </w:rPr>
        <w:t xml:space="preserve"> in </w:t>
      </w:r>
      <w:proofErr w:type="spellStart"/>
      <w:r w:rsidRPr="002C5AFF">
        <w:rPr>
          <w:rFonts w:ascii="Garamond" w:hAnsi="Garamond"/>
          <w:i/>
        </w:rPr>
        <w:t>vinculis</w:t>
      </w:r>
      <w:proofErr w:type="spellEnd"/>
      <w:r w:rsidRPr="002C5AFF">
        <w:rPr>
          <w:rFonts w:ascii="Garamond" w:hAnsi="Garamond"/>
          <w:i/>
        </w:rPr>
        <w:t xml:space="preserve"> </w:t>
      </w:r>
      <w:proofErr w:type="spellStart"/>
      <w:r w:rsidRPr="002C5AFF">
        <w:rPr>
          <w:rFonts w:ascii="Garamond" w:hAnsi="Garamond"/>
          <w:i/>
        </w:rPr>
        <w:t>dies</w:t>
      </w:r>
      <w:proofErr w:type="spellEnd"/>
      <w:r w:rsidRPr="002C5AFF">
        <w:rPr>
          <w:rFonts w:ascii="Garamond" w:hAnsi="Garamond"/>
          <w:i/>
        </w:rPr>
        <w:t xml:space="preserve"> </w:t>
      </w:r>
      <w:proofErr w:type="spellStart"/>
      <w:r w:rsidRPr="002C5AFF">
        <w:rPr>
          <w:rFonts w:ascii="Garamond" w:hAnsi="Garamond"/>
          <w:i/>
        </w:rPr>
        <w:t>sexaginta</w:t>
      </w:r>
      <w:proofErr w:type="spellEnd"/>
      <w:r w:rsidRPr="002C5AFF">
        <w:rPr>
          <w:rFonts w:ascii="Garamond" w:hAnsi="Garamond"/>
          <w:i/>
        </w:rPr>
        <w:t xml:space="preserve">. </w:t>
      </w:r>
      <w:proofErr w:type="spellStart"/>
      <w:r w:rsidRPr="002C5AFF">
        <w:rPr>
          <w:rFonts w:ascii="Garamond" w:hAnsi="Garamond"/>
          <w:i/>
        </w:rPr>
        <w:t>Inter</w:t>
      </w:r>
      <w:proofErr w:type="spellEnd"/>
      <w:r w:rsidRPr="002C5AFF">
        <w:rPr>
          <w:rFonts w:ascii="Garamond" w:hAnsi="Garamond"/>
          <w:i/>
        </w:rPr>
        <w:t xml:space="preserve"> </w:t>
      </w:r>
      <w:proofErr w:type="spellStart"/>
      <w:r w:rsidRPr="002C5AFF">
        <w:rPr>
          <w:rFonts w:ascii="Garamond" w:hAnsi="Garamond"/>
          <w:i/>
        </w:rPr>
        <w:t>eos</w:t>
      </w:r>
      <w:proofErr w:type="spellEnd"/>
      <w:r w:rsidRPr="002C5AFF">
        <w:rPr>
          <w:rFonts w:ascii="Garamond" w:hAnsi="Garamond"/>
          <w:i/>
        </w:rPr>
        <w:t xml:space="preserve"> </w:t>
      </w:r>
      <w:proofErr w:type="spellStart"/>
      <w:r w:rsidRPr="002C5AFF">
        <w:rPr>
          <w:rFonts w:ascii="Garamond" w:hAnsi="Garamond"/>
          <w:i/>
        </w:rPr>
        <w:t>dies</w:t>
      </w:r>
      <w:proofErr w:type="spellEnd"/>
      <w:r w:rsidRPr="002C5AFF">
        <w:rPr>
          <w:rFonts w:ascii="Garamond" w:hAnsi="Garamond"/>
          <w:i/>
        </w:rPr>
        <w:t xml:space="preserve"> </w:t>
      </w:r>
      <w:proofErr w:type="spellStart"/>
      <w:r w:rsidRPr="002C5AFF">
        <w:rPr>
          <w:rFonts w:ascii="Garamond" w:hAnsi="Garamond"/>
          <w:i/>
        </w:rPr>
        <w:t>trinis</w:t>
      </w:r>
      <w:proofErr w:type="spellEnd"/>
      <w:r w:rsidRPr="002C5AFF">
        <w:rPr>
          <w:rFonts w:ascii="Garamond" w:hAnsi="Garamond"/>
          <w:i/>
        </w:rPr>
        <w:t xml:space="preserve"> </w:t>
      </w:r>
      <w:proofErr w:type="spellStart"/>
      <w:r w:rsidRPr="002C5AFF">
        <w:rPr>
          <w:rFonts w:ascii="Garamond" w:hAnsi="Garamond"/>
          <w:i/>
        </w:rPr>
        <w:t>nundinis</w:t>
      </w:r>
      <w:proofErr w:type="spellEnd"/>
      <w:r w:rsidRPr="002C5AFF">
        <w:rPr>
          <w:rFonts w:ascii="Garamond" w:hAnsi="Garamond"/>
          <w:i/>
        </w:rPr>
        <w:t xml:space="preserve"> </w:t>
      </w:r>
      <w:proofErr w:type="spellStart"/>
      <w:r w:rsidRPr="002C5AFF">
        <w:rPr>
          <w:rFonts w:ascii="Garamond" w:hAnsi="Garamond"/>
          <w:i/>
        </w:rPr>
        <w:t>continuis</w:t>
      </w:r>
      <w:proofErr w:type="spellEnd"/>
      <w:r w:rsidRPr="002C5AFF">
        <w:rPr>
          <w:rFonts w:ascii="Garamond" w:hAnsi="Garamond"/>
          <w:i/>
        </w:rPr>
        <w:t xml:space="preserve"> ad </w:t>
      </w:r>
      <w:proofErr w:type="spellStart"/>
      <w:proofErr w:type="gramStart"/>
      <w:r w:rsidRPr="002C5AFF">
        <w:rPr>
          <w:rFonts w:ascii="Garamond" w:hAnsi="Garamond"/>
          <w:i/>
        </w:rPr>
        <w:t>praetorem</w:t>
      </w:r>
      <w:proofErr w:type="spellEnd"/>
      <w:proofErr w:type="gramEnd"/>
      <w:r w:rsidRPr="002C5AFF">
        <w:rPr>
          <w:rFonts w:ascii="Garamond" w:hAnsi="Garamond"/>
          <w:i/>
        </w:rPr>
        <w:t xml:space="preserve"> in </w:t>
      </w:r>
      <w:proofErr w:type="spellStart"/>
      <w:r w:rsidRPr="002C5AFF">
        <w:rPr>
          <w:rFonts w:ascii="Garamond" w:hAnsi="Garamond"/>
          <w:i/>
        </w:rPr>
        <w:t>comitium</w:t>
      </w:r>
      <w:proofErr w:type="spellEnd"/>
      <w:r w:rsidRPr="002C5AFF">
        <w:rPr>
          <w:rFonts w:ascii="Garamond" w:hAnsi="Garamond"/>
          <w:i/>
        </w:rPr>
        <w:t xml:space="preserve"> </w:t>
      </w:r>
      <w:proofErr w:type="spellStart"/>
      <w:r w:rsidRPr="002C5AFF">
        <w:rPr>
          <w:rFonts w:ascii="Garamond" w:hAnsi="Garamond"/>
          <w:i/>
        </w:rPr>
        <w:t>producebantur</w:t>
      </w:r>
      <w:proofErr w:type="spellEnd"/>
      <w:r w:rsidRPr="002C5AFF">
        <w:rPr>
          <w:rFonts w:ascii="Garamond" w:hAnsi="Garamond"/>
          <w:i/>
        </w:rPr>
        <w:t xml:space="preserve">, </w:t>
      </w:r>
      <w:proofErr w:type="spellStart"/>
      <w:r w:rsidRPr="002C5AFF">
        <w:rPr>
          <w:rFonts w:ascii="Garamond" w:hAnsi="Garamond"/>
          <w:i/>
        </w:rPr>
        <w:t>quantaeque</w:t>
      </w:r>
      <w:proofErr w:type="spellEnd"/>
      <w:r w:rsidRPr="002C5AFF">
        <w:rPr>
          <w:rFonts w:ascii="Garamond" w:hAnsi="Garamond"/>
          <w:i/>
        </w:rPr>
        <w:t xml:space="preserve"> </w:t>
      </w:r>
      <w:proofErr w:type="spellStart"/>
      <w:r w:rsidRPr="002C5AFF">
        <w:rPr>
          <w:rFonts w:ascii="Garamond" w:hAnsi="Garamond"/>
          <w:i/>
        </w:rPr>
        <w:t>pecuniae</w:t>
      </w:r>
      <w:proofErr w:type="spellEnd"/>
      <w:r w:rsidRPr="002C5AFF">
        <w:rPr>
          <w:rFonts w:ascii="Garamond" w:hAnsi="Garamond"/>
          <w:i/>
        </w:rPr>
        <w:t xml:space="preserve"> </w:t>
      </w:r>
      <w:proofErr w:type="spellStart"/>
      <w:r w:rsidRPr="002C5AFF">
        <w:rPr>
          <w:rFonts w:ascii="Garamond" w:hAnsi="Garamond"/>
          <w:i/>
        </w:rPr>
        <w:t>iudicati</w:t>
      </w:r>
      <w:proofErr w:type="spellEnd"/>
      <w:r w:rsidRPr="002C5AFF">
        <w:rPr>
          <w:rFonts w:ascii="Garamond" w:hAnsi="Garamond"/>
          <w:i/>
        </w:rPr>
        <w:t xml:space="preserve"> </w:t>
      </w:r>
      <w:proofErr w:type="spellStart"/>
      <w:r w:rsidRPr="002C5AFF">
        <w:rPr>
          <w:rFonts w:ascii="Garamond" w:hAnsi="Garamond"/>
          <w:i/>
        </w:rPr>
        <w:t>essent</w:t>
      </w:r>
      <w:proofErr w:type="spellEnd"/>
      <w:r w:rsidRPr="002C5AFF">
        <w:rPr>
          <w:rFonts w:ascii="Garamond" w:hAnsi="Garamond"/>
          <w:i/>
        </w:rPr>
        <w:t xml:space="preserve">, </w:t>
      </w:r>
      <w:proofErr w:type="spellStart"/>
      <w:r w:rsidRPr="002C5AFF">
        <w:rPr>
          <w:rFonts w:ascii="Garamond" w:hAnsi="Garamond"/>
          <w:i/>
        </w:rPr>
        <w:t>praedicabatur</w:t>
      </w:r>
      <w:proofErr w:type="spellEnd"/>
      <w:r w:rsidRPr="002C5AFF">
        <w:rPr>
          <w:rFonts w:ascii="Garamond" w:hAnsi="Garamond"/>
          <w:i/>
        </w:rPr>
        <w:t xml:space="preserve">. </w:t>
      </w:r>
      <w:proofErr w:type="spellStart"/>
      <w:r w:rsidRPr="002C5AFF">
        <w:rPr>
          <w:rFonts w:ascii="Garamond" w:hAnsi="Garamond"/>
          <w:i/>
        </w:rPr>
        <w:t>Tertiis</w:t>
      </w:r>
      <w:proofErr w:type="spellEnd"/>
      <w:r w:rsidRPr="002C5AFF">
        <w:rPr>
          <w:rFonts w:ascii="Garamond" w:hAnsi="Garamond"/>
          <w:i/>
        </w:rPr>
        <w:t xml:space="preserve"> autem </w:t>
      </w:r>
      <w:proofErr w:type="spellStart"/>
      <w:r w:rsidRPr="002C5AFF">
        <w:rPr>
          <w:rFonts w:ascii="Garamond" w:hAnsi="Garamond"/>
          <w:i/>
        </w:rPr>
        <w:t>nundinis</w:t>
      </w:r>
      <w:proofErr w:type="spellEnd"/>
      <w:r w:rsidRPr="002C5AFF">
        <w:rPr>
          <w:rFonts w:ascii="Garamond" w:hAnsi="Garamond"/>
          <w:i/>
        </w:rPr>
        <w:t xml:space="preserve"> </w:t>
      </w:r>
      <w:proofErr w:type="spellStart"/>
      <w:r w:rsidRPr="002C5AFF">
        <w:rPr>
          <w:rFonts w:ascii="Garamond" w:hAnsi="Garamond"/>
          <w:i/>
        </w:rPr>
        <w:t>capite</w:t>
      </w:r>
      <w:proofErr w:type="spellEnd"/>
      <w:r w:rsidRPr="002C5AFF">
        <w:rPr>
          <w:rFonts w:ascii="Garamond" w:hAnsi="Garamond"/>
          <w:i/>
        </w:rPr>
        <w:t xml:space="preserve"> </w:t>
      </w:r>
      <w:proofErr w:type="spellStart"/>
      <w:r w:rsidRPr="002C5AFF">
        <w:rPr>
          <w:rFonts w:ascii="Garamond" w:hAnsi="Garamond"/>
          <w:i/>
        </w:rPr>
        <w:t>poenas</w:t>
      </w:r>
      <w:proofErr w:type="spellEnd"/>
      <w:r w:rsidRPr="002C5AFF">
        <w:rPr>
          <w:rFonts w:ascii="Garamond" w:hAnsi="Garamond"/>
          <w:i/>
        </w:rPr>
        <w:t xml:space="preserve"> </w:t>
      </w:r>
      <w:proofErr w:type="spellStart"/>
      <w:r w:rsidRPr="002C5AFF">
        <w:rPr>
          <w:rFonts w:ascii="Garamond" w:hAnsi="Garamond"/>
          <w:i/>
        </w:rPr>
        <w:t>dabant</w:t>
      </w:r>
      <w:proofErr w:type="spellEnd"/>
      <w:r w:rsidRPr="002C5AFF">
        <w:rPr>
          <w:rFonts w:ascii="Garamond" w:hAnsi="Garamond"/>
          <w:i/>
        </w:rPr>
        <w:t xml:space="preserve">, aut trans </w:t>
      </w:r>
      <w:proofErr w:type="spellStart"/>
      <w:r w:rsidRPr="002C5AFF">
        <w:rPr>
          <w:rFonts w:ascii="Garamond" w:hAnsi="Garamond"/>
          <w:i/>
        </w:rPr>
        <w:t>Tiberim</w:t>
      </w:r>
      <w:proofErr w:type="spellEnd"/>
      <w:r w:rsidRPr="002C5AFF">
        <w:rPr>
          <w:rFonts w:ascii="Garamond" w:hAnsi="Garamond"/>
          <w:i/>
        </w:rPr>
        <w:t xml:space="preserve"> </w:t>
      </w:r>
      <w:proofErr w:type="spellStart"/>
      <w:r w:rsidRPr="002C5AFF">
        <w:rPr>
          <w:rFonts w:ascii="Garamond" w:hAnsi="Garamond"/>
          <w:i/>
        </w:rPr>
        <w:t>peregre</w:t>
      </w:r>
      <w:proofErr w:type="spellEnd"/>
      <w:r w:rsidRPr="002C5AFF">
        <w:rPr>
          <w:rFonts w:ascii="Garamond" w:hAnsi="Garamond"/>
          <w:i/>
        </w:rPr>
        <w:t xml:space="preserve"> </w:t>
      </w:r>
      <w:proofErr w:type="spellStart"/>
      <w:r w:rsidRPr="002C5AFF">
        <w:rPr>
          <w:rFonts w:ascii="Garamond" w:hAnsi="Garamond"/>
          <w:i/>
        </w:rPr>
        <w:t>venum</w:t>
      </w:r>
      <w:proofErr w:type="spellEnd"/>
      <w:r w:rsidRPr="002C5AFF">
        <w:rPr>
          <w:rFonts w:ascii="Garamond" w:hAnsi="Garamond"/>
          <w:i/>
        </w:rPr>
        <w:t xml:space="preserve"> </w:t>
      </w:r>
      <w:proofErr w:type="spellStart"/>
      <w:r w:rsidRPr="002C5AFF">
        <w:rPr>
          <w:rFonts w:ascii="Garamond" w:hAnsi="Garamond"/>
          <w:i/>
        </w:rPr>
        <w:t>ibant</w:t>
      </w:r>
      <w:proofErr w:type="spellEnd"/>
      <w:r w:rsidRPr="002C5AFF">
        <w:rPr>
          <w:rFonts w:ascii="Garamond" w:hAnsi="Garamond"/>
          <w:i/>
        </w:rPr>
        <w:t>.“</w:t>
      </w:r>
    </w:p>
  </w:footnote>
  <w:footnote w:id="13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209.</w:t>
      </w:r>
    </w:p>
  </w:footnote>
  <w:footnote w:id="13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172.</w:t>
      </w:r>
    </w:p>
  </w:footnote>
  <w:footnote w:id="13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228.</w:t>
      </w:r>
    </w:p>
    <w:p w:rsidR="00646C74" w:rsidRPr="002C5AFF" w:rsidRDefault="00646C74" w:rsidP="002C5AFF">
      <w:pPr>
        <w:pStyle w:val="Textpoznpodarou"/>
        <w:keepNext/>
        <w:jc w:val="both"/>
        <w:rPr>
          <w:rFonts w:ascii="Garamond" w:hAnsi="Garamond"/>
        </w:rPr>
      </w:pPr>
      <w:r w:rsidRPr="002C5AFF">
        <w:rPr>
          <w:rFonts w:ascii="Garamond" w:hAnsi="Garamond"/>
        </w:rPr>
        <w:t xml:space="preserve">VÁŽNÝ: </w:t>
      </w:r>
      <w:r w:rsidRPr="002C5AFF">
        <w:rPr>
          <w:rFonts w:ascii="Garamond" w:hAnsi="Garamond"/>
          <w:i/>
        </w:rPr>
        <w:t>Římský proces civilní.</w:t>
      </w:r>
      <w:r w:rsidRPr="002C5AFF">
        <w:rPr>
          <w:rFonts w:ascii="Garamond" w:hAnsi="Garamond"/>
        </w:rPr>
        <w:t>, s. 76.</w:t>
      </w:r>
    </w:p>
  </w:footnote>
  <w:footnote w:id="13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77.</w:t>
      </w:r>
    </w:p>
  </w:footnote>
  <w:footnote w:id="13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Tamtéž, s. 77 – 78.</w:t>
      </w:r>
    </w:p>
  </w:footnote>
  <w:footnote w:id="13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68., viz poznámka pod čarou č. 36.</w:t>
      </w:r>
    </w:p>
  </w:footnote>
  <w:footnote w:id="13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i/>
        </w:rPr>
        <w:t>Digesta</w:t>
      </w:r>
      <w:proofErr w:type="spellEnd"/>
      <w:r w:rsidRPr="002C5AFF">
        <w:rPr>
          <w:rFonts w:ascii="Garamond" w:hAnsi="Garamond"/>
          <w:i/>
        </w:rPr>
        <w:t xml:space="preserve"> neboli </w:t>
      </w:r>
      <w:proofErr w:type="spellStart"/>
      <w:r w:rsidRPr="002C5AFF">
        <w:rPr>
          <w:rFonts w:ascii="Garamond" w:hAnsi="Garamond"/>
          <w:i/>
        </w:rPr>
        <w:t>Pandekty</w:t>
      </w:r>
      <w:proofErr w:type="spellEnd"/>
      <w:r w:rsidRPr="002C5AFF">
        <w:rPr>
          <w:rFonts w:ascii="Garamond" w:hAnsi="Garamond"/>
          <w:i/>
        </w:rPr>
        <w:t xml:space="preserve">: svazek I, kniha I-XV, vybrané části. </w:t>
      </w:r>
      <w:proofErr w:type="spellStart"/>
      <w:r w:rsidRPr="002C5AFF">
        <w:rPr>
          <w:rFonts w:ascii="Garamond" w:hAnsi="Garamond"/>
          <w:i/>
        </w:rPr>
        <w:t>Digesta</w:t>
      </w:r>
      <w:proofErr w:type="spellEnd"/>
      <w:r w:rsidRPr="002C5AFF">
        <w:rPr>
          <w:rFonts w:ascii="Garamond" w:hAnsi="Garamond"/>
          <w:i/>
        </w:rPr>
        <w:t xml:space="preserve"> </w:t>
      </w:r>
      <w:proofErr w:type="spellStart"/>
      <w:r w:rsidRPr="002C5AFF">
        <w:rPr>
          <w:rFonts w:ascii="Garamond" w:hAnsi="Garamond"/>
          <w:i/>
        </w:rPr>
        <w:t>seu</w:t>
      </w:r>
      <w:proofErr w:type="spellEnd"/>
      <w:r w:rsidRPr="002C5AFF">
        <w:rPr>
          <w:rFonts w:ascii="Garamond" w:hAnsi="Garamond"/>
          <w:i/>
        </w:rPr>
        <w:t xml:space="preserve"> </w:t>
      </w:r>
      <w:proofErr w:type="spellStart"/>
      <w:r w:rsidRPr="002C5AFF">
        <w:rPr>
          <w:rFonts w:ascii="Garamond" w:hAnsi="Garamond"/>
          <w:i/>
        </w:rPr>
        <w:t>Pandectae</w:t>
      </w:r>
      <w:proofErr w:type="spellEnd"/>
      <w:r w:rsidRPr="002C5AFF">
        <w:rPr>
          <w:rFonts w:ascii="Garamond" w:hAnsi="Garamond"/>
          <w:i/>
        </w:rPr>
        <w:t xml:space="preserve">: </w:t>
      </w:r>
      <w:proofErr w:type="spellStart"/>
      <w:r w:rsidRPr="002C5AFF">
        <w:rPr>
          <w:rFonts w:ascii="Garamond" w:hAnsi="Garamond"/>
          <w:i/>
        </w:rPr>
        <w:t>tomus</w:t>
      </w:r>
      <w:proofErr w:type="spellEnd"/>
      <w:r w:rsidRPr="002C5AFF">
        <w:rPr>
          <w:rFonts w:ascii="Garamond" w:hAnsi="Garamond"/>
          <w:i/>
        </w:rPr>
        <w:t xml:space="preserve"> I, liber I-XV, </w:t>
      </w:r>
      <w:proofErr w:type="spellStart"/>
      <w:r w:rsidRPr="002C5AFF">
        <w:rPr>
          <w:rFonts w:ascii="Garamond" w:hAnsi="Garamond"/>
          <w:i/>
        </w:rPr>
        <w:t>fragmenta</w:t>
      </w:r>
      <w:proofErr w:type="spellEnd"/>
      <w:r w:rsidRPr="002C5AFF">
        <w:rPr>
          <w:rFonts w:ascii="Garamond" w:hAnsi="Garamond"/>
          <w:i/>
        </w:rPr>
        <w:t xml:space="preserve"> </w:t>
      </w:r>
      <w:proofErr w:type="spellStart"/>
      <w:r w:rsidRPr="002C5AFF">
        <w:rPr>
          <w:rFonts w:ascii="Garamond" w:hAnsi="Garamond"/>
          <w:i/>
        </w:rPr>
        <w:t>selecta</w:t>
      </w:r>
      <w:proofErr w:type="spellEnd"/>
      <w:r w:rsidRPr="002C5AFF">
        <w:rPr>
          <w:rFonts w:ascii="Garamond" w:hAnsi="Garamond"/>
          <w:i/>
        </w:rPr>
        <w:t>.</w:t>
      </w:r>
      <w:r w:rsidRPr="002C5AFF">
        <w:rPr>
          <w:rFonts w:ascii="Garamond" w:hAnsi="Garamond"/>
        </w:rPr>
        <w:t xml:space="preserve"> Přeložil Peter BLAHO, přeložila Jarmila VAŇKOVÁ, přeložil Michal SKŘEJPEK, přeložil Jakub ŽYTEK. Praha: Univerzita Karlova v Praze, nakladatelství Karolinum, 2015, s. 427.</w:t>
      </w:r>
    </w:p>
  </w:footnote>
  <w:footnote w:id="13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D 6. 1. 68., viz poznámka pod čarou č. 36.</w:t>
      </w:r>
    </w:p>
  </w:footnote>
  <w:footnote w:id="13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VÁŽNÝ: </w:t>
      </w:r>
      <w:r w:rsidRPr="002C5AFF">
        <w:rPr>
          <w:rFonts w:ascii="Garamond" w:hAnsi="Garamond"/>
          <w:i/>
        </w:rPr>
        <w:t>Římský proces civilní.</w:t>
      </w:r>
      <w:r w:rsidRPr="002C5AFF">
        <w:rPr>
          <w:rFonts w:ascii="Garamond" w:hAnsi="Garamond"/>
        </w:rPr>
        <w:t>, s. 78, 115 - 116.</w:t>
      </w:r>
    </w:p>
  </w:footnote>
  <w:footnote w:id="14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zákon č. 120/2001 Sb., o soudních exekutorech a exekuční činnosti a o změně dalších zákonů, ve znění pozdějších předpisů</w:t>
      </w:r>
    </w:p>
  </w:footnote>
  <w:footnote w:id="14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usnesení Nejvyššího soudu ze dne 29. dubna 2004, </w:t>
      </w:r>
      <w:proofErr w:type="spellStart"/>
      <w:r w:rsidRPr="002C5AFF">
        <w:rPr>
          <w:rFonts w:ascii="Garamond" w:hAnsi="Garamond"/>
        </w:rPr>
        <w:t>sp</w:t>
      </w:r>
      <w:proofErr w:type="spellEnd"/>
      <w:r w:rsidRPr="002C5AFF">
        <w:rPr>
          <w:rFonts w:ascii="Garamond" w:hAnsi="Garamond"/>
        </w:rPr>
        <w:t xml:space="preserve">. zn. 20 </w:t>
      </w:r>
      <w:proofErr w:type="spellStart"/>
      <w:r w:rsidRPr="002C5AFF">
        <w:rPr>
          <w:rFonts w:ascii="Garamond" w:hAnsi="Garamond"/>
        </w:rPr>
        <w:t>Cdo</w:t>
      </w:r>
      <w:proofErr w:type="spellEnd"/>
      <w:r w:rsidRPr="002C5AFF">
        <w:rPr>
          <w:rFonts w:ascii="Garamond" w:hAnsi="Garamond"/>
        </w:rPr>
        <w:t xml:space="preserve"> 360/2003</w:t>
      </w:r>
    </w:p>
  </w:footnote>
  <w:footnote w:id="14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Pokud žaloby směřovaly z totožného důvodu k totožnému cíli mezi různými osobami, jednalo se o konkurenci subjektivní, pokud směřovaly z totožného důvodu k totožnému cíli mezi týmž věřitelem a týmž dlužníkem, jednalo se o konkurenci objektivní. (BARTOŠEK: </w:t>
      </w:r>
      <w:r w:rsidRPr="002C5AFF">
        <w:rPr>
          <w:rFonts w:ascii="Garamond" w:hAnsi="Garamond"/>
          <w:i/>
        </w:rPr>
        <w:t>Encyklopedie římského práva.</w:t>
      </w:r>
      <w:r w:rsidRPr="002C5AFF">
        <w:rPr>
          <w:rFonts w:ascii="Garamond" w:hAnsi="Garamond"/>
        </w:rPr>
        <w:t>, s. 112.)</w:t>
      </w:r>
    </w:p>
  </w:footnote>
  <w:footnote w:id="14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„V téže záležitosti se žaloba dvakrát nepovoluje.“ (KINCL, URFUS, SKŘEJPEK: </w:t>
      </w:r>
      <w:r w:rsidRPr="002C5AFF">
        <w:rPr>
          <w:rFonts w:ascii="Garamond" w:hAnsi="Garamond"/>
          <w:i/>
        </w:rPr>
        <w:t>Římské právo</w:t>
      </w:r>
      <w:r w:rsidRPr="002C5AFF">
        <w:rPr>
          <w:rFonts w:ascii="Garamond" w:hAnsi="Garamond"/>
        </w:rPr>
        <w:t>., s. 344.)</w:t>
      </w:r>
    </w:p>
  </w:footnote>
  <w:footnote w:id="144">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s. 276.</w:t>
      </w:r>
    </w:p>
  </w:footnote>
  <w:footnote w:id="145">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140.</w:t>
      </w:r>
    </w:p>
  </w:footnote>
  <w:footnote w:id="146">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264.</w:t>
      </w:r>
    </w:p>
  </w:footnote>
  <w:footnote w:id="147">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Později též </w:t>
      </w:r>
      <w:proofErr w:type="spellStart"/>
      <w:r w:rsidRPr="002C5AFF">
        <w:rPr>
          <w:rFonts w:ascii="Garamond" w:hAnsi="Garamond"/>
          <w:i/>
        </w:rPr>
        <w:t>bonae</w:t>
      </w:r>
      <w:proofErr w:type="spellEnd"/>
      <w:r w:rsidRPr="002C5AFF">
        <w:rPr>
          <w:rFonts w:ascii="Garamond" w:hAnsi="Garamond"/>
          <w:i/>
        </w:rPr>
        <w:t xml:space="preserve"> </w:t>
      </w:r>
      <w:proofErr w:type="spellStart"/>
      <w:r w:rsidRPr="002C5AFF">
        <w:rPr>
          <w:rFonts w:ascii="Garamond" w:hAnsi="Garamond"/>
          <w:i/>
        </w:rPr>
        <w:t>fidei</w:t>
      </w:r>
      <w:proofErr w:type="spellEnd"/>
      <w:r w:rsidRPr="002C5AFF">
        <w:rPr>
          <w:rFonts w:ascii="Garamond" w:hAnsi="Garamond"/>
          <w:i/>
        </w:rPr>
        <w:t xml:space="preserve"> </w:t>
      </w:r>
      <w:proofErr w:type="spellStart"/>
      <w:r w:rsidRPr="002C5AFF">
        <w:rPr>
          <w:rFonts w:ascii="Garamond" w:hAnsi="Garamond"/>
          <w:i/>
        </w:rPr>
        <w:t>possessor</w:t>
      </w:r>
      <w:proofErr w:type="spellEnd"/>
      <w:r w:rsidRPr="002C5AFF">
        <w:rPr>
          <w:rFonts w:ascii="Garamond" w:hAnsi="Garamond"/>
        </w:rPr>
        <w:t xml:space="preserve"> a věcně oprávněný, např. zástavní věřitel. (KINCL, URFUS, SKŘEJPEK: </w:t>
      </w:r>
      <w:r w:rsidRPr="002C5AFF">
        <w:rPr>
          <w:rFonts w:ascii="Garamond" w:hAnsi="Garamond"/>
          <w:i/>
        </w:rPr>
        <w:t>Římské právo.</w:t>
      </w:r>
      <w:r w:rsidRPr="002C5AFF">
        <w:rPr>
          <w:rFonts w:ascii="Garamond" w:hAnsi="Garamond"/>
        </w:rPr>
        <w:t>, s. 264.)</w:t>
      </w:r>
    </w:p>
  </w:footnote>
  <w:footnote w:id="148">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264.</w:t>
      </w:r>
    </w:p>
  </w:footnote>
  <w:footnote w:id="149">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w:t>
      </w:r>
      <w:proofErr w:type="spellStart"/>
      <w:r w:rsidRPr="002C5AFF">
        <w:rPr>
          <w:rFonts w:ascii="Garamond" w:hAnsi="Garamond"/>
        </w:rPr>
        <w:t>Lex</w:t>
      </w:r>
      <w:proofErr w:type="spellEnd"/>
      <w:r w:rsidRPr="002C5AFF">
        <w:rPr>
          <w:rFonts w:ascii="Garamond" w:hAnsi="Garamond"/>
        </w:rPr>
        <w:t xml:space="preserve"> XII </w:t>
      </w:r>
      <w:proofErr w:type="spellStart"/>
      <w:r w:rsidRPr="002C5AFF">
        <w:rPr>
          <w:rFonts w:ascii="Garamond" w:hAnsi="Garamond"/>
        </w:rPr>
        <w:t>tabularum</w:t>
      </w:r>
      <w:proofErr w:type="spellEnd"/>
      <w:r w:rsidRPr="002C5AFF">
        <w:rPr>
          <w:rFonts w:ascii="Garamond" w:hAnsi="Garamond"/>
        </w:rPr>
        <w:t xml:space="preserve">, tab. VIII: </w:t>
      </w:r>
      <w:r w:rsidRPr="002C5AFF">
        <w:rPr>
          <w:rFonts w:ascii="Garamond" w:hAnsi="Garamond"/>
          <w:i/>
        </w:rPr>
        <w:t xml:space="preserve">„3. Manu </w:t>
      </w:r>
      <w:proofErr w:type="spellStart"/>
      <w:r w:rsidRPr="002C5AFF">
        <w:rPr>
          <w:rFonts w:ascii="Garamond" w:hAnsi="Garamond"/>
          <w:i/>
        </w:rPr>
        <w:t>fustive</w:t>
      </w:r>
      <w:proofErr w:type="spellEnd"/>
      <w:r w:rsidRPr="002C5AFF">
        <w:rPr>
          <w:rFonts w:ascii="Garamond" w:hAnsi="Garamond"/>
          <w:i/>
        </w:rPr>
        <w:t xml:space="preserve"> si os </w:t>
      </w:r>
      <w:proofErr w:type="spellStart"/>
      <w:r w:rsidRPr="002C5AFF">
        <w:rPr>
          <w:rFonts w:ascii="Garamond" w:hAnsi="Garamond"/>
          <w:i/>
        </w:rPr>
        <w:t>fregit</w:t>
      </w:r>
      <w:proofErr w:type="spellEnd"/>
      <w:r w:rsidRPr="002C5AFF">
        <w:rPr>
          <w:rFonts w:ascii="Garamond" w:hAnsi="Garamond"/>
          <w:i/>
        </w:rPr>
        <w:t xml:space="preserve"> libero, CCC </w:t>
      </w:r>
      <w:r w:rsidRPr="002C5AFF">
        <w:rPr>
          <w:rFonts w:ascii="Garamond" w:hAnsi="Garamond"/>
          <w:i/>
          <w:lang w:val="en-US"/>
        </w:rPr>
        <w:t>[</w:t>
      </w:r>
      <w:proofErr w:type="spellStart"/>
      <w:r w:rsidRPr="002C5AFF">
        <w:rPr>
          <w:rFonts w:ascii="Garamond" w:hAnsi="Garamond"/>
          <w:i/>
        </w:rPr>
        <w:t>assium</w:t>
      </w:r>
      <w:proofErr w:type="spellEnd"/>
      <w:r w:rsidRPr="002C5AFF">
        <w:rPr>
          <w:rFonts w:ascii="Garamond" w:hAnsi="Garamond"/>
          <w:i/>
        </w:rPr>
        <w:t xml:space="preserve">], si </w:t>
      </w:r>
      <w:proofErr w:type="spellStart"/>
      <w:r w:rsidRPr="002C5AFF">
        <w:rPr>
          <w:rFonts w:ascii="Garamond" w:hAnsi="Garamond"/>
          <w:i/>
        </w:rPr>
        <w:t>servo</w:t>
      </w:r>
      <w:proofErr w:type="spellEnd"/>
      <w:r w:rsidRPr="002C5AFF">
        <w:rPr>
          <w:rFonts w:ascii="Garamond" w:hAnsi="Garamond"/>
          <w:i/>
        </w:rPr>
        <w:t>, CL [</w:t>
      </w:r>
      <w:proofErr w:type="spellStart"/>
      <w:r w:rsidRPr="002C5AFF">
        <w:rPr>
          <w:rFonts w:ascii="Garamond" w:hAnsi="Garamond"/>
          <w:i/>
        </w:rPr>
        <w:t>assium</w:t>
      </w:r>
      <w:proofErr w:type="spellEnd"/>
      <w:r w:rsidRPr="002C5AFF">
        <w:rPr>
          <w:rFonts w:ascii="Garamond" w:hAnsi="Garamond"/>
          <w:i/>
        </w:rPr>
        <w:t xml:space="preserve">] </w:t>
      </w:r>
      <w:proofErr w:type="spellStart"/>
      <w:r w:rsidRPr="002C5AFF">
        <w:rPr>
          <w:rFonts w:ascii="Garamond" w:hAnsi="Garamond"/>
          <w:i/>
        </w:rPr>
        <w:t>poenam</w:t>
      </w:r>
      <w:proofErr w:type="spellEnd"/>
      <w:r w:rsidRPr="002C5AFF">
        <w:rPr>
          <w:rFonts w:ascii="Garamond" w:hAnsi="Garamond"/>
          <w:i/>
        </w:rPr>
        <w:t xml:space="preserve"> subito. 4. </w:t>
      </w:r>
      <w:proofErr w:type="gramStart"/>
      <w:r w:rsidRPr="002C5AFF">
        <w:rPr>
          <w:rFonts w:ascii="Garamond" w:hAnsi="Garamond"/>
          <w:i/>
        </w:rPr>
        <w:t>Si</w:t>
      </w:r>
      <w:proofErr w:type="gramEnd"/>
      <w:r w:rsidRPr="002C5AFF">
        <w:rPr>
          <w:rFonts w:ascii="Garamond" w:hAnsi="Garamond"/>
          <w:i/>
        </w:rPr>
        <w:t xml:space="preserve"> </w:t>
      </w:r>
      <w:proofErr w:type="spellStart"/>
      <w:r w:rsidRPr="002C5AFF">
        <w:rPr>
          <w:rFonts w:ascii="Garamond" w:hAnsi="Garamond"/>
          <w:i/>
        </w:rPr>
        <w:t>iniuriam</w:t>
      </w:r>
      <w:proofErr w:type="spellEnd"/>
      <w:r w:rsidRPr="002C5AFF">
        <w:rPr>
          <w:rFonts w:ascii="Garamond" w:hAnsi="Garamond"/>
          <w:i/>
        </w:rPr>
        <w:t xml:space="preserve"> </w:t>
      </w:r>
      <w:proofErr w:type="spellStart"/>
      <w:r w:rsidRPr="002C5AFF">
        <w:rPr>
          <w:rFonts w:ascii="Garamond" w:hAnsi="Garamond"/>
          <w:i/>
        </w:rPr>
        <w:t>faxsit</w:t>
      </w:r>
      <w:proofErr w:type="spellEnd"/>
      <w:r w:rsidRPr="002C5AFF">
        <w:rPr>
          <w:rFonts w:ascii="Garamond" w:hAnsi="Garamond"/>
          <w:i/>
        </w:rPr>
        <w:t xml:space="preserve">, </w:t>
      </w:r>
      <w:proofErr w:type="spellStart"/>
      <w:r w:rsidRPr="002C5AFF">
        <w:rPr>
          <w:rFonts w:ascii="Garamond" w:hAnsi="Garamond"/>
          <w:i/>
        </w:rPr>
        <w:t>viginti</w:t>
      </w:r>
      <w:proofErr w:type="spellEnd"/>
      <w:r w:rsidRPr="002C5AFF">
        <w:rPr>
          <w:rFonts w:ascii="Garamond" w:hAnsi="Garamond"/>
          <w:i/>
        </w:rPr>
        <w:t xml:space="preserve"> </w:t>
      </w:r>
      <w:proofErr w:type="spellStart"/>
      <w:r w:rsidRPr="002C5AFF">
        <w:rPr>
          <w:rFonts w:ascii="Garamond" w:hAnsi="Garamond"/>
          <w:i/>
        </w:rPr>
        <w:t>quinque</w:t>
      </w:r>
      <w:proofErr w:type="spellEnd"/>
      <w:r w:rsidRPr="002C5AFF">
        <w:rPr>
          <w:rFonts w:ascii="Garamond" w:hAnsi="Garamond"/>
          <w:i/>
        </w:rPr>
        <w:t xml:space="preserve"> </w:t>
      </w:r>
      <w:proofErr w:type="spellStart"/>
      <w:r w:rsidRPr="002C5AFF">
        <w:rPr>
          <w:rFonts w:ascii="Garamond" w:hAnsi="Garamond"/>
          <w:i/>
        </w:rPr>
        <w:t>poenae</w:t>
      </w:r>
      <w:proofErr w:type="spellEnd"/>
      <w:r w:rsidRPr="002C5AFF">
        <w:rPr>
          <w:rFonts w:ascii="Garamond" w:hAnsi="Garamond"/>
          <w:i/>
        </w:rPr>
        <w:t xml:space="preserve"> [</w:t>
      </w:r>
      <w:proofErr w:type="spellStart"/>
      <w:r w:rsidRPr="002C5AFF">
        <w:rPr>
          <w:rFonts w:ascii="Garamond" w:hAnsi="Garamond"/>
          <w:i/>
        </w:rPr>
        <w:t>asses</w:t>
      </w:r>
      <w:proofErr w:type="spellEnd"/>
      <w:r w:rsidRPr="002C5AFF">
        <w:rPr>
          <w:rFonts w:ascii="Garamond" w:hAnsi="Garamond"/>
          <w:i/>
        </w:rPr>
        <w:t xml:space="preserve">] </w:t>
      </w:r>
      <w:proofErr w:type="spellStart"/>
      <w:r w:rsidRPr="002C5AFF">
        <w:rPr>
          <w:rFonts w:ascii="Garamond" w:hAnsi="Garamond"/>
          <w:i/>
        </w:rPr>
        <w:t>sunto</w:t>
      </w:r>
      <w:proofErr w:type="spellEnd"/>
      <w:r w:rsidRPr="002C5AFF">
        <w:rPr>
          <w:rFonts w:ascii="Garamond" w:hAnsi="Garamond"/>
          <w:i/>
        </w:rPr>
        <w:t>.“</w:t>
      </w:r>
    </w:p>
  </w:footnote>
  <w:footnote w:id="150">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HEYROVSKÝ: </w:t>
      </w:r>
      <w:r w:rsidRPr="002C5AFF">
        <w:rPr>
          <w:rFonts w:ascii="Garamond" w:hAnsi="Garamond"/>
          <w:i/>
        </w:rPr>
        <w:t>Dějiny a systém…</w:t>
      </w:r>
      <w:r w:rsidRPr="002C5AFF">
        <w:rPr>
          <w:rFonts w:ascii="Garamond" w:hAnsi="Garamond"/>
        </w:rPr>
        <w:t xml:space="preserve">, s. 794 – 796. </w:t>
      </w:r>
    </w:p>
  </w:footnote>
  <w:footnote w:id="151">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BARTOŠEK: </w:t>
      </w:r>
      <w:r w:rsidRPr="002C5AFF">
        <w:rPr>
          <w:rFonts w:ascii="Garamond" w:hAnsi="Garamond"/>
          <w:i/>
        </w:rPr>
        <w:t>Encyklopedie římského práva.</w:t>
      </w:r>
      <w:r w:rsidRPr="002C5AFF">
        <w:rPr>
          <w:rFonts w:ascii="Garamond" w:hAnsi="Garamond"/>
        </w:rPr>
        <w:t>, s. 77, 83.</w:t>
      </w:r>
    </w:p>
  </w:footnote>
  <w:footnote w:id="152">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156.</w:t>
      </w:r>
    </w:p>
  </w:footnote>
  <w:footnote w:id="153">
    <w:p w:rsidR="00646C74" w:rsidRPr="002C5AFF" w:rsidRDefault="00646C74" w:rsidP="002C5AFF">
      <w:pPr>
        <w:pStyle w:val="Textpoznpodarou"/>
        <w:keepNext/>
        <w:jc w:val="both"/>
        <w:rPr>
          <w:rFonts w:ascii="Garamond" w:hAnsi="Garamond"/>
        </w:rPr>
      </w:pPr>
      <w:r w:rsidRPr="002C5AFF">
        <w:rPr>
          <w:rStyle w:val="Znakapoznpodarou"/>
          <w:rFonts w:ascii="Garamond" w:hAnsi="Garamond"/>
        </w:rPr>
        <w:footnoteRef/>
      </w:r>
      <w:r w:rsidRPr="002C5AFF">
        <w:rPr>
          <w:rFonts w:ascii="Garamond" w:hAnsi="Garamond"/>
        </w:rPr>
        <w:t xml:space="preserve"> KINCL, URFUS, SKŘEJPEK: </w:t>
      </w:r>
      <w:r w:rsidRPr="002C5AFF">
        <w:rPr>
          <w:rFonts w:ascii="Garamond" w:hAnsi="Garamond"/>
          <w:i/>
        </w:rPr>
        <w:t>Římské právo.</w:t>
      </w:r>
      <w:r w:rsidRPr="002C5AFF">
        <w:rPr>
          <w:rFonts w:ascii="Garamond" w:hAnsi="Garamond"/>
        </w:rPr>
        <w:t>, s. 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346D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F43EE"/>
    <w:rsid w:val="0000079F"/>
    <w:rsid w:val="0000274D"/>
    <w:rsid w:val="000106BE"/>
    <w:rsid w:val="00016A01"/>
    <w:rsid w:val="00035851"/>
    <w:rsid w:val="00036635"/>
    <w:rsid w:val="00037BAD"/>
    <w:rsid w:val="00042C17"/>
    <w:rsid w:val="00043B40"/>
    <w:rsid w:val="0004786E"/>
    <w:rsid w:val="00055348"/>
    <w:rsid w:val="0005544B"/>
    <w:rsid w:val="00055995"/>
    <w:rsid w:val="00062FF4"/>
    <w:rsid w:val="000640B1"/>
    <w:rsid w:val="0006632C"/>
    <w:rsid w:val="000705C3"/>
    <w:rsid w:val="00071844"/>
    <w:rsid w:val="00080FC3"/>
    <w:rsid w:val="00081737"/>
    <w:rsid w:val="00082F35"/>
    <w:rsid w:val="00083A23"/>
    <w:rsid w:val="00091DAC"/>
    <w:rsid w:val="00094AFA"/>
    <w:rsid w:val="00096074"/>
    <w:rsid w:val="000A7EF4"/>
    <w:rsid w:val="000B19C2"/>
    <w:rsid w:val="000B6924"/>
    <w:rsid w:val="000B6B91"/>
    <w:rsid w:val="000B769C"/>
    <w:rsid w:val="000C5215"/>
    <w:rsid w:val="000C7CDF"/>
    <w:rsid w:val="000D393D"/>
    <w:rsid w:val="000D43B8"/>
    <w:rsid w:val="000D566C"/>
    <w:rsid w:val="000E563B"/>
    <w:rsid w:val="000F7BD8"/>
    <w:rsid w:val="000F7FFC"/>
    <w:rsid w:val="00100A1C"/>
    <w:rsid w:val="00101C76"/>
    <w:rsid w:val="0012214A"/>
    <w:rsid w:val="0013487E"/>
    <w:rsid w:val="001364DF"/>
    <w:rsid w:val="00142390"/>
    <w:rsid w:val="00144132"/>
    <w:rsid w:val="00145341"/>
    <w:rsid w:val="00153BEF"/>
    <w:rsid w:val="001548F1"/>
    <w:rsid w:val="0016608E"/>
    <w:rsid w:val="001667BF"/>
    <w:rsid w:val="00171B3A"/>
    <w:rsid w:val="00173C91"/>
    <w:rsid w:val="00175851"/>
    <w:rsid w:val="00177123"/>
    <w:rsid w:val="00180D64"/>
    <w:rsid w:val="00184597"/>
    <w:rsid w:val="00187603"/>
    <w:rsid w:val="00190324"/>
    <w:rsid w:val="0019192A"/>
    <w:rsid w:val="001B0A4C"/>
    <w:rsid w:val="001B0EB0"/>
    <w:rsid w:val="001B2A69"/>
    <w:rsid w:val="001C1AA4"/>
    <w:rsid w:val="001D23A4"/>
    <w:rsid w:val="001D2F44"/>
    <w:rsid w:val="001D56D2"/>
    <w:rsid w:val="001D5E36"/>
    <w:rsid w:val="001D610A"/>
    <w:rsid w:val="001D6384"/>
    <w:rsid w:val="001E2F4B"/>
    <w:rsid w:val="001E3B46"/>
    <w:rsid w:val="001F091E"/>
    <w:rsid w:val="001F10A6"/>
    <w:rsid w:val="001F72B7"/>
    <w:rsid w:val="001F7AB2"/>
    <w:rsid w:val="001F7FF2"/>
    <w:rsid w:val="00200D22"/>
    <w:rsid w:val="0020280D"/>
    <w:rsid w:val="00203ACA"/>
    <w:rsid w:val="0020440E"/>
    <w:rsid w:val="00206F05"/>
    <w:rsid w:val="00212867"/>
    <w:rsid w:val="0021573D"/>
    <w:rsid w:val="00215995"/>
    <w:rsid w:val="00226B61"/>
    <w:rsid w:val="002271FA"/>
    <w:rsid w:val="0023252F"/>
    <w:rsid w:val="002326F5"/>
    <w:rsid w:val="0024430E"/>
    <w:rsid w:val="00245BB5"/>
    <w:rsid w:val="00254F3F"/>
    <w:rsid w:val="0026291C"/>
    <w:rsid w:val="00270DFB"/>
    <w:rsid w:val="00276859"/>
    <w:rsid w:val="00280835"/>
    <w:rsid w:val="00282755"/>
    <w:rsid w:val="002868BD"/>
    <w:rsid w:val="00293DA2"/>
    <w:rsid w:val="00297B55"/>
    <w:rsid w:val="002A0215"/>
    <w:rsid w:val="002A6A5E"/>
    <w:rsid w:val="002A6EB4"/>
    <w:rsid w:val="002B0C3A"/>
    <w:rsid w:val="002B5C0B"/>
    <w:rsid w:val="002C199A"/>
    <w:rsid w:val="002C3689"/>
    <w:rsid w:val="002C5AFF"/>
    <w:rsid w:val="002C61FE"/>
    <w:rsid w:val="002D0E0B"/>
    <w:rsid w:val="002D3A2A"/>
    <w:rsid w:val="002D52F0"/>
    <w:rsid w:val="002D5D16"/>
    <w:rsid w:val="002F0301"/>
    <w:rsid w:val="002F399D"/>
    <w:rsid w:val="002F5DA7"/>
    <w:rsid w:val="002F6988"/>
    <w:rsid w:val="00302330"/>
    <w:rsid w:val="00304DFA"/>
    <w:rsid w:val="00316D4A"/>
    <w:rsid w:val="00316DF2"/>
    <w:rsid w:val="00317C31"/>
    <w:rsid w:val="003215B4"/>
    <w:rsid w:val="00321BCF"/>
    <w:rsid w:val="00322C26"/>
    <w:rsid w:val="003300F8"/>
    <w:rsid w:val="00340DED"/>
    <w:rsid w:val="0034140B"/>
    <w:rsid w:val="0035130B"/>
    <w:rsid w:val="00356393"/>
    <w:rsid w:val="00357E33"/>
    <w:rsid w:val="003614F1"/>
    <w:rsid w:val="00362AA4"/>
    <w:rsid w:val="00365DDE"/>
    <w:rsid w:val="00366FDC"/>
    <w:rsid w:val="00367277"/>
    <w:rsid w:val="00375308"/>
    <w:rsid w:val="00375535"/>
    <w:rsid w:val="00377041"/>
    <w:rsid w:val="00382D73"/>
    <w:rsid w:val="00384146"/>
    <w:rsid w:val="00395978"/>
    <w:rsid w:val="00397870"/>
    <w:rsid w:val="003A1389"/>
    <w:rsid w:val="003A4787"/>
    <w:rsid w:val="003A6B35"/>
    <w:rsid w:val="003B15A8"/>
    <w:rsid w:val="003B46C3"/>
    <w:rsid w:val="003B46F5"/>
    <w:rsid w:val="003B4E3A"/>
    <w:rsid w:val="003B6052"/>
    <w:rsid w:val="003C6264"/>
    <w:rsid w:val="003D20FF"/>
    <w:rsid w:val="003D792D"/>
    <w:rsid w:val="003F047A"/>
    <w:rsid w:val="003F062F"/>
    <w:rsid w:val="003F137D"/>
    <w:rsid w:val="003F1484"/>
    <w:rsid w:val="003F2158"/>
    <w:rsid w:val="003F43EE"/>
    <w:rsid w:val="00400736"/>
    <w:rsid w:val="00402AEE"/>
    <w:rsid w:val="004059A9"/>
    <w:rsid w:val="00411AAC"/>
    <w:rsid w:val="00412888"/>
    <w:rsid w:val="0041352F"/>
    <w:rsid w:val="00422C24"/>
    <w:rsid w:val="00424B08"/>
    <w:rsid w:val="00426098"/>
    <w:rsid w:val="004267FE"/>
    <w:rsid w:val="004278FF"/>
    <w:rsid w:val="00432F18"/>
    <w:rsid w:val="00434692"/>
    <w:rsid w:val="00442436"/>
    <w:rsid w:val="00442DBA"/>
    <w:rsid w:val="00452155"/>
    <w:rsid w:val="004705EC"/>
    <w:rsid w:val="00470E27"/>
    <w:rsid w:val="00471106"/>
    <w:rsid w:val="0047420E"/>
    <w:rsid w:val="00475CD6"/>
    <w:rsid w:val="00480157"/>
    <w:rsid w:val="004843AD"/>
    <w:rsid w:val="004975F2"/>
    <w:rsid w:val="004A54C9"/>
    <w:rsid w:val="004B09CC"/>
    <w:rsid w:val="004B24E7"/>
    <w:rsid w:val="004B578B"/>
    <w:rsid w:val="004B5C1B"/>
    <w:rsid w:val="004C480A"/>
    <w:rsid w:val="004C5A9A"/>
    <w:rsid w:val="004C6268"/>
    <w:rsid w:val="004D247E"/>
    <w:rsid w:val="004D4466"/>
    <w:rsid w:val="004D7538"/>
    <w:rsid w:val="004E1457"/>
    <w:rsid w:val="004E3915"/>
    <w:rsid w:val="004E7661"/>
    <w:rsid w:val="004F03A1"/>
    <w:rsid w:val="004F6DFB"/>
    <w:rsid w:val="005013D1"/>
    <w:rsid w:val="005062D5"/>
    <w:rsid w:val="00512EDD"/>
    <w:rsid w:val="00513603"/>
    <w:rsid w:val="00513BAC"/>
    <w:rsid w:val="0051509E"/>
    <w:rsid w:val="00515C7E"/>
    <w:rsid w:val="00516220"/>
    <w:rsid w:val="00520122"/>
    <w:rsid w:val="00527CED"/>
    <w:rsid w:val="00530BAF"/>
    <w:rsid w:val="00533D8A"/>
    <w:rsid w:val="0053495D"/>
    <w:rsid w:val="00535A70"/>
    <w:rsid w:val="00537416"/>
    <w:rsid w:val="0054186C"/>
    <w:rsid w:val="0054437C"/>
    <w:rsid w:val="00544FEF"/>
    <w:rsid w:val="00552203"/>
    <w:rsid w:val="00552AD2"/>
    <w:rsid w:val="005551DA"/>
    <w:rsid w:val="00562933"/>
    <w:rsid w:val="00563141"/>
    <w:rsid w:val="00564A75"/>
    <w:rsid w:val="00565423"/>
    <w:rsid w:val="00571B48"/>
    <w:rsid w:val="005779CD"/>
    <w:rsid w:val="00594B32"/>
    <w:rsid w:val="00597B3B"/>
    <w:rsid w:val="005A14D7"/>
    <w:rsid w:val="005A535A"/>
    <w:rsid w:val="005A6DA1"/>
    <w:rsid w:val="005B20EA"/>
    <w:rsid w:val="005C0F44"/>
    <w:rsid w:val="005C205F"/>
    <w:rsid w:val="005D1988"/>
    <w:rsid w:val="005D1C94"/>
    <w:rsid w:val="005D37E3"/>
    <w:rsid w:val="005D7E5E"/>
    <w:rsid w:val="005E193E"/>
    <w:rsid w:val="005E348A"/>
    <w:rsid w:val="005E4399"/>
    <w:rsid w:val="005E4B80"/>
    <w:rsid w:val="005E60F6"/>
    <w:rsid w:val="005E6236"/>
    <w:rsid w:val="005E62BD"/>
    <w:rsid w:val="0060067A"/>
    <w:rsid w:val="006142B1"/>
    <w:rsid w:val="00614CD6"/>
    <w:rsid w:val="00620C7E"/>
    <w:rsid w:val="006324F7"/>
    <w:rsid w:val="00633385"/>
    <w:rsid w:val="00633A75"/>
    <w:rsid w:val="00644051"/>
    <w:rsid w:val="00646C74"/>
    <w:rsid w:val="00647CAC"/>
    <w:rsid w:val="00650863"/>
    <w:rsid w:val="00654B3E"/>
    <w:rsid w:val="00656F67"/>
    <w:rsid w:val="00664F95"/>
    <w:rsid w:val="0067023F"/>
    <w:rsid w:val="00676250"/>
    <w:rsid w:val="00676BDB"/>
    <w:rsid w:val="00682A4C"/>
    <w:rsid w:val="006915D9"/>
    <w:rsid w:val="0069425B"/>
    <w:rsid w:val="00694CF6"/>
    <w:rsid w:val="00695333"/>
    <w:rsid w:val="006A3E86"/>
    <w:rsid w:val="006B17D9"/>
    <w:rsid w:val="006C5EDD"/>
    <w:rsid w:val="006C65D2"/>
    <w:rsid w:val="006D72CB"/>
    <w:rsid w:val="006E0DF3"/>
    <w:rsid w:val="006E64A3"/>
    <w:rsid w:val="006F7A28"/>
    <w:rsid w:val="007002F5"/>
    <w:rsid w:val="00700C03"/>
    <w:rsid w:val="00701D40"/>
    <w:rsid w:val="00703937"/>
    <w:rsid w:val="0071620C"/>
    <w:rsid w:val="00723A50"/>
    <w:rsid w:val="0073229A"/>
    <w:rsid w:val="00741111"/>
    <w:rsid w:val="00742C72"/>
    <w:rsid w:val="00744CF7"/>
    <w:rsid w:val="00745D3E"/>
    <w:rsid w:val="00747C57"/>
    <w:rsid w:val="00754FA5"/>
    <w:rsid w:val="00755E81"/>
    <w:rsid w:val="007573F4"/>
    <w:rsid w:val="0076008D"/>
    <w:rsid w:val="007613FD"/>
    <w:rsid w:val="00763CCB"/>
    <w:rsid w:val="0076444B"/>
    <w:rsid w:val="0076692C"/>
    <w:rsid w:val="00770430"/>
    <w:rsid w:val="00776526"/>
    <w:rsid w:val="00783672"/>
    <w:rsid w:val="00783FB1"/>
    <w:rsid w:val="0078474A"/>
    <w:rsid w:val="0078627F"/>
    <w:rsid w:val="00792576"/>
    <w:rsid w:val="007947B0"/>
    <w:rsid w:val="007978B3"/>
    <w:rsid w:val="007A3E0F"/>
    <w:rsid w:val="007B1B27"/>
    <w:rsid w:val="007B45F5"/>
    <w:rsid w:val="007B6259"/>
    <w:rsid w:val="007B662A"/>
    <w:rsid w:val="007C0626"/>
    <w:rsid w:val="007C64B4"/>
    <w:rsid w:val="007C6D77"/>
    <w:rsid w:val="007D1A15"/>
    <w:rsid w:val="007D7C5D"/>
    <w:rsid w:val="007D7CB3"/>
    <w:rsid w:val="007E1423"/>
    <w:rsid w:val="007E2E68"/>
    <w:rsid w:val="007E3907"/>
    <w:rsid w:val="007E5DBF"/>
    <w:rsid w:val="007F5B9F"/>
    <w:rsid w:val="007F62CE"/>
    <w:rsid w:val="007F7AE6"/>
    <w:rsid w:val="008007A1"/>
    <w:rsid w:val="00804C00"/>
    <w:rsid w:val="0080692A"/>
    <w:rsid w:val="008076F0"/>
    <w:rsid w:val="00813555"/>
    <w:rsid w:val="008208F0"/>
    <w:rsid w:val="00826EFF"/>
    <w:rsid w:val="008323B9"/>
    <w:rsid w:val="00832D2E"/>
    <w:rsid w:val="00840375"/>
    <w:rsid w:val="00842870"/>
    <w:rsid w:val="00857972"/>
    <w:rsid w:val="00862DE5"/>
    <w:rsid w:val="008644AC"/>
    <w:rsid w:val="00873336"/>
    <w:rsid w:val="008777B0"/>
    <w:rsid w:val="0088101D"/>
    <w:rsid w:val="00895C88"/>
    <w:rsid w:val="00896102"/>
    <w:rsid w:val="00896E3D"/>
    <w:rsid w:val="008A07FA"/>
    <w:rsid w:val="008A1ADE"/>
    <w:rsid w:val="008A2185"/>
    <w:rsid w:val="008A64F8"/>
    <w:rsid w:val="008B1627"/>
    <w:rsid w:val="008B3184"/>
    <w:rsid w:val="008B491F"/>
    <w:rsid w:val="008B4F15"/>
    <w:rsid w:val="008C2A1D"/>
    <w:rsid w:val="008C3BD0"/>
    <w:rsid w:val="008C67EE"/>
    <w:rsid w:val="008D2F12"/>
    <w:rsid w:val="008D4A69"/>
    <w:rsid w:val="008D562A"/>
    <w:rsid w:val="008D5E6B"/>
    <w:rsid w:val="008E37D1"/>
    <w:rsid w:val="008E43D4"/>
    <w:rsid w:val="008F0AB2"/>
    <w:rsid w:val="008F15C2"/>
    <w:rsid w:val="008F5E91"/>
    <w:rsid w:val="00901419"/>
    <w:rsid w:val="00902B28"/>
    <w:rsid w:val="0090362D"/>
    <w:rsid w:val="00903F24"/>
    <w:rsid w:val="00911EEC"/>
    <w:rsid w:val="00917787"/>
    <w:rsid w:val="00925B4A"/>
    <w:rsid w:val="009310AE"/>
    <w:rsid w:val="009356C8"/>
    <w:rsid w:val="00935A18"/>
    <w:rsid w:val="00937C31"/>
    <w:rsid w:val="00942039"/>
    <w:rsid w:val="00945D37"/>
    <w:rsid w:val="0094658B"/>
    <w:rsid w:val="00947C4C"/>
    <w:rsid w:val="0095375D"/>
    <w:rsid w:val="009633FF"/>
    <w:rsid w:val="00970BBF"/>
    <w:rsid w:val="00971297"/>
    <w:rsid w:val="00973C01"/>
    <w:rsid w:val="00981E72"/>
    <w:rsid w:val="00983358"/>
    <w:rsid w:val="00983F39"/>
    <w:rsid w:val="00997900"/>
    <w:rsid w:val="009A3062"/>
    <w:rsid w:val="009A7C72"/>
    <w:rsid w:val="009B36C3"/>
    <w:rsid w:val="009C1D64"/>
    <w:rsid w:val="009D5D74"/>
    <w:rsid w:val="009D6C38"/>
    <w:rsid w:val="009D7E70"/>
    <w:rsid w:val="009E0531"/>
    <w:rsid w:val="009E1383"/>
    <w:rsid w:val="009E2169"/>
    <w:rsid w:val="009E5F60"/>
    <w:rsid w:val="009F0573"/>
    <w:rsid w:val="009F105F"/>
    <w:rsid w:val="009F4413"/>
    <w:rsid w:val="009F4947"/>
    <w:rsid w:val="009F5FBE"/>
    <w:rsid w:val="00A00750"/>
    <w:rsid w:val="00A017B2"/>
    <w:rsid w:val="00A06498"/>
    <w:rsid w:val="00A1086D"/>
    <w:rsid w:val="00A11703"/>
    <w:rsid w:val="00A20106"/>
    <w:rsid w:val="00A23A3D"/>
    <w:rsid w:val="00A25DE8"/>
    <w:rsid w:val="00A260C3"/>
    <w:rsid w:val="00A33B33"/>
    <w:rsid w:val="00A3771B"/>
    <w:rsid w:val="00A4160F"/>
    <w:rsid w:val="00A46C41"/>
    <w:rsid w:val="00A51119"/>
    <w:rsid w:val="00A62CEE"/>
    <w:rsid w:val="00A63293"/>
    <w:rsid w:val="00A67CC7"/>
    <w:rsid w:val="00A7406A"/>
    <w:rsid w:val="00A75B3E"/>
    <w:rsid w:val="00A80694"/>
    <w:rsid w:val="00A91827"/>
    <w:rsid w:val="00AA307D"/>
    <w:rsid w:val="00AA371A"/>
    <w:rsid w:val="00AA6840"/>
    <w:rsid w:val="00AB26AA"/>
    <w:rsid w:val="00AB3BC4"/>
    <w:rsid w:val="00AC02E1"/>
    <w:rsid w:val="00AC03F4"/>
    <w:rsid w:val="00AC731E"/>
    <w:rsid w:val="00AD6FA7"/>
    <w:rsid w:val="00AE0A3B"/>
    <w:rsid w:val="00AE390B"/>
    <w:rsid w:val="00AE3E47"/>
    <w:rsid w:val="00AE3FEC"/>
    <w:rsid w:val="00AF0218"/>
    <w:rsid w:val="00AF186B"/>
    <w:rsid w:val="00AF2B69"/>
    <w:rsid w:val="00AF70D0"/>
    <w:rsid w:val="00B12359"/>
    <w:rsid w:val="00B12384"/>
    <w:rsid w:val="00B3415E"/>
    <w:rsid w:val="00B41766"/>
    <w:rsid w:val="00B425DE"/>
    <w:rsid w:val="00B45312"/>
    <w:rsid w:val="00B45FC0"/>
    <w:rsid w:val="00B538AC"/>
    <w:rsid w:val="00B5477F"/>
    <w:rsid w:val="00B55912"/>
    <w:rsid w:val="00B6158E"/>
    <w:rsid w:val="00B637B6"/>
    <w:rsid w:val="00B63C30"/>
    <w:rsid w:val="00B67C47"/>
    <w:rsid w:val="00B902E2"/>
    <w:rsid w:val="00B91034"/>
    <w:rsid w:val="00B92F1F"/>
    <w:rsid w:val="00B93A68"/>
    <w:rsid w:val="00B969CF"/>
    <w:rsid w:val="00B97875"/>
    <w:rsid w:val="00BA20CE"/>
    <w:rsid w:val="00BA4B52"/>
    <w:rsid w:val="00BC26C2"/>
    <w:rsid w:val="00BC36C4"/>
    <w:rsid w:val="00BC4148"/>
    <w:rsid w:val="00BD0A71"/>
    <w:rsid w:val="00BD1A43"/>
    <w:rsid w:val="00BD44A9"/>
    <w:rsid w:val="00BD74D9"/>
    <w:rsid w:val="00BE5B1C"/>
    <w:rsid w:val="00BE5E1F"/>
    <w:rsid w:val="00BF3637"/>
    <w:rsid w:val="00C06D2B"/>
    <w:rsid w:val="00C07549"/>
    <w:rsid w:val="00C076BC"/>
    <w:rsid w:val="00C22CBC"/>
    <w:rsid w:val="00C26CE7"/>
    <w:rsid w:val="00C350A7"/>
    <w:rsid w:val="00C4144E"/>
    <w:rsid w:val="00C45A50"/>
    <w:rsid w:val="00C45D1F"/>
    <w:rsid w:val="00C45D21"/>
    <w:rsid w:val="00C47D48"/>
    <w:rsid w:val="00C51BA4"/>
    <w:rsid w:val="00C61BB6"/>
    <w:rsid w:val="00C63164"/>
    <w:rsid w:val="00C817EF"/>
    <w:rsid w:val="00C8567F"/>
    <w:rsid w:val="00C86450"/>
    <w:rsid w:val="00C92658"/>
    <w:rsid w:val="00C9593A"/>
    <w:rsid w:val="00CA6CF1"/>
    <w:rsid w:val="00CC309F"/>
    <w:rsid w:val="00CC3341"/>
    <w:rsid w:val="00CD5B9A"/>
    <w:rsid w:val="00CE29C1"/>
    <w:rsid w:val="00CE366D"/>
    <w:rsid w:val="00CF0043"/>
    <w:rsid w:val="00CF5AD6"/>
    <w:rsid w:val="00CF615D"/>
    <w:rsid w:val="00CF689A"/>
    <w:rsid w:val="00D03C1A"/>
    <w:rsid w:val="00D05483"/>
    <w:rsid w:val="00D07BE2"/>
    <w:rsid w:val="00D11C06"/>
    <w:rsid w:val="00D12CAE"/>
    <w:rsid w:val="00D14407"/>
    <w:rsid w:val="00D20AF9"/>
    <w:rsid w:val="00D21025"/>
    <w:rsid w:val="00D25E6F"/>
    <w:rsid w:val="00D42B1A"/>
    <w:rsid w:val="00D45E57"/>
    <w:rsid w:val="00D463A3"/>
    <w:rsid w:val="00D53B04"/>
    <w:rsid w:val="00D56C44"/>
    <w:rsid w:val="00D708E4"/>
    <w:rsid w:val="00D760BB"/>
    <w:rsid w:val="00D776A9"/>
    <w:rsid w:val="00D83536"/>
    <w:rsid w:val="00D92A1B"/>
    <w:rsid w:val="00D92F76"/>
    <w:rsid w:val="00D93F59"/>
    <w:rsid w:val="00D97090"/>
    <w:rsid w:val="00DA116A"/>
    <w:rsid w:val="00DA196C"/>
    <w:rsid w:val="00DA28A2"/>
    <w:rsid w:val="00DA32BB"/>
    <w:rsid w:val="00DA3D45"/>
    <w:rsid w:val="00DA4760"/>
    <w:rsid w:val="00DA4F5E"/>
    <w:rsid w:val="00DA6476"/>
    <w:rsid w:val="00DA72B2"/>
    <w:rsid w:val="00DB1EEA"/>
    <w:rsid w:val="00DB56DD"/>
    <w:rsid w:val="00DC0940"/>
    <w:rsid w:val="00DC15A5"/>
    <w:rsid w:val="00DC679D"/>
    <w:rsid w:val="00DC763D"/>
    <w:rsid w:val="00DD14BD"/>
    <w:rsid w:val="00DD14DC"/>
    <w:rsid w:val="00DD3FD0"/>
    <w:rsid w:val="00DD6A6A"/>
    <w:rsid w:val="00DE7762"/>
    <w:rsid w:val="00E04A44"/>
    <w:rsid w:val="00E04C42"/>
    <w:rsid w:val="00E06B6D"/>
    <w:rsid w:val="00E072D0"/>
    <w:rsid w:val="00E1489D"/>
    <w:rsid w:val="00E171EF"/>
    <w:rsid w:val="00E20293"/>
    <w:rsid w:val="00E2439C"/>
    <w:rsid w:val="00E50859"/>
    <w:rsid w:val="00E526DD"/>
    <w:rsid w:val="00E60013"/>
    <w:rsid w:val="00E645BD"/>
    <w:rsid w:val="00E67CB9"/>
    <w:rsid w:val="00E70A0B"/>
    <w:rsid w:val="00E76435"/>
    <w:rsid w:val="00E81592"/>
    <w:rsid w:val="00E84096"/>
    <w:rsid w:val="00E8684E"/>
    <w:rsid w:val="00E9223C"/>
    <w:rsid w:val="00E97D72"/>
    <w:rsid w:val="00EA24DC"/>
    <w:rsid w:val="00EA4558"/>
    <w:rsid w:val="00EA5753"/>
    <w:rsid w:val="00EA7FF8"/>
    <w:rsid w:val="00EB0407"/>
    <w:rsid w:val="00EB1D17"/>
    <w:rsid w:val="00EB4A82"/>
    <w:rsid w:val="00EC5906"/>
    <w:rsid w:val="00EC6DCC"/>
    <w:rsid w:val="00EC6FAA"/>
    <w:rsid w:val="00ED234E"/>
    <w:rsid w:val="00ED45EA"/>
    <w:rsid w:val="00ED7B75"/>
    <w:rsid w:val="00EE4121"/>
    <w:rsid w:val="00EF0FF6"/>
    <w:rsid w:val="00EF2C17"/>
    <w:rsid w:val="00EF3DD0"/>
    <w:rsid w:val="00EF640D"/>
    <w:rsid w:val="00EF76C9"/>
    <w:rsid w:val="00F07705"/>
    <w:rsid w:val="00F1225D"/>
    <w:rsid w:val="00F123A3"/>
    <w:rsid w:val="00F231D2"/>
    <w:rsid w:val="00F3026A"/>
    <w:rsid w:val="00F31322"/>
    <w:rsid w:val="00F325AE"/>
    <w:rsid w:val="00F40983"/>
    <w:rsid w:val="00F46D9A"/>
    <w:rsid w:val="00F47D00"/>
    <w:rsid w:val="00F7040E"/>
    <w:rsid w:val="00F71B19"/>
    <w:rsid w:val="00F72553"/>
    <w:rsid w:val="00F731F4"/>
    <w:rsid w:val="00F77F54"/>
    <w:rsid w:val="00F8340E"/>
    <w:rsid w:val="00F860F9"/>
    <w:rsid w:val="00F96AAF"/>
    <w:rsid w:val="00F96EC6"/>
    <w:rsid w:val="00FA1FF7"/>
    <w:rsid w:val="00FA602A"/>
    <w:rsid w:val="00FA7964"/>
    <w:rsid w:val="00FC567E"/>
    <w:rsid w:val="00FC6004"/>
    <w:rsid w:val="00FD1108"/>
    <w:rsid w:val="00FE1253"/>
    <w:rsid w:val="00FE7FAD"/>
    <w:rsid w:val="00FF2A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658"/>
  </w:style>
  <w:style w:type="paragraph" w:styleId="Nadpis1">
    <w:name w:val="heading 1"/>
    <w:basedOn w:val="Normln"/>
    <w:next w:val="Normln"/>
    <w:link w:val="Nadpis1Char"/>
    <w:uiPriority w:val="9"/>
    <w:qFormat/>
    <w:rsid w:val="00E67CB9"/>
    <w:pPr>
      <w:keepNext/>
      <w:keepLines/>
      <w:numPr>
        <w:numId w:val="1"/>
      </w:numPr>
      <w:spacing w:after="0" w:line="360" w:lineRule="auto"/>
      <w:ind w:left="0" w:firstLine="0"/>
      <w:jc w:val="both"/>
      <w:outlineLvl w:val="0"/>
    </w:pPr>
    <w:rPr>
      <w:rFonts w:ascii="Garamond" w:eastAsiaTheme="majorEastAsia" w:hAnsi="Garamond" w:cstheme="majorBidi"/>
      <w:b/>
      <w:bCs/>
      <w:sz w:val="32"/>
      <w:szCs w:val="28"/>
    </w:rPr>
  </w:style>
  <w:style w:type="paragraph" w:styleId="Nadpis2">
    <w:name w:val="heading 2"/>
    <w:basedOn w:val="Normln"/>
    <w:next w:val="Normln"/>
    <w:link w:val="Nadpis2Char"/>
    <w:uiPriority w:val="9"/>
    <w:unhideWhenUsed/>
    <w:qFormat/>
    <w:rsid w:val="00E67CB9"/>
    <w:pPr>
      <w:keepNext/>
      <w:keepLines/>
      <w:numPr>
        <w:ilvl w:val="1"/>
        <w:numId w:val="1"/>
      </w:numPr>
      <w:spacing w:after="0" w:line="360" w:lineRule="auto"/>
      <w:ind w:left="0" w:firstLine="0"/>
      <w:jc w:val="both"/>
      <w:outlineLvl w:val="1"/>
    </w:pPr>
    <w:rPr>
      <w:rFonts w:ascii="Garamond" w:eastAsiaTheme="majorEastAsia" w:hAnsi="Garamond" w:cstheme="majorBidi"/>
      <w:b/>
      <w:bCs/>
      <w:sz w:val="28"/>
      <w:szCs w:val="26"/>
    </w:rPr>
  </w:style>
  <w:style w:type="paragraph" w:styleId="Nadpis3">
    <w:name w:val="heading 3"/>
    <w:basedOn w:val="Normln"/>
    <w:next w:val="Normln"/>
    <w:link w:val="Nadpis3Char"/>
    <w:uiPriority w:val="9"/>
    <w:unhideWhenUsed/>
    <w:qFormat/>
    <w:rsid w:val="00E67CB9"/>
    <w:pPr>
      <w:keepNext/>
      <w:keepLines/>
      <w:numPr>
        <w:ilvl w:val="2"/>
        <w:numId w:val="1"/>
      </w:numPr>
      <w:spacing w:after="0"/>
      <w:ind w:left="0" w:firstLine="0"/>
      <w:jc w:val="both"/>
      <w:outlineLvl w:val="2"/>
    </w:pPr>
    <w:rPr>
      <w:rFonts w:ascii="Garamond" w:eastAsiaTheme="majorEastAsia" w:hAnsi="Garamond" w:cstheme="majorBidi"/>
      <w:b/>
      <w:bCs/>
      <w:sz w:val="24"/>
    </w:rPr>
  </w:style>
  <w:style w:type="paragraph" w:styleId="Nadpis4">
    <w:name w:val="heading 4"/>
    <w:basedOn w:val="Normln"/>
    <w:next w:val="Normln"/>
    <w:link w:val="Nadpis4Char"/>
    <w:uiPriority w:val="9"/>
    <w:unhideWhenUsed/>
    <w:qFormat/>
    <w:rsid w:val="00E67CB9"/>
    <w:pPr>
      <w:keepNext/>
      <w:keepLines/>
      <w:numPr>
        <w:ilvl w:val="3"/>
        <w:numId w:val="1"/>
      </w:numPr>
      <w:spacing w:after="0" w:line="360" w:lineRule="auto"/>
      <w:ind w:left="0" w:firstLine="0"/>
      <w:jc w:val="both"/>
      <w:outlineLvl w:val="3"/>
    </w:pPr>
    <w:rPr>
      <w:rFonts w:ascii="Garamond" w:eastAsiaTheme="majorEastAsia" w:hAnsi="Garamond" w:cstheme="majorBidi"/>
      <w:b/>
      <w:bCs/>
      <w:iCs/>
      <w:sz w:val="24"/>
    </w:rPr>
  </w:style>
  <w:style w:type="paragraph" w:styleId="Nadpis5">
    <w:name w:val="heading 5"/>
    <w:basedOn w:val="Normln"/>
    <w:next w:val="Normln"/>
    <w:link w:val="Nadpis5Char"/>
    <w:uiPriority w:val="9"/>
    <w:semiHidden/>
    <w:unhideWhenUsed/>
    <w:qFormat/>
    <w:rsid w:val="005E348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E34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E34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E34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E34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660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08E"/>
  </w:style>
  <w:style w:type="paragraph" w:styleId="Zpat">
    <w:name w:val="footer"/>
    <w:basedOn w:val="Normln"/>
    <w:link w:val="ZpatChar"/>
    <w:uiPriority w:val="99"/>
    <w:unhideWhenUsed/>
    <w:rsid w:val="0016608E"/>
    <w:pPr>
      <w:tabs>
        <w:tab w:val="center" w:pos="4536"/>
        <w:tab w:val="right" w:pos="9072"/>
      </w:tabs>
      <w:spacing w:after="0" w:line="240" w:lineRule="auto"/>
    </w:pPr>
  </w:style>
  <w:style w:type="character" w:customStyle="1" w:styleId="ZpatChar">
    <w:name w:val="Zápatí Char"/>
    <w:basedOn w:val="Standardnpsmoodstavce"/>
    <w:link w:val="Zpat"/>
    <w:uiPriority w:val="99"/>
    <w:rsid w:val="0016608E"/>
  </w:style>
  <w:style w:type="paragraph" w:styleId="Odstavecseseznamem">
    <w:name w:val="List Paragraph"/>
    <w:basedOn w:val="Normln"/>
    <w:uiPriority w:val="34"/>
    <w:qFormat/>
    <w:rsid w:val="005E348A"/>
    <w:pPr>
      <w:ind w:left="720"/>
      <w:contextualSpacing/>
    </w:pPr>
  </w:style>
  <w:style w:type="character" w:customStyle="1" w:styleId="Nadpis1Char">
    <w:name w:val="Nadpis 1 Char"/>
    <w:basedOn w:val="Standardnpsmoodstavce"/>
    <w:link w:val="Nadpis1"/>
    <w:uiPriority w:val="9"/>
    <w:rsid w:val="00E67CB9"/>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E67CB9"/>
    <w:rPr>
      <w:rFonts w:ascii="Garamond" w:eastAsiaTheme="majorEastAsia" w:hAnsi="Garamond" w:cstheme="majorBidi"/>
      <w:b/>
      <w:bCs/>
      <w:sz w:val="28"/>
      <w:szCs w:val="26"/>
    </w:rPr>
  </w:style>
  <w:style w:type="character" w:customStyle="1" w:styleId="Nadpis3Char">
    <w:name w:val="Nadpis 3 Char"/>
    <w:basedOn w:val="Standardnpsmoodstavce"/>
    <w:link w:val="Nadpis3"/>
    <w:uiPriority w:val="9"/>
    <w:rsid w:val="00E67CB9"/>
    <w:rPr>
      <w:rFonts w:ascii="Garamond" w:eastAsiaTheme="majorEastAsia" w:hAnsi="Garamond" w:cstheme="majorBidi"/>
      <w:b/>
      <w:bCs/>
      <w:sz w:val="24"/>
    </w:rPr>
  </w:style>
  <w:style w:type="character" w:customStyle="1" w:styleId="Nadpis4Char">
    <w:name w:val="Nadpis 4 Char"/>
    <w:basedOn w:val="Standardnpsmoodstavce"/>
    <w:link w:val="Nadpis4"/>
    <w:uiPriority w:val="9"/>
    <w:rsid w:val="00E67CB9"/>
    <w:rPr>
      <w:rFonts w:ascii="Garamond" w:eastAsiaTheme="majorEastAsia" w:hAnsi="Garamond" w:cstheme="majorBidi"/>
      <w:b/>
      <w:bCs/>
      <w:iCs/>
      <w:sz w:val="24"/>
    </w:rPr>
  </w:style>
  <w:style w:type="character" w:customStyle="1" w:styleId="Nadpis5Char">
    <w:name w:val="Nadpis 5 Char"/>
    <w:basedOn w:val="Standardnpsmoodstavce"/>
    <w:link w:val="Nadpis5"/>
    <w:uiPriority w:val="9"/>
    <w:semiHidden/>
    <w:rsid w:val="005E348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E348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E348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E348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E348A"/>
    <w:rPr>
      <w:rFonts w:asciiTheme="majorHAnsi" w:eastAsiaTheme="majorEastAsia" w:hAnsiTheme="majorHAnsi" w:cstheme="majorBidi"/>
      <w:i/>
      <w:iCs/>
      <w:color w:val="404040" w:themeColor="text1" w:themeTint="BF"/>
      <w:sz w:val="20"/>
      <w:szCs w:val="20"/>
    </w:rPr>
  </w:style>
  <w:style w:type="paragraph" w:styleId="Rozvrendokumentu">
    <w:name w:val="Document Map"/>
    <w:basedOn w:val="Normln"/>
    <w:link w:val="RozvrendokumentuChar"/>
    <w:uiPriority w:val="99"/>
    <w:semiHidden/>
    <w:unhideWhenUsed/>
    <w:rsid w:val="005E348A"/>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E348A"/>
    <w:rPr>
      <w:rFonts w:ascii="Tahoma" w:hAnsi="Tahoma" w:cs="Tahoma"/>
      <w:sz w:val="16"/>
      <w:szCs w:val="16"/>
    </w:rPr>
  </w:style>
  <w:style w:type="paragraph" w:styleId="Textpoznpodarou">
    <w:name w:val="footnote text"/>
    <w:basedOn w:val="Normln"/>
    <w:link w:val="TextpoznpodarouChar"/>
    <w:uiPriority w:val="99"/>
    <w:unhideWhenUsed/>
    <w:rsid w:val="00C0754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07549"/>
    <w:rPr>
      <w:sz w:val="20"/>
      <w:szCs w:val="20"/>
    </w:rPr>
  </w:style>
  <w:style w:type="character" w:styleId="Znakapoznpodarou">
    <w:name w:val="footnote reference"/>
    <w:basedOn w:val="Standardnpsmoodstavce"/>
    <w:uiPriority w:val="99"/>
    <w:semiHidden/>
    <w:unhideWhenUsed/>
    <w:rsid w:val="00C07549"/>
    <w:rPr>
      <w:vertAlign w:val="superscript"/>
    </w:rPr>
  </w:style>
  <w:style w:type="character" w:styleId="Hypertextovodkaz">
    <w:name w:val="Hyperlink"/>
    <w:basedOn w:val="Standardnpsmoodstavce"/>
    <w:uiPriority w:val="99"/>
    <w:unhideWhenUsed/>
    <w:rsid w:val="000640B1"/>
    <w:rPr>
      <w:color w:val="0000FF"/>
      <w:u w:val="single"/>
    </w:rPr>
  </w:style>
  <w:style w:type="character" w:styleId="Zvraznn">
    <w:name w:val="Emphasis"/>
    <w:basedOn w:val="Standardnpsmoodstavce"/>
    <w:uiPriority w:val="20"/>
    <w:qFormat/>
    <w:rsid w:val="00DA6476"/>
    <w:rPr>
      <w:i/>
      <w:iCs/>
    </w:rPr>
  </w:style>
  <w:style w:type="paragraph" w:styleId="Normlnweb">
    <w:name w:val="Normal (Web)"/>
    <w:basedOn w:val="Normln"/>
    <w:uiPriority w:val="99"/>
    <w:semiHidden/>
    <w:unhideWhenUsed/>
    <w:rsid w:val="00670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7023F"/>
    <w:rPr>
      <w:b/>
      <w:bCs/>
    </w:rPr>
  </w:style>
  <w:style w:type="paragraph" w:customStyle="1" w:styleId="p-margin">
    <w:name w:val="p-margin"/>
    <w:basedOn w:val="Normln"/>
    <w:rsid w:val="002325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61BB6"/>
    <w:rPr>
      <w:color w:val="800080" w:themeColor="followedHyperlink"/>
      <w:u w:val="single"/>
    </w:rPr>
  </w:style>
  <w:style w:type="paragraph" w:styleId="Nadpisobsahu">
    <w:name w:val="TOC Heading"/>
    <w:basedOn w:val="Nadpis1"/>
    <w:next w:val="Normln"/>
    <w:uiPriority w:val="39"/>
    <w:semiHidden/>
    <w:unhideWhenUsed/>
    <w:qFormat/>
    <w:rsid w:val="00DA196C"/>
    <w:pPr>
      <w:numPr>
        <w:numId w:val="0"/>
      </w:numPr>
      <w:spacing w:before="48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DA196C"/>
    <w:pPr>
      <w:tabs>
        <w:tab w:val="left" w:pos="440"/>
        <w:tab w:val="right" w:leader="dot" w:pos="9061"/>
      </w:tabs>
      <w:spacing w:after="100"/>
      <w:jc w:val="both"/>
    </w:pPr>
  </w:style>
  <w:style w:type="paragraph" w:styleId="Obsah2">
    <w:name w:val="toc 2"/>
    <w:basedOn w:val="Normln"/>
    <w:next w:val="Normln"/>
    <w:autoRedefine/>
    <w:uiPriority w:val="39"/>
    <w:unhideWhenUsed/>
    <w:rsid w:val="00DA196C"/>
    <w:pPr>
      <w:spacing w:after="100"/>
      <w:ind w:left="220"/>
    </w:pPr>
  </w:style>
  <w:style w:type="paragraph" w:styleId="Obsah3">
    <w:name w:val="toc 3"/>
    <w:basedOn w:val="Normln"/>
    <w:next w:val="Normln"/>
    <w:autoRedefine/>
    <w:uiPriority w:val="39"/>
    <w:unhideWhenUsed/>
    <w:rsid w:val="00DA196C"/>
    <w:pPr>
      <w:spacing w:after="100"/>
      <w:ind w:left="440"/>
    </w:pPr>
  </w:style>
  <w:style w:type="paragraph" w:styleId="Textbubliny">
    <w:name w:val="Balloon Text"/>
    <w:basedOn w:val="Normln"/>
    <w:link w:val="TextbublinyChar"/>
    <w:uiPriority w:val="99"/>
    <w:semiHidden/>
    <w:unhideWhenUsed/>
    <w:rsid w:val="00DA19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1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26272">
      <w:bodyDiv w:val="1"/>
      <w:marLeft w:val="0"/>
      <w:marRight w:val="0"/>
      <w:marTop w:val="0"/>
      <w:marBottom w:val="0"/>
      <w:divBdr>
        <w:top w:val="none" w:sz="0" w:space="0" w:color="auto"/>
        <w:left w:val="none" w:sz="0" w:space="0" w:color="auto"/>
        <w:bottom w:val="none" w:sz="0" w:space="0" w:color="auto"/>
        <w:right w:val="none" w:sz="0" w:space="0" w:color="auto"/>
      </w:divBdr>
    </w:div>
    <w:div w:id="94791752">
      <w:bodyDiv w:val="1"/>
      <w:marLeft w:val="0"/>
      <w:marRight w:val="0"/>
      <w:marTop w:val="0"/>
      <w:marBottom w:val="0"/>
      <w:divBdr>
        <w:top w:val="none" w:sz="0" w:space="0" w:color="auto"/>
        <w:left w:val="none" w:sz="0" w:space="0" w:color="auto"/>
        <w:bottom w:val="none" w:sz="0" w:space="0" w:color="auto"/>
        <w:right w:val="none" w:sz="0" w:space="0" w:color="auto"/>
      </w:divBdr>
    </w:div>
    <w:div w:id="115105126">
      <w:bodyDiv w:val="1"/>
      <w:marLeft w:val="0"/>
      <w:marRight w:val="0"/>
      <w:marTop w:val="0"/>
      <w:marBottom w:val="0"/>
      <w:divBdr>
        <w:top w:val="none" w:sz="0" w:space="0" w:color="auto"/>
        <w:left w:val="none" w:sz="0" w:space="0" w:color="auto"/>
        <w:bottom w:val="none" w:sz="0" w:space="0" w:color="auto"/>
        <w:right w:val="none" w:sz="0" w:space="0" w:color="auto"/>
      </w:divBdr>
    </w:div>
    <w:div w:id="125316928">
      <w:bodyDiv w:val="1"/>
      <w:marLeft w:val="0"/>
      <w:marRight w:val="0"/>
      <w:marTop w:val="0"/>
      <w:marBottom w:val="0"/>
      <w:divBdr>
        <w:top w:val="none" w:sz="0" w:space="0" w:color="auto"/>
        <w:left w:val="none" w:sz="0" w:space="0" w:color="auto"/>
        <w:bottom w:val="none" w:sz="0" w:space="0" w:color="auto"/>
        <w:right w:val="none" w:sz="0" w:space="0" w:color="auto"/>
      </w:divBdr>
    </w:div>
    <w:div w:id="568855138">
      <w:bodyDiv w:val="1"/>
      <w:marLeft w:val="0"/>
      <w:marRight w:val="0"/>
      <w:marTop w:val="0"/>
      <w:marBottom w:val="0"/>
      <w:divBdr>
        <w:top w:val="none" w:sz="0" w:space="0" w:color="auto"/>
        <w:left w:val="none" w:sz="0" w:space="0" w:color="auto"/>
        <w:bottom w:val="none" w:sz="0" w:space="0" w:color="auto"/>
        <w:right w:val="none" w:sz="0" w:space="0" w:color="auto"/>
      </w:divBdr>
      <w:divsChild>
        <w:div w:id="1909731075">
          <w:marLeft w:val="0"/>
          <w:marRight w:val="0"/>
          <w:marTop w:val="0"/>
          <w:marBottom w:val="0"/>
          <w:divBdr>
            <w:top w:val="none" w:sz="0" w:space="0" w:color="auto"/>
            <w:left w:val="none" w:sz="0" w:space="0" w:color="auto"/>
            <w:bottom w:val="none" w:sz="0" w:space="0" w:color="auto"/>
            <w:right w:val="none" w:sz="0" w:space="0" w:color="auto"/>
          </w:divBdr>
        </w:div>
      </w:divsChild>
    </w:div>
    <w:div w:id="693385749">
      <w:bodyDiv w:val="1"/>
      <w:marLeft w:val="0"/>
      <w:marRight w:val="0"/>
      <w:marTop w:val="0"/>
      <w:marBottom w:val="0"/>
      <w:divBdr>
        <w:top w:val="none" w:sz="0" w:space="0" w:color="auto"/>
        <w:left w:val="none" w:sz="0" w:space="0" w:color="auto"/>
        <w:bottom w:val="none" w:sz="0" w:space="0" w:color="auto"/>
        <w:right w:val="none" w:sz="0" w:space="0" w:color="auto"/>
      </w:divBdr>
    </w:div>
    <w:div w:id="738941480">
      <w:bodyDiv w:val="1"/>
      <w:marLeft w:val="0"/>
      <w:marRight w:val="0"/>
      <w:marTop w:val="0"/>
      <w:marBottom w:val="0"/>
      <w:divBdr>
        <w:top w:val="none" w:sz="0" w:space="0" w:color="auto"/>
        <w:left w:val="none" w:sz="0" w:space="0" w:color="auto"/>
        <w:bottom w:val="none" w:sz="0" w:space="0" w:color="auto"/>
        <w:right w:val="none" w:sz="0" w:space="0" w:color="auto"/>
      </w:divBdr>
    </w:div>
    <w:div w:id="795099679">
      <w:bodyDiv w:val="1"/>
      <w:marLeft w:val="0"/>
      <w:marRight w:val="0"/>
      <w:marTop w:val="0"/>
      <w:marBottom w:val="0"/>
      <w:divBdr>
        <w:top w:val="none" w:sz="0" w:space="0" w:color="auto"/>
        <w:left w:val="none" w:sz="0" w:space="0" w:color="auto"/>
        <w:bottom w:val="none" w:sz="0" w:space="0" w:color="auto"/>
        <w:right w:val="none" w:sz="0" w:space="0" w:color="auto"/>
      </w:divBdr>
    </w:div>
    <w:div w:id="1098214161">
      <w:bodyDiv w:val="1"/>
      <w:marLeft w:val="0"/>
      <w:marRight w:val="0"/>
      <w:marTop w:val="0"/>
      <w:marBottom w:val="0"/>
      <w:divBdr>
        <w:top w:val="none" w:sz="0" w:space="0" w:color="auto"/>
        <w:left w:val="none" w:sz="0" w:space="0" w:color="auto"/>
        <w:bottom w:val="none" w:sz="0" w:space="0" w:color="auto"/>
        <w:right w:val="none" w:sz="0" w:space="0" w:color="auto"/>
      </w:divBdr>
    </w:div>
    <w:div w:id="1100102511">
      <w:bodyDiv w:val="1"/>
      <w:marLeft w:val="0"/>
      <w:marRight w:val="0"/>
      <w:marTop w:val="0"/>
      <w:marBottom w:val="0"/>
      <w:divBdr>
        <w:top w:val="none" w:sz="0" w:space="0" w:color="auto"/>
        <w:left w:val="none" w:sz="0" w:space="0" w:color="auto"/>
        <w:bottom w:val="none" w:sz="0" w:space="0" w:color="auto"/>
        <w:right w:val="none" w:sz="0" w:space="0" w:color="auto"/>
      </w:divBdr>
      <w:divsChild>
        <w:div w:id="1405958230">
          <w:marLeft w:val="0"/>
          <w:marRight w:val="0"/>
          <w:marTop w:val="0"/>
          <w:marBottom w:val="0"/>
          <w:divBdr>
            <w:top w:val="none" w:sz="0" w:space="0" w:color="auto"/>
            <w:left w:val="none" w:sz="0" w:space="0" w:color="auto"/>
            <w:bottom w:val="none" w:sz="0" w:space="0" w:color="auto"/>
            <w:right w:val="none" w:sz="0" w:space="0" w:color="auto"/>
          </w:divBdr>
        </w:div>
      </w:divsChild>
    </w:div>
    <w:div w:id="1147431848">
      <w:bodyDiv w:val="1"/>
      <w:marLeft w:val="0"/>
      <w:marRight w:val="0"/>
      <w:marTop w:val="0"/>
      <w:marBottom w:val="0"/>
      <w:divBdr>
        <w:top w:val="none" w:sz="0" w:space="0" w:color="auto"/>
        <w:left w:val="none" w:sz="0" w:space="0" w:color="auto"/>
        <w:bottom w:val="none" w:sz="0" w:space="0" w:color="auto"/>
        <w:right w:val="none" w:sz="0" w:space="0" w:color="auto"/>
      </w:divBdr>
      <w:divsChild>
        <w:div w:id="1575436187">
          <w:marLeft w:val="0"/>
          <w:marRight w:val="0"/>
          <w:marTop w:val="0"/>
          <w:marBottom w:val="0"/>
          <w:divBdr>
            <w:top w:val="none" w:sz="0" w:space="0" w:color="auto"/>
            <w:left w:val="none" w:sz="0" w:space="0" w:color="auto"/>
            <w:bottom w:val="none" w:sz="0" w:space="0" w:color="auto"/>
            <w:right w:val="none" w:sz="0" w:space="0" w:color="auto"/>
          </w:divBdr>
        </w:div>
      </w:divsChild>
    </w:div>
    <w:div w:id="1399398858">
      <w:bodyDiv w:val="1"/>
      <w:marLeft w:val="0"/>
      <w:marRight w:val="0"/>
      <w:marTop w:val="0"/>
      <w:marBottom w:val="0"/>
      <w:divBdr>
        <w:top w:val="none" w:sz="0" w:space="0" w:color="auto"/>
        <w:left w:val="none" w:sz="0" w:space="0" w:color="auto"/>
        <w:bottom w:val="none" w:sz="0" w:space="0" w:color="auto"/>
        <w:right w:val="none" w:sz="0" w:space="0" w:color="auto"/>
      </w:divBdr>
    </w:div>
    <w:div w:id="1472481394">
      <w:bodyDiv w:val="1"/>
      <w:marLeft w:val="0"/>
      <w:marRight w:val="0"/>
      <w:marTop w:val="0"/>
      <w:marBottom w:val="0"/>
      <w:divBdr>
        <w:top w:val="none" w:sz="0" w:space="0" w:color="auto"/>
        <w:left w:val="none" w:sz="0" w:space="0" w:color="auto"/>
        <w:bottom w:val="none" w:sz="0" w:space="0" w:color="auto"/>
        <w:right w:val="none" w:sz="0" w:space="0" w:color="auto"/>
      </w:divBdr>
    </w:div>
    <w:div w:id="1500539000">
      <w:bodyDiv w:val="1"/>
      <w:marLeft w:val="0"/>
      <w:marRight w:val="0"/>
      <w:marTop w:val="0"/>
      <w:marBottom w:val="0"/>
      <w:divBdr>
        <w:top w:val="none" w:sz="0" w:space="0" w:color="auto"/>
        <w:left w:val="none" w:sz="0" w:space="0" w:color="auto"/>
        <w:bottom w:val="none" w:sz="0" w:space="0" w:color="auto"/>
        <w:right w:val="none" w:sz="0" w:space="0" w:color="auto"/>
      </w:divBdr>
    </w:div>
    <w:div w:id="1518349742">
      <w:bodyDiv w:val="1"/>
      <w:marLeft w:val="0"/>
      <w:marRight w:val="0"/>
      <w:marTop w:val="0"/>
      <w:marBottom w:val="0"/>
      <w:divBdr>
        <w:top w:val="none" w:sz="0" w:space="0" w:color="auto"/>
        <w:left w:val="none" w:sz="0" w:space="0" w:color="auto"/>
        <w:bottom w:val="none" w:sz="0" w:space="0" w:color="auto"/>
        <w:right w:val="none" w:sz="0" w:space="0" w:color="auto"/>
      </w:divBdr>
      <w:divsChild>
        <w:div w:id="1822306490">
          <w:marLeft w:val="0"/>
          <w:marRight w:val="0"/>
          <w:marTop w:val="0"/>
          <w:marBottom w:val="0"/>
          <w:divBdr>
            <w:top w:val="none" w:sz="0" w:space="0" w:color="auto"/>
            <w:left w:val="none" w:sz="0" w:space="0" w:color="auto"/>
            <w:bottom w:val="none" w:sz="0" w:space="0" w:color="auto"/>
            <w:right w:val="none" w:sz="0" w:space="0" w:color="auto"/>
          </w:divBdr>
        </w:div>
      </w:divsChild>
    </w:div>
    <w:div w:id="1580410205">
      <w:bodyDiv w:val="1"/>
      <w:marLeft w:val="0"/>
      <w:marRight w:val="0"/>
      <w:marTop w:val="0"/>
      <w:marBottom w:val="0"/>
      <w:divBdr>
        <w:top w:val="none" w:sz="0" w:space="0" w:color="auto"/>
        <w:left w:val="none" w:sz="0" w:space="0" w:color="auto"/>
        <w:bottom w:val="none" w:sz="0" w:space="0" w:color="auto"/>
        <w:right w:val="none" w:sz="0" w:space="0" w:color="auto"/>
      </w:divBdr>
      <w:divsChild>
        <w:div w:id="1192494960">
          <w:marLeft w:val="0"/>
          <w:marRight w:val="0"/>
          <w:marTop w:val="0"/>
          <w:marBottom w:val="0"/>
          <w:divBdr>
            <w:top w:val="none" w:sz="0" w:space="0" w:color="auto"/>
            <w:left w:val="none" w:sz="0" w:space="0" w:color="auto"/>
            <w:bottom w:val="none" w:sz="0" w:space="0" w:color="auto"/>
            <w:right w:val="none" w:sz="0" w:space="0" w:color="auto"/>
          </w:divBdr>
        </w:div>
      </w:divsChild>
    </w:div>
    <w:div w:id="1744333228">
      <w:bodyDiv w:val="1"/>
      <w:marLeft w:val="0"/>
      <w:marRight w:val="0"/>
      <w:marTop w:val="0"/>
      <w:marBottom w:val="0"/>
      <w:divBdr>
        <w:top w:val="none" w:sz="0" w:space="0" w:color="auto"/>
        <w:left w:val="none" w:sz="0" w:space="0" w:color="auto"/>
        <w:bottom w:val="none" w:sz="0" w:space="0" w:color="auto"/>
        <w:right w:val="none" w:sz="0" w:space="0" w:color="auto"/>
      </w:divBdr>
    </w:div>
    <w:div w:id="19522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oitromain.univ-grenoble-alpes.fr/Corpus/codjus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oitromain.univ-grenoble-alpes.fr/Anglica/digest_Scott.htm" TargetMode="External"/><Relationship Id="rId5" Type="http://schemas.openxmlformats.org/officeDocument/2006/relationships/webSettings" Target="webSettings.xml"/><Relationship Id="rId10" Type="http://schemas.openxmlformats.org/officeDocument/2006/relationships/hyperlink" Target="https://droitromain.univ-grenoble-alpes.fr/Corpus/digest.htm" TargetMode="External"/><Relationship Id="rId4" Type="http://schemas.openxmlformats.org/officeDocument/2006/relationships/settings" Target="settings.xml"/><Relationship Id="rId9" Type="http://schemas.openxmlformats.org/officeDocument/2006/relationships/hyperlink" Target="http://www.hs-augsburg.de/~harsch/saeca05.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ademia.edu/23644199/New_English_translation_of_the_Price_Edict_of_Diocletianus" TargetMode="External"/><Relationship Id="rId1" Type="http://schemas.openxmlformats.org/officeDocument/2006/relationships/hyperlink" Target="https://www.unrv.com/culture/roman-weights-measures.ph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18A39-C08F-45C6-B2E6-1E6E4C1F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48</Pages>
  <Words>14211</Words>
  <Characters>82286</Characters>
  <Application>Microsoft Office Word</Application>
  <DocSecurity>0</DocSecurity>
  <Lines>1285</Lines>
  <Paragraphs>361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lenovo410</dc:creator>
  <cp:lastModifiedBy>lenovo410</cp:lastModifiedBy>
  <cp:revision>5</cp:revision>
  <dcterms:created xsi:type="dcterms:W3CDTF">2020-03-25T11:18:00Z</dcterms:created>
  <dcterms:modified xsi:type="dcterms:W3CDTF">2020-03-25T13:33:00Z</dcterms:modified>
</cp:coreProperties>
</file>